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版本号：JXYFS-2026-00220260205001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渭南高新区“十五五”水利发展规划编制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JXYFS-2026-002</w:t>
      </w:r>
      <w:r>
        <w:br/>
      </w:r>
      <w:r>
        <w:br/>
      </w:r>
      <w:r>
        <w:br/>
      </w:r>
    </w:p>
    <w:p>
      <w:pPr>
        <w:pStyle w:val="null3"/>
        <w:jc w:val="center"/>
        <w:outlineLvl w:val="2"/>
      </w:pPr>
      <w:r>
        <w:rPr>
          <w:rFonts w:ascii="仿宋_GB2312" w:hAnsi="仿宋_GB2312" w:cs="仿宋_GB2312" w:eastAsia="仿宋_GB2312"/>
          <w:sz w:val="28"/>
          <w:b/>
        </w:rPr>
        <w:t>渭南高新区城乡建设和管理局</w:t>
      </w:r>
    </w:p>
    <w:p>
      <w:pPr>
        <w:pStyle w:val="null3"/>
        <w:jc w:val="center"/>
        <w:outlineLvl w:val="2"/>
      </w:pPr>
      <w:r>
        <w:rPr>
          <w:rFonts w:ascii="仿宋_GB2312" w:hAnsi="仿宋_GB2312" w:cs="仿宋_GB2312" w:eastAsia="仿宋_GB2312"/>
          <w:sz w:val="28"/>
          <w:b/>
        </w:rPr>
        <w:t>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嘉翔项目管理有限公司</w:t>
      </w:r>
      <w:r>
        <w:rPr>
          <w:rFonts w:ascii="仿宋_GB2312" w:hAnsi="仿宋_GB2312" w:cs="仿宋_GB2312" w:eastAsia="仿宋_GB2312"/>
        </w:rPr>
        <w:t>（以下简称“代理机构”）受</w:t>
      </w:r>
      <w:r>
        <w:rPr>
          <w:rFonts w:ascii="仿宋_GB2312" w:hAnsi="仿宋_GB2312" w:cs="仿宋_GB2312" w:eastAsia="仿宋_GB2312"/>
        </w:rPr>
        <w:t>渭南高新区城乡建设和管理局</w:t>
      </w:r>
      <w:r>
        <w:rPr>
          <w:rFonts w:ascii="仿宋_GB2312" w:hAnsi="仿宋_GB2312" w:cs="仿宋_GB2312" w:eastAsia="仿宋_GB2312"/>
        </w:rPr>
        <w:t>委托，拟对</w:t>
      </w:r>
      <w:r>
        <w:rPr>
          <w:rFonts w:ascii="仿宋_GB2312" w:hAnsi="仿宋_GB2312" w:cs="仿宋_GB2312" w:eastAsia="仿宋_GB2312"/>
        </w:rPr>
        <w:t>渭南高新区“十五五”水利发展规划编制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JXYFS-2026-002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渭南高新区“十五五”水利发展规划编制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主要编制渭南高新区“十五五”水利发展规划，具体详见服务要求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1、供应商营业执照：合法有效，具有独立承担民事责任的能力且具备向采购人提供相关服务的企业法人、事业法人、其 他组织或者自然人</w:t>
      </w:r>
    </w:p>
    <w:p>
      <w:pPr>
        <w:pStyle w:val="null3"/>
      </w:pPr>
      <w:r>
        <w:rPr>
          <w:rFonts w:ascii="仿宋_GB2312" w:hAnsi="仿宋_GB2312" w:cs="仿宋_GB2312" w:eastAsia="仿宋_GB2312"/>
        </w:rPr>
        <w:t>2、法定代表人或授权代表人身份证明及身份证复印件：法定代表人参加磋商的，须出具法定代表人身份证明和身份证（正反面）复印件；授权委托代理人参加磋商的，须出具委托授权书，并附法定代表人和委托代理人身份证（正反面）复印件</w:t>
      </w:r>
    </w:p>
    <w:p>
      <w:pPr>
        <w:pStyle w:val="null3"/>
      </w:pPr>
      <w:r>
        <w:rPr>
          <w:rFonts w:ascii="仿宋_GB2312" w:hAnsi="仿宋_GB2312" w:cs="仿宋_GB2312" w:eastAsia="仿宋_GB2312"/>
        </w:rPr>
        <w:t>3、企业资质：供应商须具备水利行业设计乙级及以上资质</w:t>
      </w:r>
    </w:p>
    <w:p>
      <w:pPr>
        <w:pStyle w:val="null3"/>
      </w:pPr>
      <w:r>
        <w:rPr>
          <w:rFonts w:ascii="仿宋_GB2312" w:hAnsi="仿宋_GB2312" w:cs="仿宋_GB2312" w:eastAsia="仿宋_GB2312"/>
        </w:rPr>
        <w:t>4、企业信誉：供应商不得为“信用中国”网站(www.creditchina.gov.cn)中列入失信被执行人和税收违法黑名单的供应商，不得为中国政府采购网(www.ccgp.gov.cn)政府采购严重违法失信行为记录名单中被财政部门禁止参加政府采购活动的供应商（提供查询结果网页截图并加盖供应商公章，查询日期为公告发布之日起至磋商响应截止日止）</w:t>
      </w:r>
    </w:p>
    <w:p>
      <w:pPr>
        <w:pStyle w:val="null3"/>
      </w:pPr>
      <w:r>
        <w:rPr>
          <w:rFonts w:ascii="仿宋_GB2312" w:hAnsi="仿宋_GB2312" w:cs="仿宋_GB2312" w:eastAsia="仿宋_GB2312"/>
        </w:rPr>
        <w:t>5、关联关系：单位负责人为同一人或者存在直接控股、管理关系的不同供应商，不得参加本次采购活动</w:t>
      </w:r>
    </w:p>
    <w:p>
      <w:pPr>
        <w:pStyle w:val="null3"/>
      </w:pPr>
      <w:r>
        <w:rPr>
          <w:rFonts w:ascii="仿宋_GB2312" w:hAnsi="仿宋_GB2312" w:cs="仿宋_GB2312" w:eastAsia="仿宋_GB2312"/>
        </w:rPr>
        <w:t>6、联合体：本项目不接受联合体磋商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渭南高新区城乡建设和管理局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渭南高新区香山大道3号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于明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13891328807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西安市曲江新区雁南五路曲江影视大厦19楼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1440378598@qq.com</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15399315150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高新区政府采购管理股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贺晓静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 xml:space="preserve"> 0913-2111101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代理服务费收费标准：参照国家发展和改革委员会《招标代理服务收费暂行办法》（计价格[2002]1980号）及发改办价格[2003]857号文件的规定收取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渭南高新区城乡建设和管理局</w:t>
      </w:r>
      <w:r>
        <w:rPr>
          <w:rFonts w:ascii="仿宋_GB2312" w:hAnsi="仿宋_GB2312" w:cs="仿宋_GB2312" w:eastAsia="仿宋_GB2312"/>
        </w:rPr>
        <w:t>和</w:t>
      </w:r>
      <w:r>
        <w:rPr>
          <w:rFonts w:ascii="仿宋_GB2312" w:hAnsi="仿宋_GB2312" w:cs="仿宋_GB2312" w:eastAsia="仿宋_GB2312"/>
        </w:rPr>
        <w:t>嘉翔项目管理有限公司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渭南高新区城乡建设和管理局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渭南高新区城乡建设和管理局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成果文件及配套服务达到国家、行业相关规定和现行技术规范、规程合格标准，并通过专家技术评审</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联系人：田凯</w:t>
      </w:r>
    </w:p>
    <w:p>
      <w:pPr>
        <w:pStyle w:val="null3"/>
      </w:pPr>
      <w:r>
        <w:rPr>
          <w:rFonts w:ascii="仿宋_GB2312" w:hAnsi="仿宋_GB2312" w:cs="仿宋_GB2312" w:eastAsia="仿宋_GB2312"/>
        </w:rPr>
        <w:t>联系电话：15399315150</w:t>
      </w:r>
    </w:p>
    <w:p>
      <w:pPr>
        <w:pStyle w:val="null3"/>
      </w:pPr>
      <w:r>
        <w:rPr>
          <w:rFonts w:ascii="仿宋_GB2312" w:hAnsi="仿宋_GB2312" w:cs="仿宋_GB2312" w:eastAsia="仿宋_GB2312"/>
        </w:rPr>
        <w:t>地址：西安市曲江新区雁南五路曲江影视大厦19楼</w:t>
      </w:r>
    </w:p>
    <w:p>
      <w:pPr>
        <w:pStyle w:val="null3"/>
      </w:pPr>
      <w:r>
        <w:rPr>
          <w:rFonts w:ascii="仿宋_GB2312" w:hAnsi="仿宋_GB2312" w:cs="仿宋_GB2312" w:eastAsia="仿宋_GB2312"/>
        </w:rPr>
        <w:t>邮编：1440387598@qq.com</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主要编制渭南高新区十五五水利发展规划</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1,400,000.00</w:t>
      </w:r>
    </w:p>
    <w:p>
      <w:pPr>
        <w:pStyle w:val="null3"/>
      </w:pPr>
      <w:r>
        <w:rPr>
          <w:rFonts w:ascii="仿宋_GB2312" w:hAnsi="仿宋_GB2312" w:cs="仿宋_GB2312" w:eastAsia="仿宋_GB2312"/>
        </w:rPr>
        <w:t>采购包最高限价（元）: 1,400,000.00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渭南高新区十五五水利发展规划编制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标的名称：渭南高新区十五五水利发展规划编制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color w:val="000000"/>
              </w:rPr>
              <w:t>一、基本要求</w:t>
            </w:r>
          </w:p>
          <w:p>
            <w:pPr>
              <w:pStyle w:val="null3"/>
            </w:pPr>
            <w:r>
              <w:rPr>
                <w:rFonts w:ascii="仿宋_GB2312" w:hAnsi="仿宋_GB2312" w:cs="仿宋_GB2312" w:eastAsia="仿宋_GB2312"/>
                <w:sz w:val="16"/>
                <w:color w:val="000000"/>
              </w:rPr>
              <w:t xml:space="preserve">    </w:t>
            </w:r>
            <w:r>
              <w:rPr>
                <w:rFonts w:ascii="仿宋_GB2312" w:hAnsi="仿宋_GB2312" w:cs="仿宋_GB2312" w:eastAsia="仿宋_GB2312"/>
                <w:sz w:val="18"/>
                <w:color w:val="000000"/>
              </w:rPr>
              <w:t>1.功能要求：全面评估渭南</w:t>
            </w:r>
            <w:r>
              <w:rPr>
                <w:rFonts w:ascii="仿宋_GB2312" w:hAnsi="仿宋_GB2312" w:cs="仿宋_GB2312" w:eastAsia="仿宋_GB2312"/>
                <w:sz w:val="18"/>
                <w:color w:val="000000"/>
              </w:rPr>
              <w:t>高新区</w:t>
            </w:r>
            <w:r>
              <w:rPr>
                <w:rFonts w:ascii="仿宋_GB2312" w:hAnsi="仿宋_GB2312" w:cs="仿宋_GB2312" w:eastAsia="仿宋_GB2312"/>
                <w:sz w:val="18"/>
                <w:color w:val="000000"/>
              </w:rPr>
              <w:t>水利发展规划实施情况，分析规划实施所取得的经验和存在的问题，坚持问题导向、目标导向、结果导向，围绕黄河流域生态保护和高质量发展、中省市县水网建设规划，贯彻十六字治水思路，坚持绿水青山就是金山银山发展理念，科学确定</w:t>
            </w:r>
            <w:r>
              <w:rPr>
                <w:rFonts w:ascii="仿宋_GB2312" w:hAnsi="仿宋_GB2312" w:cs="仿宋_GB2312" w:eastAsia="仿宋_GB2312"/>
                <w:sz w:val="18"/>
                <w:color w:val="000000"/>
              </w:rPr>
              <w:t>“十五五”水利发展思路、目标和重点工作任务，为全力建设黄河中游生态保护和高质量发展核心示范区提供坚实水利支撑；</w:t>
            </w:r>
          </w:p>
          <w:p>
            <w:pPr>
              <w:pStyle w:val="null3"/>
            </w:pPr>
            <w:r>
              <w:rPr>
                <w:rFonts w:ascii="仿宋_GB2312" w:hAnsi="仿宋_GB2312" w:cs="仿宋_GB2312" w:eastAsia="仿宋_GB2312"/>
                <w:sz w:val="18"/>
                <w:color w:val="000000"/>
              </w:rPr>
              <w:t xml:space="preserve">    2.服务期限：</w:t>
            </w:r>
            <w:r>
              <w:rPr>
                <w:rFonts w:ascii="仿宋_GB2312" w:hAnsi="仿宋_GB2312" w:cs="仿宋_GB2312" w:eastAsia="仿宋_GB2312"/>
                <w:sz w:val="18"/>
                <w:color w:val="000000"/>
              </w:rPr>
              <w:t>自合同签订之日起</w:t>
            </w:r>
            <w:r>
              <w:rPr>
                <w:rFonts w:ascii="仿宋_GB2312" w:hAnsi="仿宋_GB2312" w:cs="仿宋_GB2312" w:eastAsia="仿宋_GB2312"/>
                <w:sz w:val="18"/>
                <w:color w:val="000000"/>
              </w:rPr>
              <w:t>90</w:t>
            </w:r>
            <w:r>
              <w:rPr>
                <w:rFonts w:ascii="仿宋_GB2312" w:hAnsi="仿宋_GB2312" w:cs="仿宋_GB2312" w:eastAsia="仿宋_GB2312"/>
                <w:sz w:val="18"/>
                <w:color w:val="000000"/>
              </w:rPr>
              <w:t>日历天；</w:t>
            </w:r>
          </w:p>
          <w:p>
            <w:pPr>
              <w:pStyle w:val="null3"/>
            </w:pPr>
            <w:r>
              <w:rPr>
                <w:rFonts w:ascii="仿宋_GB2312" w:hAnsi="仿宋_GB2312" w:cs="仿宋_GB2312" w:eastAsia="仿宋_GB2312"/>
                <w:sz w:val="18"/>
                <w:color w:val="000000"/>
              </w:rPr>
              <w:t xml:space="preserve">    3.</w:t>
            </w:r>
            <w:r>
              <w:rPr>
                <w:rFonts w:ascii="仿宋_GB2312" w:hAnsi="仿宋_GB2312" w:cs="仿宋_GB2312" w:eastAsia="仿宋_GB2312"/>
                <w:sz w:val="18"/>
                <w:color w:val="000000"/>
              </w:rPr>
              <w:t>服务地点：渭南高新区；</w:t>
            </w:r>
          </w:p>
          <w:p>
            <w:pPr>
              <w:pStyle w:val="null3"/>
            </w:pPr>
            <w:r>
              <w:rPr>
                <w:rFonts w:ascii="仿宋_GB2312" w:hAnsi="仿宋_GB2312" w:cs="仿宋_GB2312" w:eastAsia="仿宋_GB2312"/>
                <w:sz w:val="18"/>
                <w:color w:val="000000"/>
              </w:rPr>
              <w:t xml:space="preserve">    4.质量标准：符合规划编制工作要求，通过行业</w:t>
            </w:r>
            <w:r>
              <w:rPr>
                <w:rFonts w:ascii="仿宋_GB2312" w:hAnsi="仿宋_GB2312" w:cs="仿宋_GB2312" w:eastAsia="仿宋_GB2312"/>
                <w:sz w:val="18"/>
                <w:color w:val="000000"/>
              </w:rPr>
              <w:t>(水行政)主管部门组织审查并按照审查意见修改完成。</w:t>
            </w:r>
          </w:p>
          <w:p>
            <w:pPr>
              <w:pStyle w:val="null3"/>
            </w:pPr>
            <w:r>
              <w:rPr>
                <w:rFonts w:ascii="仿宋_GB2312" w:hAnsi="仿宋_GB2312" w:cs="仿宋_GB2312" w:eastAsia="仿宋_GB2312"/>
                <w:sz w:val="21"/>
              </w:rPr>
              <w:t>二、</w:t>
            </w:r>
            <w:r>
              <w:rPr>
                <w:rFonts w:ascii="仿宋_GB2312" w:hAnsi="仿宋_GB2312" w:cs="仿宋_GB2312" w:eastAsia="仿宋_GB2312"/>
                <w:sz w:val="21"/>
                <w:b/>
              </w:rPr>
              <w:t>需执行的国家相关标准、行业标准、地方标准或者其他标准、规范标准</w:t>
            </w:r>
          </w:p>
          <w:p>
            <w:pPr>
              <w:pStyle w:val="null3"/>
              <w:ind w:firstLine="527"/>
              <w:jc w:val="left"/>
            </w:pPr>
            <w:r>
              <w:rPr>
                <w:rFonts w:ascii="仿宋_GB2312" w:hAnsi="仿宋_GB2312" w:cs="仿宋_GB2312" w:eastAsia="仿宋_GB2312"/>
                <w:sz w:val="18"/>
                <w:color w:val="000000"/>
              </w:rPr>
              <w:t>1.中共中央、国务院《乡村振兴战略规划(2024-2027年)》;</w:t>
            </w:r>
          </w:p>
          <w:p>
            <w:pPr>
              <w:pStyle w:val="null3"/>
              <w:ind w:firstLine="527"/>
              <w:jc w:val="left"/>
            </w:pPr>
            <w:r>
              <w:rPr>
                <w:rFonts w:ascii="仿宋_GB2312" w:hAnsi="仿宋_GB2312" w:cs="仿宋_GB2312" w:eastAsia="仿宋_GB2312"/>
                <w:sz w:val="18"/>
                <w:color w:val="000000"/>
              </w:rPr>
              <w:t>2.《中华人民共和国国民经济和社会发展第十四个五年规划和2035年远景目标纲要》;</w:t>
            </w:r>
          </w:p>
          <w:p>
            <w:pPr>
              <w:pStyle w:val="null3"/>
              <w:ind w:firstLine="527"/>
              <w:jc w:val="left"/>
            </w:pPr>
            <w:r>
              <w:rPr>
                <w:rFonts w:ascii="仿宋_GB2312" w:hAnsi="仿宋_GB2312" w:cs="仿宋_GB2312" w:eastAsia="仿宋_GB2312"/>
                <w:sz w:val="18"/>
                <w:color w:val="000000"/>
              </w:rPr>
              <w:t>3.《黄河流域生态保护和高质量发展规划纲要》(2021年10月8日);</w:t>
            </w:r>
          </w:p>
          <w:p>
            <w:pPr>
              <w:pStyle w:val="null3"/>
              <w:ind w:firstLine="527"/>
              <w:jc w:val="left"/>
            </w:pPr>
            <w:r>
              <w:rPr>
                <w:rFonts w:ascii="仿宋_GB2312" w:hAnsi="仿宋_GB2312" w:cs="仿宋_GB2312" w:eastAsia="仿宋_GB2312"/>
                <w:sz w:val="18"/>
                <w:color w:val="000000"/>
              </w:rPr>
              <w:t>4.《国家水网建设规划纲要》(2023年5月25日);</w:t>
            </w:r>
          </w:p>
          <w:p>
            <w:pPr>
              <w:pStyle w:val="null3"/>
              <w:ind w:firstLine="527"/>
              <w:jc w:val="left"/>
            </w:pPr>
            <w:r>
              <w:rPr>
                <w:rFonts w:ascii="仿宋_GB2312" w:hAnsi="仿宋_GB2312" w:cs="仿宋_GB2312" w:eastAsia="仿宋_GB2312"/>
                <w:sz w:val="18"/>
                <w:color w:val="000000"/>
              </w:rPr>
              <w:t>5.国家发展改革委、水利部《国家节水行动方案》的通知(发改环资规〔2019〕695号);</w:t>
            </w:r>
          </w:p>
          <w:p>
            <w:pPr>
              <w:pStyle w:val="null3"/>
              <w:ind w:firstLine="527"/>
              <w:jc w:val="left"/>
            </w:pPr>
            <w:r>
              <w:rPr>
                <w:rFonts w:ascii="仿宋_GB2312" w:hAnsi="仿宋_GB2312" w:cs="仿宋_GB2312" w:eastAsia="仿宋_GB2312"/>
                <w:sz w:val="18"/>
                <w:color w:val="000000"/>
              </w:rPr>
              <w:t>6.国家发展改革委《关于印发关中平原城市群建设“十四五”实施方案的通知》(发改规划〔2022〕979号);</w:t>
            </w:r>
          </w:p>
          <w:p>
            <w:pPr>
              <w:pStyle w:val="null3"/>
              <w:ind w:firstLine="527"/>
              <w:jc w:val="left"/>
            </w:pPr>
            <w:r>
              <w:rPr>
                <w:rFonts w:ascii="仿宋_GB2312" w:hAnsi="仿宋_GB2312" w:cs="仿宋_GB2312" w:eastAsia="仿宋_GB2312"/>
                <w:sz w:val="18"/>
                <w:color w:val="000000"/>
              </w:rPr>
              <w:t>7.《中华人民共和国水法》;</w:t>
            </w:r>
          </w:p>
          <w:p>
            <w:pPr>
              <w:pStyle w:val="null3"/>
              <w:ind w:firstLine="527"/>
              <w:jc w:val="left"/>
            </w:pPr>
            <w:r>
              <w:rPr>
                <w:rFonts w:ascii="仿宋_GB2312" w:hAnsi="仿宋_GB2312" w:cs="仿宋_GB2312" w:eastAsia="仿宋_GB2312"/>
                <w:sz w:val="18"/>
                <w:color w:val="000000"/>
              </w:rPr>
              <w:t>8.《中华人民共和国防洪法》;</w:t>
            </w:r>
          </w:p>
          <w:p>
            <w:pPr>
              <w:pStyle w:val="null3"/>
              <w:ind w:firstLine="527"/>
              <w:jc w:val="left"/>
            </w:pPr>
            <w:r>
              <w:rPr>
                <w:rFonts w:ascii="仿宋_GB2312" w:hAnsi="仿宋_GB2312" w:cs="仿宋_GB2312" w:eastAsia="仿宋_GB2312"/>
                <w:sz w:val="18"/>
                <w:color w:val="000000"/>
              </w:rPr>
              <w:t>9.《中华人民共和国水土保持法》;</w:t>
            </w:r>
          </w:p>
          <w:p>
            <w:pPr>
              <w:pStyle w:val="null3"/>
              <w:ind w:firstLine="527"/>
              <w:jc w:val="left"/>
            </w:pPr>
            <w:r>
              <w:rPr>
                <w:rFonts w:ascii="仿宋_GB2312" w:hAnsi="仿宋_GB2312" w:cs="仿宋_GB2312" w:eastAsia="仿宋_GB2312"/>
                <w:sz w:val="18"/>
                <w:color w:val="000000"/>
              </w:rPr>
              <w:t>10.《中华人民共和国水污染防治法》;</w:t>
            </w:r>
          </w:p>
          <w:p>
            <w:pPr>
              <w:pStyle w:val="null3"/>
              <w:ind w:firstLine="527"/>
              <w:jc w:val="left"/>
            </w:pPr>
            <w:r>
              <w:rPr>
                <w:rFonts w:ascii="仿宋_GB2312" w:hAnsi="仿宋_GB2312" w:cs="仿宋_GB2312" w:eastAsia="仿宋_GB2312"/>
                <w:sz w:val="18"/>
                <w:color w:val="000000"/>
              </w:rPr>
              <w:t>11.陕西省水利厅、财政厅联合制定印发《陕西省中小河流治理总体方案》(2024年11月);</w:t>
            </w:r>
          </w:p>
          <w:p>
            <w:pPr>
              <w:pStyle w:val="null3"/>
              <w:ind w:firstLine="527"/>
              <w:jc w:val="left"/>
            </w:pPr>
            <w:r>
              <w:rPr>
                <w:rFonts w:ascii="仿宋_GB2312" w:hAnsi="仿宋_GB2312" w:cs="仿宋_GB2312" w:eastAsia="仿宋_GB2312"/>
                <w:sz w:val="18"/>
                <w:color w:val="000000"/>
              </w:rPr>
              <w:t>12.中共陕西省委、陕西省人民政府印发《陕西省黄河流域生态保护和高质量发展规划》(2021年12月2日);</w:t>
            </w:r>
          </w:p>
          <w:p>
            <w:pPr>
              <w:pStyle w:val="null3"/>
              <w:ind w:firstLine="527"/>
              <w:jc w:val="left"/>
            </w:pPr>
            <w:r>
              <w:rPr>
                <w:rFonts w:ascii="仿宋_GB2312" w:hAnsi="仿宋_GB2312" w:cs="仿宋_GB2312" w:eastAsia="仿宋_GB2312"/>
                <w:sz w:val="18"/>
                <w:color w:val="000000"/>
              </w:rPr>
              <w:t>13.陕西省人民政府关于《陕西省水网建设规划》的批复(陕政函〔2023〕181号)省级相关法规、政策和规划；</w:t>
            </w:r>
          </w:p>
          <w:p>
            <w:pPr>
              <w:pStyle w:val="null3"/>
              <w:ind w:firstLine="527"/>
              <w:jc w:val="left"/>
            </w:pPr>
            <w:r>
              <w:rPr>
                <w:rFonts w:ascii="仿宋_GB2312" w:hAnsi="仿宋_GB2312" w:cs="仿宋_GB2312" w:eastAsia="仿宋_GB2312"/>
                <w:sz w:val="18"/>
                <w:color w:val="000000"/>
              </w:rPr>
              <w:t>14.渭南市人民政府《关于印发国民经济和社会发展第十五个五年规划编制工作总体方案的通知》(渭政发〔2025〕7号);</w:t>
            </w:r>
          </w:p>
          <w:p>
            <w:pPr>
              <w:pStyle w:val="null3"/>
              <w:ind w:firstLine="527"/>
              <w:jc w:val="left"/>
            </w:pPr>
            <w:r>
              <w:rPr>
                <w:rFonts w:ascii="仿宋_GB2312" w:hAnsi="仿宋_GB2312" w:cs="仿宋_GB2312" w:eastAsia="仿宋_GB2312"/>
                <w:sz w:val="18"/>
                <w:color w:val="000000"/>
              </w:rPr>
              <w:t>15.渭南市级相关法规和规划。</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渭南高新区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国家相关标准、行业标准、地方标准或者其他标准、规范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合同签订后支付合同价款的30%的预付款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报告编制完成并通过技术审查后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审批通过交付成果后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符合《政府采购促进中小企业发展管理办法》（财库〔2020）46号）规定</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供应商营业执照</w:t>
            </w:r>
          </w:p>
        </w:tc>
        <w:tc>
          <w:tcPr>
            <w:tcW w:type="dxa" w:w="3322"/>
          </w:tcPr>
          <w:p>
            <w:pPr>
              <w:pStyle w:val="null3"/>
            </w:pPr>
            <w:r>
              <w:rPr>
                <w:rFonts w:ascii="仿宋_GB2312" w:hAnsi="仿宋_GB2312" w:cs="仿宋_GB2312" w:eastAsia="仿宋_GB2312"/>
              </w:rPr>
              <w:t>合法有效，具有独立承担民事责任的能力且具备向采购人提供相关服务的企业法人、事业法人、其 他组织或者自然人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法定代表人或授权代表人身份证明及身份证复印件</w:t>
            </w:r>
          </w:p>
        </w:tc>
        <w:tc>
          <w:tcPr>
            <w:tcW w:type="dxa" w:w="3322"/>
          </w:tcPr>
          <w:p>
            <w:pPr>
              <w:pStyle w:val="null3"/>
            </w:pPr>
            <w:r>
              <w:rPr>
                <w:rFonts w:ascii="仿宋_GB2312" w:hAnsi="仿宋_GB2312" w:cs="仿宋_GB2312" w:eastAsia="仿宋_GB2312"/>
              </w:rPr>
              <w:t>法定代表人参加磋商的，须出具法定代表人身份证明和身份证（正反面）复印件；授权委托代理人参加磋商的，须出具委托授权书，并附法定代表人和委托代理人身份证（正反面）复印件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供应商须具备水利行业设计乙级及以上资质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和税收违法黑名单的供应商，不得为中国政府采购网(www.ccgp.gov.cn)政府采购严重违法失信行为记录名单中被财政部门禁止参加政府采购活动的供应商（提供查询结果网页截图并加盖供应商公章，查询日期为公告发布之日起至磋商响应截止日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单位负责人为同一人或者存在直接控股、管理关系的不同供应商，不得参加本次采购活动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响应文件签章及格式响应</w:t>
            </w:r>
          </w:p>
        </w:tc>
        <w:tc>
          <w:tcPr>
            <w:tcW w:type="dxa" w:w="3322"/>
          </w:tcPr>
          <w:p>
            <w:pPr>
              <w:pStyle w:val="null3"/>
            </w:pPr>
            <w:r>
              <w:rPr>
                <w:rFonts w:ascii="仿宋_GB2312" w:hAnsi="仿宋_GB2312" w:cs="仿宋_GB2312" w:eastAsia="仿宋_GB2312"/>
              </w:rPr>
              <w:t>响应文件签章及格式满足磋商文件的要求</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商务应答表 标的清单 服务内容及服务邀请应答表.docx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响应文件有效期满足磋商文件的要求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供应商磋商报价未超出采购预算或最高限价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满足或优于采购要求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w:t>
            </w:r>
          </w:p>
        </w:tc>
        <w:tc>
          <w:tcPr>
            <w:tcW w:type="dxa" w:w="3322"/>
          </w:tcPr>
          <w:p>
            <w:pPr>
              <w:pStyle w:val="null3"/>
            </w:pPr>
            <w:r>
              <w:rPr>
                <w:rFonts w:ascii="仿宋_GB2312" w:hAnsi="仿宋_GB2312" w:cs="仿宋_GB2312" w:eastAsia="仿宋_GB2312"/>
              </w:rPr>
              <w:t>完全理解并响应采购文件的要求</w:t>
            </w:r>
          </w:p>
        </w:tc>
        <w:tc>
          <w:tcPr>
            <w:tcW w:type="dxa" w:w="1661"/>
          </w:tcPr>
          <w:p>
            <w:pPr>
              <w:pStyle w:val="null3"/>
            </w:pPr>
            <w:r>
              <w:rPr>
                <w:rFonts w:ascii="仿宋_GB2312" w:hAnsi="仿宋_GB2312" w:cs="仿宋_GB2312" w:eastAsia="仿宋_GB2312"/>
              </w:rPr>
              <w:t>商务应答表 服务内容及服务邀请应答表.docx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项目实施总体方案编制</w:t>
            </w:r>
          </w:p>
        </w:tc>
        <w:tc>
          <w:tcPr>
            <w:tcW w:type="dxa" w:w="2492"/>
          </w:tcPr>
          <w:p>
            <w:pPr>
              <w:pStyle w:val="null3"/>
            </w:pPr>
            <w:r>
              <w:rPr>
                <w:rFonts w:ascii="仿宋_GB2312" w:hAnsi="仿宋_GB2312" w:cs="仿宋_GB2312" w:eastAsia="仿宋_GB2312"/>
              </w:rPr>
              <w:t>1.针对本项目采购需求，编制思路清晰，满足采购需求计10-15分； 2.针对本项目采购需求思路可行，内容基本完善计5-10分； 3.编制思路理念落后或于本项目适用性差计1-5分； 4.未提供不计分。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1.方案内容全面完善、满足采购需求计10-15分； 2.方案内容全面，不完善计5-10分； 3.方案内容不全面或不适用于本项目计1-5分； 4.未提供不计分。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1.能够提出本项目实施过程中可能遇见的重点、难点，对本项目适用性强，并提供针对性强的措施及有效的解决方案计7-10分； 2.能够提出本项目实施过程中可能遇见的重点、难点，但对本项目适用性不很强，未提供针对性的措施或有效的解决方案计4-7分； 3.提出本项目实施过程中可能遇见的重点、难点不适用，或无针对性的措施或解决方案计1-4分； 4.未提供不计分。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1.针对本项目有详细的项目进度安排，工作安排完整详尽，能确保按期完成成果递交计3-5分； 2.针对本项目有项目进度安排，工作安排基本完整和明确计2-3分； 3.项目进度安排不合理，难以保证按期完成成果递交的计1-2分； 4.未提供项目进度安排不计分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团队人员配置</w:t>
            </w:r>
          </w:p>
        </w:tc>
        <w:tc>
          <w:tcPr>
            <w:tcW w:type="dxa" w:w="2492"/>
          </w:tcPr>
          <w:p>
            <w:pPr>
              <w:pStyle w:val="null3"/>
            </w:pPr>
            <w:r>
              <w:rPr>
                <w:rFonts w:ascii="仿宋_GB2312" w:hAnsi="仿宋_GB2312" w:cs="仿宋_GB2312" w:eastAsia="仿宋_GB2312"/>
              </w:rPr>
              <w:t>1.人员组织架构完整，岗位设置合理、明确，技术人员专业性、经验性强，且对本项目有针对性，得 5-8 分；2.人员组织架构完善程度一般，岗位设置基本合理，技术人员专业性、经验性较强，得 3-5分；3.人员组织架构不完整，人员岗位设置紧张，技术人员专业性、经验性欠缺，得 1-3分；4.未提供人员不得分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专业人员配置</w:t>
            </w:r>
          </w:p>
        </w:tc>
        <w:tc>
          <w:tcPr>
            <w:tcW w:type="dxa" w:w="2492"/>
          </w:tcPr>
          <w:p>
            <w:pPr>
              <w:pStyle w:val="null3"/>
            </w:pPr>
            <w:r>
              <w:rPr>
                <w:rFonts w:ascii="仿宋_GB2312" w:hAnsi="仿宋_GB2312" w:cs="仿宋_GB2312" w:eastAsia="仿宋_GB2312"/>
              </w:rPr>
              <w:t>团队人员配置中每具有一名中级职称的得 0.5 分，高级及以上职称得 1 分,本项最多得5分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项目负责人必须为供应商在职人员（提供社保缴纳证明），否则不计分。 1.项目负责人具有高级技术职称计5分，中级技术职称计3分，中级职称以下不计分。（职称证明材料需提供职称证书复印件加盖公章）；2.项目负责人学历：具有大学本科(含)以上计3分，大学专科计1分，大学专科以下不计分。（学历证明材料需提供毕业证复印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供应商提供2020年1月至开标前完成的水利发展或专项规划类业绩，每提供一项得3分；最高计9分。（以合同签订日期为准，供应商须提供合同或中标（成交）通知书复印件加盖公章。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1.供应商对项目实施过程中和后期服务配合做出承诺，承诺内容全面，实际可行性较高的计3-5 分；2.承诺内容比较全面，有一定的可行性的赋2-3 分；3.承诺内容一般，赋 1-2 分；4.未提供服务承诺不计分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采用低价优先法，满足磋商文件要求且最后报价最低的供应商的价格为磋商基准价，其价格分为满分20 分。其他供应商的价格分统一按照下列公式计算： 磋商报价得分＝（磋商基准价/最后磋商报价）×20％×100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