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版本号：ZCSP-渭南高新区-2025-0006520260108001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渭南高新区政务服务大厅搬迁工程(二次)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ZCSP-渭南高新区-2025-00065</w:t>
      </w:r>
      <w:r>
        <w:br/>
      </w:r>
      <w:r>
        <w:br/>
      </w:r>
      <w:r>
        <w:br/>
      </w:r>
    </w:p>
    <w:p>
      <w:pPr>
        <w:pStyle w:val="null3"/>
        <w:jc w:val="center"/>
        <w:outlineLvl w:val="2"/>
      </w:pPr>
      <w:r>
        <w:rPr>
          <w:rFonts w:ascii="仿宋_GB2312" w:hAnsi="仿宋_GB2312" w:cs="仿宋_GB2312" w:eastAsia="仿宋_GB2312"/>
          <w:sz w:val="28"/>
          <w:b/>
        </w:rPr>
        <w:t>渭南高新区行政审批服务局</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渭南高新区行政审批服务局</w:t>
      </w:r>
      <w:r>
        <w:rPr>
          <w:rFonts w:ascii="仿宋_GB2312" w:hAnsi="仿宋_GB2312" w:cs="仿宋_GB2312" w:eastAsia="仿宋_GB2312"/>
        </w:rPr>
        <w:t>委托，拟对</w:t>
      </w:r>
      <w:r>
        <w:rPr>
          <w:rFonts w:ascii="仿宋_GB2312" w:hAnsi="仿宋_GB2312" w:cs="仿宋_GB2312" w:eastAsia="仿宋_GB2312"/>
        </w:rPr>
        <w:t>渭南高新区政务服务大厅搬迁工程(二次)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ZCSP-渭南高新区-2025-00065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渭南高新区政务服务大厅搬迁工程(二次)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渭南高新区政务服务大厅改造设备购置、政务服务平台迁移及配套技术服务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采购包1（办公家具）：属于专门面向中小企业采购。</w:t>
      </w:r>
    </w:p>
    <w:p>
      <w:pPr>
        <w:pStyle w:val="null3"/>
      </w:pPr>
      <w:r>
        <w:rPr>
          <w:rFonts w:ascii="仿宋_GB2312" w:hAnsi="仿宋_GB2312" w:cs="仿宋_GB2312" w:eastAsia="仿宋_GB2312"/>
        </w:rPr>
        <w:t>采购包2（设备采购）：属于专门面向中小企业采购。</w:t>
      </w:r>
    </w:p>
    <w:p>
      <w:pPr>
        <w:pStyle w:val="null3"/>
      </w:pPr>
      <w:r>
        <w:rPr>
          <w:rFonts w:ascii="仿宋_GB2312" w:hAnsi="仿宋_GB2312" w:cs="仿宋_GB2312" w:eastAsia="仿宋_GB2312"/>
        </w:rPr>
        <w:t>采购包3（政务服务平台迁移及配套）：属于专门面向中小企业采购。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资格：供应商为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2、参会代表：供应商应授权合法的人员参加磋商全过程，其中法定代表人/负责人直接参加的，须提交法定代表人/负责人身份证明书和身份证。法定代表人/负责人授权代表参加的，须出具法定代表人/负责人授权书及授权代表身份证和在本单位的社会保障资金缴纳证明</w:t>
      </w:r>
    </w:p>
    <w:p>
      <w:pPr>
        <w:pStyle w:val="null3"/>
      </w:pPr>
      <w:r>
        <w:rPr>
          <w:rFonts w:ascii="仿宋_GB2312" w:hAnsi="仿宋_GB2312" w:cs="仿宋_GB2312" w:eastAsia="仿宋_GB2312"/>
        </w:rPr>
        <w:t>3、财务状况报告：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p>
      <w:pPr>
        <w:pStyle w:val="null3"/>
      </w:pPr>
      <w:r>
        <w:rPr>
          <w:rFonts w:ascii="仿宋_GB2312" w:hAnsi="仿宋_GB2312" w:cs="仿宋_GB2312" w:eastAsia="仿宋_GB2312"/>
        </w:rPr>
        <w:t>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5、税收缴纳证明：提供2025年1月至今已缴纳的至少1个月的税收缴纳证明（银行缴费凭证或税收完税证明），依法免税的单位应提供相关证明材料。</w:t>
      </w:r>
    </w:p>
    <w:p>
      <w:pPr>
        <w:pStyle w:val="null3"/>
      </w:pPr>
      <w:r>
        <w:rPr>
          <w:rFonts w:ascii="仿宋_GB2312" w:hAnsi="仿宋_GB2312" w:cs="仿宋_GB2312" w:eastAsia="仿宋_GB2312"/>
        </w:rPr>
        <w:t>6、承诺书：供应商须提供具有履行合同所必需的设备和专业技术能力的承诺。</w:t>
      </w:r>
    </w:p>
    <w:p>
      <w:pPr>
        <w:pStyle w:val="null3"/>
      </w:pPr>
      <w:r>
        <w:rPr>
          <w:rFonts w:ascii="仿宋_GB2312" w:hAnsi="仿宋_GB2312" w:cs="仿宋_GB2312" w:eastAsia="仿宋_GB2312"/>
        </w:rPr>
        <w:t>7、书面声明：供应商应具备良好的商业信誉，提供参加政府采购活动前3年内在经营活动中没有重大违法记录的书面声明。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10、供应商书面声明：供应商未为本项目提供整体设计、规范编制或者项目管理、监理、检测等服务的书面声明。</w:t>
      </w:r>
    </w:p>
    <w:p>
      <w:pPr>
        <w:pStyle w:val="null3"/>
      </w:pPr>
      <w:r>
        <w:rPr>
          <w:rFonts w:ascii="仿宋_GB2312" w:hAnsi="仿宋_GB2312" w:cs="仿宋_GB2312" w:eastAsia="仿宋_GB2312"/>
        </w:rPr>
        <w:t>11、中小企业声明函：本项目专门面向中小企业采购，供应商须提供《中小企业声明函》。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独立承担民事责任的资格：供应商为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2、参会代表：供应商应授权合法的人员参加磋商全过程，其中法定代表人/负责人直接参加的，须提交法定代表人/负责人身份证明书和身份证。法定代表人/负责人授权代表参加的，须出具法定代表人/负责人授权书及授权代表身份证和在本单位的社会保障资金缴纳证明</w:t>
      </w:r>
    </w:p>
    <w:p>
      <w:pPr>
        <w:pStyle w:val="null3"/>
      </w:pPr>
      <w:r>
        <w:rPr>
          <w:rFonts w:ascii="仿宋_GB2312" w:hAnsi="仿宋_GB2312" w:cs="仿宋_GB2312" w:eastAsia="仿宋_GB2312"/>
        </w:rPr>
        <w:t>3、财务状况报告：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p>
      <w:pPr>
        <w:pStyle w:val="null3"/>
      </w:pPr>
      <w:r>
        <w:rPr>
          <w:rFonts w:ascii="仿宋_GB2312" w:hAnsi="仿宋_GB2312" w:cs="仿宋_GB2312" w:eastAsia="仿宋_GB2312"/>
        </w:rPr>
        <w:t>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5、税收缴纳证明：提供2025年1月至今已缴纳的至少1个月的税收缴纳证明（银行缴费凭证或税收完税证明），依法免税的单位应提供相关证明材料。</w:t>
      </w:r>
    </w:p>
    <w:p>
      <w:pPr>
        <w:pStyle w:val="null3"/>
      </w:pPr>
      <w:r>
        <w:rPr>
          <w:rFonts w:ascii="仿宋_GB2312" w:hAnsi="仿宋_GB2312" w:cs="仿宋_GB2312" w:eastAsia="仿宋_GB2312"/>
        </w:rPr>
        <w:t>6、承诺书：供应商须提供具有履行合同所必需的设备和专业技术能力的承诺。</w:t>
      </w:r>
    </w:p>
    <w:p>
      <w:pPr>
        <w:pStyle w:val="null3"/>
      </w:pPr>
      <w:r>
        <w:rPr>
          <w:rFonts w:ascii="仿宋_GB2312" w:hAnsi="仿宋_GB2312" w:cs="仿宋_GB2312" w:eastAsia="仿宋_GB2312"/>
        </w:rPr>
        <w:t>7、书面声明：供应商应具备良好的商业信誉，提供参加政府采购活动前3年内在经营活动中没有重大违法记录的书面声明。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10、供应商书面声明：供应商未为本项目提供整体设计、规范编制或者项目管理、监理、检测等服务的书面声明。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独立承担民事责任的资格：供应商为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2、参会代表：供应商应授权合法的人员参加磋商全过程，其中法定代表人/负责人直接参加的，须提交法定代表人/负责人身份证明书和身份证。法定代表人/负责人授权代表参加的，须出具法定代表人/负责人授权书及授权代表身份证和在本单位的社会保障资金缴纳证明</w:t>
      </w:r>
    </w:p>
    <w:p>
      <w:pPr>
        <w:pStyle w:val="null3"/>
      </w:pPr>
      <w:r>
        <w:rPr>
          <w:rFonts w:ascii="仿宋_GB2312" w:hAnsi="仿宋_GB2312" w:cs="仿宋_GB2312" w:eastAsia="仿宋_GB2312"/>
        </w:rPr>
        <w:t>3、财务状况报告：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p>
      <w:pPr>
        <w:pStyle w:val="null3"/>
      </w:pPr>
      <w:r>
        <w:rPr>
          <w:rFonts w:ascii="仿宋_GB2312" w:hAnsi="仿宋_GB2312" w:cs="仿宋_GB2312" w:eastAsia="仿宋_GB2312"/>
        </w:rPr>
        <w:t>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5、税收缴纳证明：提供2025年1月至今已缴纳的至少1个月的税收缴纳证明（银行缴费凭证或税收完税证明），依法免税的单位应提供相关证明材料。</w:t>
      </w:r>
    </w:p>
    <w:p>
      <w:pPr>
        <w:pStyle w:val="null3"/>
      </w:pPr>
      <w:r>
        <w:rPr>
          <w:rFonts w:ascii="仿宋_GB2312" w:hAnsi="仿宋_GB2312" w:cs="仿宋_GB2312" w:eastAsia="仿宋_GB2312"/>
        </w:rPr>
        <w:t>6、承诺书：供应商须提供具有履行合同所必需的设备和专业技术能力的承诺。</w:t>
      </w:r>
    </w:p>
    <w:p>
      <w:pPr>
        <w:pStyle w:val="null3"/>
      </w:pPr>
      <w:r>
        <w:rPr>
          <w:rFonts w:ascii="仿宋_GB2312" w:hAnsi="仿宋_GB2312" w:cs="仿宋_GB2312" w:eastAsia="仿宋_GB2312"/>
        </w:rPr>
        <w:t>7、书面声明：供应商应具备良好的商业信誉，提供参加政府采购活动前3年内在经营活动中没有重大违法记录的书面声明。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10、供应商书面声明：供应商未为本项目提供整体设计、规范编制或者项目管理、监理、检测等服务的书面声明。</w:t>
      </w:r>
    </w:p>
    <w:p>
      <w:pPr>
        <w:pStyle w:val="null3"/>
      </w:pPr>
      <w:r>
        <w:rPr>
          <w:rFonts w:ascii="仿宋_GB2312" w:hAnsi="仿宋_GB2312" w:cs="仿宋_GB2312" w:eastAsia="仿宋_GB2312"/>
        </w:rPr>
        <w:t>11、中小企业声明函：本项目专门面向中小企业采购，供应商须提供《中小企业声明函》。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渭南高新区行政审批服务局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渭南高新区敬贤大街东段行政服务中心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汤龙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0913-2110691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西安市曲江新区雁南五路1868号1幢11901室（曲江影视大厦19楼）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田凯、李娜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18220503793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高新区政府采购管理股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贺晓静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0913-2111101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采购包1：89,800.00元</w:t>
            </w:r>
          </w:p>
          <w:p>
            <w:pPr>
              <w:pStyle w:val="null3"/>
            </w:pPr>
            <w:r>
              <w:rPr>
                <w:rFonts w:ascii="仿宋_GB2312" w:hAnsi="仿宋_GB2312" w:cs="仿宋_GB2312" w:eastAsia="仿宋_GB2312"/>
              </w:rPr>
              <w:t>采购包2：515,700.00元</w:t>
            </w:r>
          </w:p>
          <w:p>
            <w:pPr>
              <w:pStyle w:val="null3"/>
            </w:pPr>
            <w:r>
              <w:rPr>
                <w:rFonts w:ascii="仿宋_GB2312" w:hAnsi="仿宋_GB2312" w:cs="仿宋_GB2312" w:eastAsia="仿宋_GB2312"/>
              </w:rPr>
              <w:t>采购包3：174,600.00元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合同包2中的：办公台式计算机、打印机、证照打印机、证照打印机</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代理服务费收费标准：参照“国家计委关于印发《招标代理服务费管理暂行办法的通知》（计价格[2002]1980号）”规定收费标准收取，服务费由中标（成交）供应商向受托人支付。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渭南高新区行政审批服务局</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渭南高新区行政审批服务局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渭南高新区行政审批服务局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采购包2：项目包干价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采购包3：项目包干价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采购文件及供应商响应文件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采购文件及供应商响应文件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采购文件及供应商响应文件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联系电话：18220503798</w:t>
      </w:r>
    </w:p>
    <w:p>
      <w:pPr>
        <w:pStyle w:val="null3"/>
      </w:pPr>
      <w:r>
        <w:rPr>
          <w:rFonts w:ascii="仿宋_GB2312" w:hAnsi="仿宋_GB2312" w:cs="仿宋_GB2312" w:eastAsia="仿宋_GB2312"/>
        </w:rPr>
        <w:t>地址：西安市曲江新区雁南五路1868号1幢11901室(曲江影视大厦19楼)</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89,800.00</w:t>
      </w:r>
    </w:p>
    <w:p>
      <w:pPr>
        <w:pStyle w:val="null3"/>
      </w:pPr>
      <w:r>
        <w:rPr>
          <w:rFonts w:ascii="仿宋_GB2312" w:hAnsi="仿宋_GB2312" w:cs="仿宋_GB2312" w:eastAsia="仿宋_GB2312"/>
        </w:rPr>
        <w:t>采购包最高限价（元）: 89,800.00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办公家具</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89,800.00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工业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515,700.00</w:t>
      </w:r>
    </w:p>
    <w:p>
      <w:pPr>
        <w:pStyle w:val="null3"/>
      </w:pPr>
      <w:r>
        <w:rPr>
          <w:rFonts w:ascii="仿宋_GB2312" w:hAnsi="仿宋_GB2312" w:cs="仿宋_GB2312" w:eastAsia="仿宋_GB2312"/>
        </w:rPr>
        <w:t>采购包最高限价（元）: 515,700.00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设备采购</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515,700.00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工业</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174,600.00</w:t>
      </w:r>
    </w:p>
    <w:p>
      <w:pPr>
        <w:pStyle w:val="null3"/>
      </w:pPr>
      <w:r>
        <w:rPr>
          <w:rFonts w:ascii="仿宋_GB2312" w:hAnsi="仿宋_GB2312" w:cs="仿宋_GB2312" w:eastAsia="仿宋_GB2312"/>
        </w:rPr>
        <w:t>采购包最高限价（元）: 174,600.00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政务服务平台迁移及配套</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174,600.00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66"/>
              <w:gridCol w:w="363"/>
              <w:gridCol w:w="363"/>
              <w:gridCol w:w="923"/>
              <w:gridCol w:w="233"/>
              <w:gridCol w:w="401"/>
            </w:tblGrid>
            <w:tr>
              <w:tc>
                <w:tcPr>
                  <w:tcW w:type="dxa" w:w="26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72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92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23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4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266"/>
                  <w:vMerge/>
                  <w:tcBorders>
                    <w:top w:val="single" w:color="000000" w:sz="4"/>
                    <w:left w:val="single" w:color="000000" w:sz="4"/>
                    <w:bottom w:val="single" w:color="000000" w:sz="4"/>
                    <w:right w:val="single" w:color="000000" w:sz="4"/>
                  </w:tcBorders>
                </w:tcPr>
                <w:p/>
              </w:tc>
              <w:tc>
                <w:tcPr>
                  <w:tcW w:type="dxa" w:w="726"/>
                  <w:gridSpan w:val="2"/>
                  <w:vMerge/>
                  <w:tcBorders>
                    <w:top w:val="single" w:color="000000" w:sz="4"/>
                    <w:left w:val="single" w:color="000000" w:sz="4"/>
                    <w:bottom w:val="single" w:color="000000" w:sz="4"/>
                    <w:right w:val="single" w:color="000000" w:sz="4"/>
                  </w:tcBorders>
                </w:tcPr>
                <w:p/>
              </w:tc>
              <w:tc>
                <w:tcPr>
                  <w:tcW w:type="dxa" w:w="923"/>
                  <w:vMerge/>
                  <w:tcBorders>
                    <w:top w:val="single" w:color="000000" w:sz="4"/>
                    <w:left w:val="single" w:color="000000" w:sz="4"/>
                    <w:bottom w:val="single" w:color="000000" w:sz="4"/>
                    <w:right w:val="single" w:color="000000" w:sz="4"/>
                  </w:tcBorders>
                </w:tcP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8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办公室</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办公桌</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1.规格:1.4m*0.7m*0.75m</w:t>
                  </w:r>
                  <w:r>
                    <w:br/>
                  </w:r>
                  <w:r>
                    <w:rPr>
                      <w:rFonts w:ascii="仿宋_GB2312" w:hAnsi="仿宋_GB2312" w:cs="仿宋_GB2312" w:eastAsia="仿宋_GB2312"/>
                      <w:sz w:val="19"/>
                      <w:color w:val="000000"/>
                    </w:rPr>
                    <w:t xml:space="preserve"> 2.材质：人造板材</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办公椅</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1.规格:0.5m*0.45m*0.95m</w:t>
                  </w:r>
                  <w:r>
                    <w:br/>
                  </w:r>
                  <w:r>
                    <w:rPr>
                      <w:rFonts w:ascii="仿宋_GB2312" w:hAnsi="仿宋_GB2312" w:cs="仿宋_GB2312" w:eastAsia="仿宋_GB2312"/>
                      <w:sz w:val="19"/>
                      <w:color w:val="000000"/>
                    </w:rPr>
                    <w:t xml:space="preserve"> 2.材质：网布椅</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三人沙发</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1.规格:1.8m长</w:t>
                  </w:r>
                  <w:r>
                    <w:br/>
                  </w:r>
                  <w:r>
                    <w:rPr>
                      <w:rFonts w:ascii="仿宋_GB2312" w:hAnsi="仿宋_GB2312" w:cs="仿宋_GB2312" w:eastAsia="仿宋_GB2312"/>
                      <w:sz w:val="19"/>
                      <w:color w:val="000000"/>
                    </w:rPr>
                    <w:t xml:space="preserve"> 2.材质：皮革</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小茶几</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1.规格:1.2m*0.6m*0.4m</w:t>
                  </w:r>
                  <w:r>
                    <w:br/>
                  </w:r>
                  <w:r>
                    <w:rPr>
                      <w:rFonts w:ascii="仿宋_GB2312" w:hAnsi="仿宋_GB2312" w:cs="仿宋_GB2312" w:eastAsia="仿宋_GB2312"/>
                      <w:sz w:val="19"/>
                      <w:color w:val="000000"/>
                    </w:rPr>
                    <w:t xml:space="preserve"> 2.材质：人造板材</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角几</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1.规格:0.6m*0.6m*0.6</w:t>
                  </w:r>
                  <w:r>
                    <w:br/>
                  </w:r>
                  <w:r>
                    <w:rPr>
                      <w:rFonts w:ascii="仿宋_GB2312" w:hAnsi="仿宋_GB2312" w:cs="仿宋_GB2312" w:eastAsia="仿宋_GB2312"/>
                      <w:sz w:val="19"/>
                      <w:color w:val="000000"/>
                    </w:rPr>
                    <w:t xml:space="preserve"> 2.材质：人造板材</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文件柜</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1.规格:2m*2m</w:t>
                  </w:r>
                  <w:r>
                    <w:br/>
                  </w:r>
                  <w:r>
                    <w:rPr>
                      <w:rFonts w:ascii="仿宋_GB2312" w:hAnsi="仿宋_GB2312" w:cs="仿宋_GB2312" w:eastAsia="仿宋_GB2312"/>
                      <w:sz w:val="19"/>
                      <w:color w:val="000000"/>
                    </w:rPr>
                    <w:t xml:space="preserve"> 2.材质：木质文件柜</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8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母婴间</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双人沙发</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1.规格:1.5m长</w:t>
                  </w:r>
                  <w:r>
                    <w:br/>
                  </w:r>
                  <w:r>
                    <w:rPr>
                      <w:rFonts w:ascii="仿宋_GB2312" w:hAnsi="仿宋_GB2312" w:cs="仿宋_GB2312" w:eastAsia="仿宋_GB2312"/>
                      <w:sz w:val="19"/>
                      <w:color w:val="000000"/>
                    </w:rPr>
                    <w:t xml:space="preserve"> 2.材质：布艺</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小茶几</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1.规格:直径0.8m</w:t>
                  </w:r>
                  <w:r>
                    <w:br/>
                  </w:r>
                  <w:r>
                    <w:rPr>
                      <w:rFonts w:ascii="仿宋_GB2312" w:hAnsi="仿宋_GB2312" w:cs="仿宋_GB2312" w:eastAsia="仿宋_GB2312"/>
                      <w:sz w:val="19"/>
                      <w:color w:val="000000"/>
                    </w:rPr>
                    <w:t xml:space="preserve"> 2.材质：人造板材</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单人沙发</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1.规格:0.9*m0.9m</w:t>
                  </w:r>
                  <w:r>
                    <w:br/>
                  </w:r>
                  <w:r>
                    <w:rPr>
                      <w:rFonts w:ascii="仿宋_GB2312" w:hAnsi="仿宋_GB2312" w:cs="仿宋_GB2312" w:eastAsia="仿宋_GB2312"/>
                      <w:sz w:val="19"/>
                      <w:color w:val="000000"/>
                    </w:rPr>
                    <w:t xml:space="preserve"> 2.材质：布艺</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角几</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1.规格:直径0.45m</w:t>
                  </w:r>
                  <w:r>
                    <w:br/>
                  </w:r>
                  <w:r>
                    <w:rPr>
                      <w:rFonts w:ascii="仿宋_GB2312" w:hAnsi="仿宋_GB2312" w:cs="仿宋_GB2312" w:eastAsia="仿宋_GB2312"/>
                      <w:sz w:val="19"/>
                      <w:color w:val="000000"/>
                    </w:rPr>
                    <w:t xml:space="preserve"> 2.材质：人造板材</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8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读书区</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单椅沙发</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1.规格:0.75*m0.8m*0.85m</w:t>
                  </w:r>
                  <w:r>
                    <w:br/>
                  </w:r>
                  <w:r>
                    <w:rPr>
                      <w:rFonts w:ascii="仿宋_GB2312" w:hAnsi="仿宋_GB2312" w:cs="仿宋_GB2312" w:eastAsia="仿宋_GB2312"/>
                      <w:sz w:val="19"/>
                      <w:color w:val="000000"/>
                    </w:rPr>
                    <w:t xml:space="preserve"> 2.材质：布艺</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圆桌</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1.规格:直径0.7m</w:t>
                  </w:r>
                  <w:r>
                    <w:br/>
                  </w:r>
                  <w:r>
                    <w:rPr>
                      <w:rFonts w:ascii="仿宋_GB2312" w:hAnsi="仿宋_GB2312" w:cs="仿宋_GB2312" w:eastAsia="仿宋_GB2312"/>
                      <w:sz w:val="19"/>
                      <w:color w:val="000000"/>
                    </w:rPr>
                    <w:t xml:space="preserve"> 2.材质：人造板材</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8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水吧区</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单椅沙发</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1.规格:0.75*m0.8m*0.85m</w:t>
                  </w:r>
                  <w:r>
                    <w:br/>
                  </w:r>
                  <w:r>
                    <w:rPr>
                      <w:rFonts w:ascii="仿宋_GB2312" w:hAnsi="仿宋_GB2312" w:cs="仿宋_GB2312" w:eastAsia="仿宋_GB2312"/>
                      <w:sz w:val="19"/>
                      <w:color w:val="000000"/>
                    </w:rPr>
                    <w:t xml:space="preserve"> 2.材质：布艺</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圆桌</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1.规格:直径0.7m</w:t>
                  </w:r>
                  <w:r>
                    <w:br/>
                  </w:r>
                  <w:r>
                    <w:rPr>
                      <w:rFonts w:ascii="仿宋_GB2312" w:hAnsi="仿宋_GB2312" w:cs="仿宋_GB2312" w:eastAsia="仿宋_GB2312"/>
                      <w:sz w:val="19"/>
                      <w:color w:val="000000"/>
                    </w:rPr>
                    <w:t xml:space="preserve"> 2.材质：人造板材</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8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导办台</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接待椅</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1.规格:0.5m*0.45m*0.95m</w:t>
                  </w:r>
                  <w:r>
                    <w:br/>
                  </w:r>
                  <w:r>
                    <w:rPr>
                      <w:rFonts w:ascii="仿宋_GB2312" w:hAnsi="仿宋_GB2312" w:cs="仿宋_GB2312" w:eastAsia="仿宋_GB2312"/>
                      <w:sz w:val="19"/>
                      <w:color w:val="000000"/>
                    </w:rPr>
                    <w:t xml:space="preserve"> 2.材质：皮革</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8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帮办专区</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办公椅</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1.规格:0.5m*0.45m*0.95m</w:t>
                  </w:r>
                  <w:r>
                    <w:br/>
                  </w:r>
                  <w:r>
                    <w:rPr>
                      <w:rFonts w:ascii="仿宋_GB2312" w:hAnsi="仿宋_GB2312" w:cs="仿宋_GB2312" w:eastAsia="仿宋_GB2312"/>
                      <w:sz w:val="19"/>
                      <w:color w:val="000000"/>
                    </w:rPr>
                    <w:t xml:space="preserve"> 2.材质：网布椅</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8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后台区</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办公椅</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1.规格:0.5m*0.45m*0.95m</w:t>
                  </w:r>
                  <w:r>
                    <w:br/>
                  </w:r>
                  <w:r>
                    <w:rPr>
                      <w:rFonts w:ascii="仿宋_GB2312" w:hAnsi="仿宋_GB2312" w:cs="仿宋_GB2312" w:eastAsia="仿宋_GB2312"/>
                      <w:sz w:val="19"/>
                      <w:color w:val="000000"/>
                    </w:rPr>
                    <w:t xml:space="preserve"> 2.材质：网布椅</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14</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文件柜</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1.规格:1.2m*2m</w:t>
                  </w:r>
                  <w:r>
                    <w:br/>
                  </w:r>
                  <w:r>
                    <w:rPr>
                      <w:rFonts w:ascii="仿宋_GB2312" w:hAnsi="仿宋_GB2312" w:cs="仿宋_GB2312" w:eastAsia="仿宋_GB2312"/>
                      <w:sz w:val="19"/>
                      <w:color w:val="000000"/>
                    </w:rPr>
                    <w:t xml:space="preserve"> 2.材质：铁艺文件柜</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7</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83"/>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自助服务区</w:t>
                  </w:r>
                </w:p>
              </w:tc>
            </w:tr>
            <w:tr>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72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吧台椅</w:t>
                  </w:r>
                </w:p>
              </w:tc>
              <w:tc>
                <w:tcPr>
                  <w:tcW w:type="dxa" w:w="9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1.规格:0.5m*0.45m*0.95m</w:t>
                  </w:r>
                  <w:r>
                    <w:br/>
                  </w:r>
                  <w:r>
                    <w:rPr>
                      <w:rFonts w:ascii="仿宋_GB2312" w:hAnsi="仿宋_GB2312" w:cs="仿宋_GB2312" w:eastAsia="仿宋_GB2312"/>
                      <w:sz w:val="19"/>
                      <w:color w:val="000000"/>
                    </w:rPr>
                    <w:t xml:space="preserve"> 2.材质：皮革</w:t>
                  </w:r>
                </w:p>
              </w:tc>
              <w:tc>
                <w:tcPr>
                  <w:tcW w:type="dxa" w:w="2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2555"/>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44"/>
                    </w:rPr>
                    <w:t>设备清单</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办公台式计算机</w:t>
                  </w:r>
                </w:p>
                <w:p>
                  <w:pPr>
                    <w:pStyle w:val="null3"/>
                    <w:jc w:val="center"/>
                  </w:pPr>
                  <w:r>
                    <w:rPr>
                      <w:rFonts w:ascii="仿宋_GB2312" w:hAnsi="仿宋_GB2312" w:cs="仿宋_GB2312" w:eastAsia="仿宋_GB2312"/>
                      <w:sz w:val="24"/>
                    </w:rPr>
                    <w:t>（强制采购的节能产品）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1、机箱:≥13.6L，支持全高全场扩展卡；</w:t>
                  </w:r>
                  <w:r>
                    <w:br/>
                  </w:r>
                  <w:r>
                    <w:rPr>
                      <w:rFonts w:ascii="仿宋_GB2312" w:hAnsi="仿宋_GB2312" w:cs="仿宋_GB2312" w:eastAsia="仿宋_GB2312"/>
                      <w:sz w:val="24"/>
                    </w:rPr>
                    <w:t>2、处理器:≥1颗通过安全可靠测评要求国产处理器，核数≥8核，主频≥2.8GHz；</w:t>
                  </w:r>
                  <w:r>
                    <w:br/>
                  </w:r>
                  <w:r>
                    <w:rPr>
                      <w:rFonts w:ascii="仿宋_GB2312" w:hAnsi="仿宋_GB2312" w:cs="仿宋_GB2312" w:eastAsia="仿宋_GB2312"/>
                      <w:sz w:val="24"/>
                    </w:rPr>
                    <w:t>3、内存:配置16GB DDR4 UDIMM内存，配置≥2个内存插槽；</w:t>
                  </w:r>
                  <w:r>
                    <w:br/>
                  </w:r>
                  <w:r>
                    <w:rPr>
                      <w:rFonts w:ascii="仿宋_GB2312" w:hAnsi="仿宋_GB2312" w:cs="仿宋_GB2312" w:eastAsia="仿宋_GB2312"/>
                      <w:sz w:val="24"/>
                    </w:rPr>
                    <w:t>4、显卡:集成显卡，另可以支持独立显卡；</w:t>
                  </w:r>
                  <w:r>
                    <w:br/>
                  </w:r>
                  <w:r>
                    <w:rPr>
                      <w:rFonts w:ascii="仿宋_GB2312" w:hAnsi="仿宋_GB2312" w:cs="仿宋_GB2312" w:eastAsia="仿宋_GB2312"/>
                      <w:sz w:val="24"/>
                    </w:rPr>
                    <w:t>5、硬盘:≥1TGB M.2接口NVME协议SSD。支持机械硬盘扩展；</w:t>
                  </w:r>
                  <w:r>
                    <w:br/>
                  </w:r>
                  <w:r>
                    <w:rPr>
                      <w:rFonts w:ascii="仿宋_GB2312" w:hAnsi="仿宋_GB2312" w:cs="仿宋_GB2312" w:eastAsia="仿宋_GB2312"/>
                      <w:sz w:val="24"/>
                    </w:rPr>
                    <w:t>6、电源:电源功率≤200W；</w:t>
                  </w:r>
                  <w:r>
                    <w:br/>
                  </w:r>
                  <w:r>
                    <w:rPr>
                      <w:rFonts w:ascii="仿宋_GB2312" w:hAnsi="仿宋_GB2312" w:cs="仿宋_GB2312" w:eastAsia="仿宋_GB2312"/>
                      <w:sz w:val="24"/>
                    </w:rPr>
                    <w:t xml:space="preserve">7、网络:1个RJ45 10/100/1000自适应以太网口；标配1个内置M.2 WiFi接口； </w:t>
                  </w:r>
                  <w:r>
                    <w:br/>
                  </w:r>
                  <w:r>
                    <w:rPr>
                      <w:rFonts w:ascii="仿宋_GB2312" w:hAnsi="仿宋_GB2312" w:cs="仿宋_GB2312" w:eastAsia="仿宋_GB2312"/>
                      <w:sz w:val="24"/>
                    </w:rPr>
                    <w:t>接口扩展</w:t>
                  </w:r>
                  <w:r>
                    <w:rPr>
                      <w:rFonts w:ascii="仿宋_GB2312" w:hAnsi="仿宋_GB2312" w:cs="仿宋_GB2312" w:eastAsia="仿宋_GB2312"/>
                      <w:sz w:val="24"/>
                    </w:rPr>
                    <w:t>: ≥3个PCIE扩展插槽；USB3.0接口≥8个；</w:t>
                  </w:r>
                </w:p>
                <w:p>
                  <w:pPr>
                    <w:pStyle w:val="null3"/>
                    <w:jc w:val="left"/>
                  </w:pPr>
                  <w:r>
                    <w:rPr>
                      <w:rFonts w:ascii="仿宋_GB2312" w:hAnsi="仿宋_GB2312" w:cs="仿宋_GB2312" w:eastAsia="仿宋_GB2312"/>
                      <w:sz w:val="24"/>
                    </w:rPr>
                    <w:t>8、音频接口：麦克风1个，耳机1个；后端3个Audio音频接口；</w:t>
                  </w:r>
                  <w:r>
                    <w:br/>
                  </w:r>
                  <w:r>
                    <w:rPr>
                      <w:rFonts w:ascii="仿宋_GB2312" w:hAnsi="仿宋_GB2312" w:cs="仿宋_GB2312" w:eastAsia="仿宋_GB2312"/>
                      <w:sz w:val="24"/>
                    </w:rPr>
                    <w:t>9、数据安全: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1）支持基于BIOS级的一键备份和恢复的功能（非操作系统自带功能），</w:t>
                  </w:r>
                  <w:r>
                    <w:br/>
                  </w:r>
                  <w:r>
                    <w:rPr>
                      <w:rFonts w:ascii="仿宋_GB2312" w:hAnsi="仿宋_GB2312" w:cs="仿宋_GB2312" w:eastAsia="仿宋_GB2312"/>
                      <w:sz w:val="24"/>
                    </w:rPr>
                    <w:t>（</w:t>
                  </w:r>
                  <w:r>
                    <w:rPr>
                      <w:rFonts w:ascii="仿宋_GB2312" w:hAnsi="仿宋_GB2312" w:cs="仿宋_GB2312" w:eastAsia="仿宋_GB2312"/>
                      <w:sz w:val="24"/>
                    </w:rPr>
                    <w:t>2）BIOS级USB屏蔽及智能USB数据保护：USB支持BIOS下接口开关，针对存储设备支持USB接口切换禁止访问模式/只读模式。</w:t>
                  </w:r>
                  <w:r>
                    <w:br/>
                  </w:r>
                  <w:r>
                    <w:rPr>
                      <w:rFonts w:ascii="仿宋_GB2312" w:hAnsi="仿宋_GB2312" w:cs="仿宋_GB2312" w:eastAsia="仿宋_GB2312"/>
                      <w:sz w:val="24"/>
                    </w:rPr>
                    <w:t>10、质控水平</w:t>
                  </w:r>
                  <w:r>
                    <w:br/>
                  </w:r>
                  <w:r>
                    <w:rPr>
                      <w:rFonts w:ascii="仿宋_GB2312" w:hAnsi="仿宋_GB2312" w:cs="仿宋_GB2312" w:eastAsia="仿宋_GB2312"/>
                      <w:sz w:val="24"/>
                    </w:rPr>
                    <w:t>（</w:t>
                  </w:r>
                  <w:r>
                    <w:rPr>
                      <w:rFonts w:ascii="仿宋_GB2312" w:hAnsi="仿宋_GB2312" w:cs="仿宋_GB2312" w:eastAsia="仿宋_GB2312"/>
                      <w:sz w:val="24"/>
                    </w:rPr>
                    <w:t>1）静音舒适性：考虑工作环境的静音舒适，要求设备的噪声声功率级≤3.10Bel，噪声声压级≤19.34dB，提供证书证明文件；</w:t>
                  </w:r>
                  <w:r>
                    <w:br/>
                  </w:r>
                  <w:r>
                    <w:rPr>
                      <w:rFonts w:ascii="仿宋_GB2312" w:hAnsi="仿宋_GB2312" w:cs="仿宋_GB2312" w:eastAsia="仿宋_GB2312"/>
                      <w:sz w:val="24"/>
                    </w:rPr>
                    <w:t>（</w:t>
                  </w:r>
                  <w:r>
                    <w:rPr>
                      <w:rFonts w:ascii="仿宋_GB2312" w:hAnsi="仿宋_GB2312" w:cs="仿宋_GB2312" w:eastAsia="仿宋_GB2312"/>
                      <w:sz w:val="24"/>
                    </w:rPr>
                    <w:t>2）环境适应性：考虑使用环境差异，要求设备通过温度0~40℃/低气压61.6kPa（4000m）的环境适应性认证，提供证书证明文件；</w:t>
                  </w:r>
                  <w:r>
                    <w:br/>
                  </w:r>
                  <w:r>
                    <w:rPr>
                      <w:rFonts w:ascii="仿宋_GB2312" w:hAnsi="仿宋_GB2312" w:cs="仿宋_GB2312" w:eastAsia="仿宋_GB2312"/>
                      <w:sz w:val="24"/>
                    </w:rPr>
                    <w:t>（</w:t>
                  </w:r>
                  <w:r>
                    <w:rPr>
                      <w:rFonts w:ascii="仿宋_GB2312" w:hAnsi="仿宋_GB2312" w:cs="仿宋_GB2312" w:eastAsia="仿宋_GB2312"/>
                      <w:sz w:val="24"/>
                    </w:rPr>
                    <w:t>3）电磁兼容性：考虑设备工作稳定：要求设备通过浪涌（冲击）抗扰度的适应性认证，提供证书证明文件；</w:t>
                  </w:r>
                  <w:r>
                    <w:br/>
                  </w:r>
                  <w:r>
                    <w:rPr>
                      <w:rFonts w:ascii="仿宋_GB2312" w:hAnsi="仿宋_GB2312" w:cs="仿宋_GB2312" w:eastAsia="仿宋_GB2312"/>
                      <w:sz w:val="24"/>
                    </w:rPr>
                    <w:t>11、显示器</w:t>
                  </w:r>
                  <w:r>
                    <w:br/>
                  </w:r>
                  <w:r>
                    <w:rPr>
                      <w:rFonts w:ascii="仿宋_GB2312" w:hAnsi="仿宋_GB2312" w:cs="仿宋_GB2312" w:eastAsia="仿宋_GB2312"/>
                      <w:sz w:val="24"/>
                    </w:rPr>
                    <w:t>配置</w:t>
                  </w:r>
                  <w:r>
                    <w:rPr>
                      <w:rFonts w:ascii="仿宋_GB2312" w:hAnsi="仿宋_GB2312" w:cs="仿宋_GB2312" w:eastAsia="仿宋_GB2312"/>
                      <w:sz w:val="24"/>
                    </w:rPr>
                    <w:t>≥23.8寸LED显示器，与主机同品牌，IPS屏，分辨率≥1920*1080，刷新频率≥100Hz，对比度≥1500:1，响应时间≤4ms，视频接口VGA+HDMI；</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打印机</w:t>
                  </w:r>
                </w:p>
                <w:p>
                  <w:pPr>
                    <w:pStyle w:val="null3"/>
                    <w:jc w:val="center"/>
                  </w:pPr>
                  <w:r>
                    <w:rPr>
                      <w:rFonts w:ascii="仿宋_GB2312" w:hAnsi="仿宋_GB2312" w:cs="仿宋_GB2312" w:eastAsia="仿宋_GB2312"/>
                      <w:sz w:val="24"/>
                    </w:rPr>
                    <w:t>（强制采购的节能产品）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1.打印幅面：A4双面；</w:t>
                  </w:r>
                  <w:r>
                    <w:br/>
                  </w:r>
                  <w:r>
                    <w:rPr>
                      <w:rFonts w:ascii="仿宋_GB2312" w:hAnsi="仿宋_GB2312" w:cs="仿宋_GB2312" w:eastAsia="仿宋_GB2312"/>
                      <w:sz w:val="24"/>
                    </w:rPr>
                    <w:t>2.打印速度：30页/分钟；</w:t>
                  </w:r>
                  <w:r>
                    <w:br/>
                  </w:r>
                  <w:r>
                    <w:rPr>
                      <w:rFonts w:ascii="仿宋_GB2312" w:hAnsi="仿宋_GB2312" w:cs="仿宋_GB2312" w:eastAsia="仿宋_GB2312"/>
                      <w:sz w:val="24"/>
                    </w:rPr>
                    <w:t>3.打印分辨率：HQ1200、600x600dpi；</w:t>
                  </w:r>
                  <w:r>
                    <w:br/>
                  </w:r>
                  <w:r>
                    <w:rPr>
                      <w:rFonts w:ascii="仿宋_GB2312" w:hAnsi="仿宋_GB2312" w:cs="仿宋_GB2312" w:eastAsia="仿宋_GB2312"/>
                      <w:sz w:val="24"/>
                    </w:rPr>
                    <w:t>4.打印语言：PCL6, BR-Script3；</w:t>
                  </w:r>
                  <w:r>
                    <w:br/>
                  </w:r>
                  <w:r>
                    <w:rPr>
                      <w:rFonts w:ascii="仿宋_GB2312" w:hAnsi="仿宋_GB2312" w:cs="仿宋_GB2312" w:eastAsia="仿宋_GB2312"/>
                      <w:sz w:val="24"/>
                    </w:rPr>
                    <w:t>5.打印首页输出时间：&lt;8.5秒</w:t>
                  </w:r>
                  <w:r>
                    <w:br/>
                  </w:r>
                  <w:r>
                    <w:rPr>
                      <w:rFonts w:ascii="仿宋_GB2312" w:hAnsi="仿宋_GB2312" w:cs="仿宋_GB2312" w:eastAsia="仿宋_GB2312"/>
                      <w:sz w:val="24"/>
                    </w:rPr>
                    <w:t>6.处理器：266MHz；</w:t>
                  </w:r>
                  <w:r>
                    <w:br/>
                  </w:r>
                  <w:r>
                    <w:rPr>
                      <w:rFonts w:ascii="仿宋_GB2312" w:hAnsi="仿宋_GB2312" w:cs="仿宋_GB2312" w:eastAsia="仿宋_GB2312"/>
                      <w:sz w:val="24"/>
                    </w:rPr>
                    <w:t>7.标准（最大）内存：32MB；</w:t>
                  </w:r>
                  <w:r>
                    <w:br/>
                  </w:r>
                  <w:r>
                    <w:rPr>
                      <w:rFonts w:ascii="仿宋_GB2312" w:hAnsi="仿宋_GB2312" w:cs="仿宋_GB2312" w:eastAsia="仿宋_GB2312"/>
                      <w:sz w:val="24"/>
                    </w:rPr>
                    <w:t>8.纸张输入容量-标准：250页（纸盒）＋1页（手动）；</w:t>
                  </w:r>
                  <w:r>
                    <w:br/>
                  </w:r>
                  <w:r>
                    <w:rPr>
                      <w:rFonts w:ascii="仿宋_GB2312" w:hAnsi="仿宋_GB2312" w:cs="仿宋_GB2312" w:eastAsia="仿宋_GB2312"/>
                      <w:sz w:val="24"/>
                    </w:rPr>
                    <w:t>9.纸张输出容量-标准：100页+1；</w:t>
                  </w:r>
                  <w:r>
                    <w:br/>
                  </w:r>
                  <w:r>
                    <w:rPr>
                      <w:rFonts w:ascii="仿宋_GB2312" w:hAnsi="仿宋_GB2312" w:cs="仿宋_GB2312" w:eastAsia="仿宋_GB2312"/>
                      <w:sz w:val="24"/>
                    </w:rPr>
                    <w:t>10.随机硒鼓寿命：12000页；</w:t>
                  </w:r>
                  <w:r>
                    <w:br/>
                  </w:r>
                  <w:r>
                    <w:rPr>
                      <w:rFonts w:ascii="仿宋_GB2312" w:hAnsi="仿宋_GB2312" w:cs="仿宋_GB2312" w:eastAsia="仿宋_GB2312"/>
                      <w:sz w:val="24"/>
                    </w:rPr>
                    <w:t>11.随机墨粉容量：2600页；</w:t>
                  </w:r>
                  <w:r>
                    <w:br/>
                  </w:r>
                  <w:r>
                    <w:rPr>
                      <w:rFonts w:ascii="仿宋_GB2312" w:hAnsi="仿宋_GB2312" w:cs="仿宋_GB2312" w:eastAsia="仿宋_GB2312"/>
                      <w:sz w:val="24"/>
                    </w:rPr>
                    <w:t>12.硒鼓型号/容量：LD3000/12000页；</w:t>
                  </w:r>
                  <w:r>
                    <w:br/>
                  </w:r>
                  <w:r>
                    <w:rPr>
                      <w:rFonts w:ascii="仿宋_GB2312" w:hAnsi="仿宋_GB2312" w:cs="仿宋_GB2312" w:eastAsia="仿宋_GB2312"/>
                      <w:sz w:val="24"/>
                    </w:rPr>
                    <w:t>13.墨粉型号/容量：LT3000/1500页、LT3000H/2600页；</w:t>
                  </w:r>
                  <w:r>
                    <w:br/>
                  </w:r>
                  <w:r>
                    <w:rPr>
                      <w:rFonts w:ascii="仿宋_GB2312" w:hAnsi="仿宋_GB2312" w:cs="仿宋_GB2312" w:eastAsia="仿宋_GB2312"/>
                      <w:sz w:val="24"/>
                    </w:rPr>
                    <w:t xml:space="preserve">14.保修和服务信息：一年全国免费上门服务。  </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证照打印机</w:t>
                  </w:r>
                </w:p>
                <w:p>
                  <w:pPr>
                    <w:pStyle w:val="null3"/>
                    <w:jc w:val="center"/>
                  </w:pPr>
                  <w:r>
                    <w:rPr>
                      <w:rFonts w:ascii="仿宋_GB2312" w:hAnsi="仿宋_GB2312" w:cs="仿宋_GB2312" w:eastAsia="仿宋_GB2312"/>
                      <w:sz w:val="24"/>
                    </w:rPr>
                    <w:t>（强制采购的节能产品）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A3黑白激光网络打印</w:t>
                  </w:r>
                  <w:r>
                    <w:rPr>
                      <w:rFonts w:ascii="仿宋_GB2312" w:hAnsi="仿宋_GB2312" w:cs="仿宋_GB2312" w:eastAsia="仿宋_GB2312"/>
                      <w:sz w:val="24"/>
                    </w:rPr>
                    <w:t>机</w:t>
                  </w:r>
                  <w:r>
                    <w:br/>
                  </w:r>
                  <w:r>
                    <w:rPr>
                      <w:rFonts w:ascii="仿宋_GB2312" w:hAnsi="仿宋_GB2312" w:cs="仿宋_GB2312" w:eastAsia="仿宋_GB2312"/>
                      <w:sz w:val="24"/>
                    </w:rPr>
                    <w:t>1、输出速度:黑白35页/分钟;连续复印:1-999张</w:t>
                  </w:r>
                  <w:r>
                    <w:br/>
                  </w:r>
                  <w:r>
                    <w:rPr>
                      <w:rFonts w:ascii="仿宋_GB2312" w:hAnsi="仿宋_GB2312" w:cs="仿宋_GB2312" w:eastAsia="仿宋_GB2312"/>
                      <w:sz w:val="24"/>
                    </w:rPr>
                    <w:t>2、预热时间:少于22秒;首页输出时间：4.6秒。</w:t>
                  </w:r>
                  <w:r>
                    <w:br/>
                  </w:r>
                  <w:r>
                    <w:rPr>
                      <w:rFonts w:ascii="仿宋_GB2312" w:hAnsi="仿宋_GB2312" w:cs="仿宋_GB2312" w:eastAsia="仿宋_GB2312"/>
                      <w:sz w:val="24"/>
                    </w:rPr>
                    <w:t>3、打印分辨率:1,200x2，400dpi。</w:t>
                  </w:r>
                  <w:r>
                    <w:br/>
                  </w:r>
                  <w:r>
                    <w:rPr>
                      <w:rFonts w:ascii="仿宋_GB2312" w:hAnsi="仿宋_GB2312" w:cs="仿宋_GB2312" w:eastAsia="仿宋_GB2312"/>
                      <w:sz w:val="24"/>
                    </w:rPr>
                    <w:t>4、打印语言:PCL5e、PCL6、PDF、PS3(仿真)。</w:t>
                  </w:r>
                  <w:r>
                    <w:br/>
                  </w:r>
                  <w:r>
                    <w:rPr>
                      <w:rFonts w:ascii="仿宋_GB2312" w:hAnsi="仿宋_GB2312" w:cs="仿宋_GB2312" w:eastAsia="仿宋_GB2312"/>
                      <w:sz w:val="24"/>
                    </w:rPr>
                    <w:t>5、内存:标配4GB内存，硬盘:256GB。</w:t>
                  </w:r>
                  <w:r>
                    <w:br/>
                  </w:r>
                  <w:r>
                    <w:rPr>
                      <w:rFonts w:ascii="仿宋_GB2312" w:hAnsi="仿宋_GB2312" w:cs="仿宋_GB2312" w:eastAsia="仿宋_GB2312"/>
                      <w:sz w:val="24"/>
                    </w:rPr>
                    <w:t>6、纸张容量:标配520页x2纸盒+96页手送。</w:t>
                  </w:r>
                  <w:r>
                    <w:br/>
                  </w:r>
                  <w:r>
                    <w:rPr>
                      <w:rFonts w:ascii="仿宋_GB2312" w:hAnsi="仿宋_GB2312" w:cs="仿宋_GB2312" w:eastAsia="仿宋_GB2312"/>
                      <w:sz w:val="24"/>
                    </w:rPr>
                    <w:t>7、过纸克重:52-300gsm。</w:t>
                  </w:r>
                  <w:r>
                    <w:br/>
                  </w:r>
                  <w:r>
                    <w:rPr>
                      <w:rFonts w:ascii="仿宋_GB2312" w:hAnsi="仿宋_GB2312" w:cs="仿宋_GB2312" w:eastAsia="仿宋_GB2312"/>
                      <w:sz w:val="24"/>
                    </w:rPr>
                    <w:t>8、显示屏:7英寸大尺寸智能触摸屏。</w:t>
                  </w:r>
                  <w:r>
                    <w:br/>
                  </w:r>
                  <w:r>
                    <w:rPr>
                      <w:rFonts w:ascii="仿宋_GB2312" w:hAnsi="仿宋_GB2312" w:cs="仿宋_GB2312" w:eastAsia="仿宋_GB2312"/>
                      <w:sz w:val="24"/>
                    </w:rPr>
                    <w:t>9、标配功能:支持A3幅面双面复印，有线网络打印彩色扫描;标配110页自动送稿器，扫描黑、彩同速55页/分钟</w:t>
                  </w:r>
                  <w:r>
                    <w:br/>
                  </w:r>
                  <w:r>
                    <w:rPr>
                      <w:rFonts w:ascii="仿宋_GB2312" w:hAnsi="仿宋_GB2312" w:cs="仿宋_GB2312" w:eastAsia="仿宋_GB2312"/>
                      <w:sz w:val="24"/>
                    </w:rPr>
                    <w:t>10、EA环保型碳粉，颗粒比较细</w:t>
                  </w:r>
                  <w:r>
                    <w:br/>
                  </w:r>
                  <w:r>
                    <w:rPr>
                      <w:rFonts w:ascii="仿宋_GB2312" w:hAnsi="仿宋_GB2312" w:cs="仿宋_GB2312" w:eastAsia="仿宋_GB2312"/>
                      <w:sz w:val="24"/>
                    </w:rPr>
                    <w:t>11、标配Douworks</w:t>
                  </w:r>
                  <w:r>
                    <w:br/>
                  </w:r>
                  <w:r>
                    <w:rPr>
                      <w:rFonts w:ascii="仿宋_GB2312" w:hAnsi="仿宋_GB2312" w:cs="仿宋_GB2312" w:eastAsia="仿宋_GB2312"/>
                      <w:sz w:val="24"/>
                    </w:rPr>
                    <w:t>12、标配双面打印，双面复印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叫号机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1、机柜：冷轧钢板1.5mm，钢琴烤漆工艺，独立电源，内部构件防锈、防磁、防静电</w:t>
                  </w:r>
                  <w:r>
                    <w:br/>
                  </w:r>
                  <w:r>
                    <w:rPr>
                      <w:rFonts w:ascii="仿宋_GB2312" w:hAnsi="仿宋_GB2312" w:cs="仿宋_GB2312" w:eastAsia="仿宋_GB2312"/>
                      <w:sz w:val="24"/>
                    </w:rPr>
                    <w:t xml:space="preserve">2、32寸原装工业级屏，分辨1920*1080，显示比例16：9 </w:t>
                  </w:r>
                  <w:r>
                    <w:br/>
                  </w:r>
                  <w:r>
                    <w:rPr>
                      <w:rFonts w:ascii="仿宋_GB2312" w:hAnsi="仿宋_GB2312" w:cs="仿宋_GB2312" w:eastAsia="仿宋_GB2312"/>
                      <w:sz w:val="24"/>
                    </w:rPr>
                    <w:t>3、触摸：G+G电容触摸屏触摸寿命6000万次 触摸分辩率32767*32767</w:t>
                  </w:r>
                  <w:r>
                    <w:br/>
                  </w:r>
                  <w:r>
                    <w:rPr>
                      <w:rFonts w:ascii="仿宋_GB2312" w:hAnsi="仿宋_GB2312" w:cs="仿宋_GB2312" w:eastAsia="仿宋_GB2312"/>
                      <w:sz w:val="24"/>
                    </w:rPr>
                    <w:t>4、配置：四核CPU1.8G,   RAM:4G 存储：32G ，系统 Android 7.1及以上</w:t>
                  </w:r>
                  <w:r>
                    <w:br/>
                  </w:r>
                  <w:r>
                    <w:rPr>
                      <w:rFonts w:ascii="仿宋_GB2312" w:hAnsi="仿宋_GB2312" w:cs="仿宋_GB2312" w:eastAsia="仿宋_GB2312"/>
                      <w:sz w:val="24"/>
                    </w:rPr>
                    <w:t>5、打印：内置嵌入式80热敏打印机，前置换纸更方便，打印方式：行式热敏，80MM打印纸宽，打印速度：150MM/秒，打印纸宽：79.5+-0.5mm，有效打印宽度：72mm，打印密度8点/mm，纸张处理方式：自动切纸，缺纸探测：光电传感器，打印头寿命100KM，切刀寿命：100万次</w:t>
                  </w:r>
                  <w:r>
                    <w:br/>
                  </w:r>
                  <w:r>
                    <w:rPr>
                      <w:rFonts w:ascii="仿宋_GB2312" w:hAnsi="仿宋_GB2312" w:cs="仿宋_GB2312" w:eastAsia="仿宋_GB2312"/>
                      <w:sz w:val="24"/>
                    </w:rPr>
                    <w:t>6、集成二代身份证</w:t>
                  </w:r>
                  <w:r>
                    <w:br/>
                  </w:r>
                  <w:r>
                    <w:rPr>
                      <w:rFonts w:ascii="仿宋_GB2312" w:hAnsi="仿宋_GB2312" w:cs="仿宋_GB2312" w:eastAsia="仿宋_GB2312"/>
                      <w:sz w:val="24"/>
                    </w:rPr>
                    <w:t>7、音响：采用双声道，立体声环绕功放功率：2 x 8W 频响：20Hz~20KHz</w:t>
                  </w:r>
                  <w:r>
                    <w:br/>
                  </w:r>
                  <w:r>
                    <w:rPr>
                      <w:rFonts w:ascii="仿宋_GB2312" w:hAnsi="仿宋_GB2312" w:cs="仿宋_GB2312" w:eastAsia="仿宋_GB2312"/>
                      <w:sz w:val="24"/>
                    </w:rPr>
                    <w:t>8、其他标配：功放，音响，电源，控制面板，网口等</w:t>
                  </w:r>
                  <w:r>
                    <w:br/>
                  </w:r>
                  <w:r>
                    <w:rPr>
                      <w:rFonts w:ascii="仿宋_GB2312" w:hAnsi="仿宋_GB2312" w:cs="仿宋_GB2312" w:eastAsia="仿宋_GB2312"/>
                      <w:sz w:val="24"/>
                    </w:rPr>
                    <w:t>9、尺寸：长504*宽350高1800mm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叫号评价双面屏</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1、外观：一体化设计，双屏触摸，双屏显示，支持双屏异显；</w:t>
                  </w:r>
                  <w:r>
                    <w:br/>
                  </w:r>
                  <w:r>
                    <w:rPr>
                      <w:rFonts w:ascii="仿宋_GB2312" w:hAnsi="仿宋_GB2312" w:cs="仿宋_GB2312" w:eastAsia="仿宋_GB2312"/>
                      <w:sz w:val="24"/>
                    </w:rPr>
                    <w:t>2、主要功能：双屏异显：支持双屏异显，异触；群众侧可以实现好差评等交互功能，工作人员侧可以实现呼叫等交互功能。</w:t>
                  </w:r>
                  <w:r>
                    <w:br/>
                  </w:r>
                  <w:r>
                    <w:rPr>
                      <w:rFonts w:ascii="仿宋_GB2312" w:hAnsi="仿宋_GB2312" w:cs="仿宋_GB2312" w:eastAsia="仿宋_GB2312"/>
                      <w:sz w:val="24"/>
                    </w:rPr>
                    <w:t>3、固件定制：固件深度定制，支持定时开关机。</w:t>
                  </w:r>
                  <w:r>
                    <w:br/>
                  </w:r>
                  <w:r>
                    <w:rPr>
                      <w:rFonts w:ascii="仿宋_GB2312" w:hAnsi="仿宋_GB2312" w:cs="仿宋_GB2312" w:eastAsia="仿宋_GB2312"/>
                      <w:sz w:val="24"/>
                    </w:rPr>
                    <w:t>4、核心设备：CPU：四核主频≥2.0G，内存：≥2G RAM，存储：≥16G Flash硬盘；操作系统：Android 11及以上</w:t>
                  </w:r>
                  <w:r>
                    <w:br/>
                  </w:r>
                  <w:r>
                    <w:rPr>
                      <w:rFonts w:ascii="仿宋_GB2312" w:hAnsi="仿宋_GB2312" w:cs="仿宋_GB2312" w:eastAsia="仿宋_GB2312"/>
                      <w:sz w:val="24"/>
                    </w:rPr>
                    <w:t>5、主屏：1</w:t>
                  </w:r>
                  <w:r>
                    <w:rPr>
                      <w:rFonts w:ascii="仿宋_GB2312" w:hAnsi="仿宋_GB2312" w:cs="仿宋_GB2312" w:eastAsia="仿宋_GB2312"/>
                      <w:sz w:val="24"/>
                    </w:rPr>
                    <w:t>0.1寸；分辨率：1366*768，显示比例：16：9，亮度：250cd；G+G电容式多点触控屏；前置200W摄像头</w:t>
                  </w:r>
                  <w:r>
                    <w:br/>
                  </w:r>
                  <w:r>
                    <w:rPr>
                      <w:rFonts w:ascii="仿宋_GB2312" w:hAnsi="仿宋_GB2312" w:cs="仿宋_GB2312" w:eastAsia="仿宋_GB2312"/>
                      <w:sz w:val="24"/>
                    </w:rPr>
                    <w:t>6、副屏：10.1寸；分辨率：1366*768，显示比例：16：9，亮度：250cd；G+G电容式多点触控屏</w:t>
                  </w:r>
                  <w:r>
                    <w:br/>
                  </w:r>
                  <w:r>
                    <w:rPr>
                      <w:rFonts w:ascii="仿宋_GB2312" w:hAnsi="仿宋_GB2312" w:cs="仿宋_GB2312" w:eastAsia="仿宋_GB2312"/>
                      <w:sz w:val="24"/>
                    </w:rPr>
                    <w:t>7、网络：2.4G支持Wi-Fi 802. 11b/g/n；RJ45有线网络</w:t>
                  </w:r>
                  <w:r>
                    <w:br/>
                  </w:r>
                  <w:r>
                    <w:rPr>
                      <w:rFonts w:ascii="仿宋_GB2312" w:hAnsi="仿宋_GB2312" w:cs="仿宋_GB2312" w:eastAsia="仿宋_GB2312"/>
                      <w:sz w:val="24"/>
                    </w:rPr>
                    <w:t>8、接口：RJ45网口，USB, SD卡槽，OTG接口，DC，HDMI</w:t>
                  </w:r>
                  <w:r>
                    <w:br/>
                  </w:r>
                  <w:r>
                    <w:rPr>
                      <w:rFonts w:ascii="仿宋_GB2312" w:hAnsi="仿宋_GB2312" w:cs="仿宋_GB2312" w:eastAsia="仿宋_GB2312"/>
                      <w:sz w:val="24"/>
                    </w:rPr>
                    <w:t>9、终端尺寸：308mm*285mm*260mm</w:t>
                  </w:r>
                  <w:r>
                    <w:br/>
                  </w:r>
                  <w:r>
                    <w:rPr>
                      <w:rFonts w:ascii="仿宋_GB2312" w:hAnsi="仿宋_GB2312" w:cs="仿宋_GB2312" w:eastAsia="仿宋_GB2312"/>
                      <w:sz w:val="24"/>
                    </w:rPr>
                    <w:t>10、喇叭：8Q2W*2</w:t>
                  </w:r>
                  <w:r>
                    <w:br/>
                  </w:r>
                  <w:r>
                    <w:rPr>
                      <w:rFonts w:ascii="仿宋_GB2312" w:hAnsi="仿宋_GB2312" w:cs="仿宋_GB2312" w:eastAsia="仿宋_GB2312"/>
                      <w:sz w:val="24"/>
                    </w:rPr>
                    <w:t>11、电源：独立DC接口供电；电压：DC 12V  5A</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叫号窗口显示屏</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32英寸工业屏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显示比例</w:t>
                  </w:r>
                  <w:r>
                    <w:rPr>
                      <w:rFonts w:ascii="仿宋_GB2312" w:hAnsi="仿宋_GB2312" w:cs="仿宋_GB2312" w:eastAsia="仿宋_GB2312"/>
                      <w:sz w:val="24"/>
                    </w:rPr>
                    <w:t>16:9，分辨率1920*1080</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主机配置：安卓系统，内存</w:t>
                  </w:r>
                  <w:r>
                    <w:rPr>
                      <w:rFonts w:ascii="仿宋_GB2312" w:hAnsi="仿宋_GB2312" w:cs="仿宋_GB2312" w:eastAsia="仿宋_GB2312"/>
                      <w:sz w:val="24"/>
                    </w:rPr>
                    <w:t>2G,硬盘16G</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音响功放系统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1.额定功率(100V)：3W, 6W, 9W</w:t>
                  </w:r>
                  <w:r>
                    <w:br/>
                  </w:r>
                  <w:r>
                    <w:rPr>
                      <w:rFonts w:ascii="仿宋_GB2312" w:hAnsi="仿宋_GB2312" w:cs="仿宋_GB2312" w:eastAsia="仿宋_GB2312"/>
                      <w:sz w:val="24"/>
                    </w:rPr>
                    <w:t>2.额定功率(70V)：1.5W, 3W, 4.5W</w:t>
                  </w:r>
                  <w:r>
                    <w:br/>
                  </w:r>
                  <w:r>
                    <w:rPr>
                      <w:rFonts w:ascii="仿宋_GB2312" w:hAnsi="仿宋_GB2312" w:cs="仿宋_GB2312" w:eastAsia="仿宋_GB2312"/>
                      <w:sz w:val="24"/>
                    </w:rPr>
                    <w:t>3.阻抗：黑: COM  红: 3.3KΩ/绿: 1.7KΩ/ 白: 1.1KΩ</w:t>
                  </w:r>
                  <w:r>
                    <w:br/>
                  </w:r>
                  <w:r>
                    <w:rPr>
                      <w:rFonts w:ascii="仿宋_GB2312" w:hAnsi="仿宋_GB2312" w:cs="仿宋_GB2312" w:eastAsia="仿宋_GB2312"/>
                      <w:sz w:val="24"/>
                    </w:rPr>
                    <w:t>4.灵敏度(1W/1M)：92dB ±3dB</w:t>
                  </w:r>
                  <w:r>
                    <w:br/>
                  </w:r>
                  <w:r>
                    <w:rPr>
                      <w:rFonts w:ascii="仿宋_GB2312" w:hAnsi="仿宋_GB2312" w:cs="仿宋_GB2312" w:eastAsia="仿宋_GB2312"/>
                      <w:sz w:val="24"/>
                    </w:rPr>
                    <w:t>5.最大声压级：102dB ±3dB</w:t>
                  </w:r>
                  <w:r>
                    <w:br/>
                  </w:r>
                  <w:r>
                    <w:rPr>
                      <w:rFonts w:ascii="仿宋_GB2312" w:hAnsi="仿宋_GB2312" w:cs="仿宋_GB2312" w:eastAsia="仿宋_GB2312"/>
                      <w:sz w:val="24"/>
                    </w:rPr>
                    <w:t>6.频率响应(-10dB)：110Hz-18kHz</w:t>
                  </w:r>
                  <w:r>
                    <w:br/>
                  </w:r>
                  <w:r>
                    <w:rPr>
                      <w:rFonts w:ascii="仿宋_GB2312" w:hAnsi="仿宋_GB2312" w:cs="仿宋_GB2312" w:eastAsia="仿宋_GB2312"/>
                      <w:sz w:val="24"/>
                    </w:rPr>
                    <w:t>7.喇叭单元：6"×1</w:t>
                  </w:r>
                  <w:r>
                    <w:br/>
                  </w:r>
                  <w:r>
                    <w:rPr>
                      <w:rFonts w:ascii="仿宋_GB2312" w:hAnsi="仿宋_GB2312" w:cs="仿宋_GB2312" w:eastAsia="仿宋_GB2312"/>
                      <w:sz w:val="24"/>
                    </w:rPr>
                    <w:t>8.安装开孔尺寸：220mm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1.标准机柜式设计（1U），精巧的SMT工艺设计。</w:t>
                  </w:r>
                  <w:r>
                    <w:br/>
                  </w:r>
                  <w:r>
                    <w:rPr>
                      <w:rFonts w:ascii="仿宋_GB2312" w:hAnsi="仿宋_GB2312" w:cs="仿宋_GB2312" w:eastAsia="仿宋_GB2312"/>
                      <w:sz w:val="24"/>
                    </w:rPr>
                    <w:t>2.1路EMC输入，2路AUX输入，4路MIC输入。</w:t>
                  </w:r>
                  <w:r>
                    <w:br/>
                  </w:r>
                  <w:r>
                    <w:rPr>
                      <w:rFonts w:ascii="仿宋_GB2312" w:hAnsi="仿宋_GB2312" w:cs="仿宋_GB2312" w:eastAsia="仿宋_GB2312"/>
                      <w:sz w:val="24"/>
                    </w:rPr>
                    <w:t xml:space="preserve">3.通道优先功能EMC＞MIC1＞MIC2, MIC3, AUX1, AUX2。 </w:t>
                  </w:r>
                  <w:r>
                    <w:br/>
                  </w:r>
                  <w:r>
                    <w:rPr>
                      <w:rFonts w:ascii="仿宋_GB2312" w:hAnsi="仿宋_GB2312" w:cs="仿宋_GB2312" w:eastAsia="仿宋_GB2312"/>
                      <w:sz w:val="24"/>
                    </w:rPr>
                    <w:t>4.各路输入具有独立音量调节，且总音量具有高音、低音调节及音量大小控制。</w:t>
                  </w:r>
                  <w:r>
                    <w:br/>
                  </w:r>
                  <w:r>
                    <w:rPr>
                      <w:rFonts w:ascii="仿宋_GB2312" w:hAnsi="仿宋_GB2312" w:cs="仿宋_GB2312" w:eastAsia="仿宋_GB2312"/>
                      <w:sz w:val="24"/>
                    </w:rPr>
                    <w:t>5.机器设有电平指示，过载及保护指示灯。</w:t>
                  </w:r>
                  <w:r>
                    <w:br/>
                  </w:r>
                  <w:r>
                    <w:rPr>
                      <w:rFonts w:ascii="仿宋_GB2312" w:hAnsi="仿宋_GB2312" w:cs="仿宋_GB2312" w:eastAsia="仿宋_GB2312"/>
                      <w:sz w:val="24"/>
                    </w:rPr>
                    <w:t>6.设备具有良好的短路、过载、过热等自我保护。</w:t>
                  </w:r>
                  <w:r>
                    <w:br/>
                  </w:r>
                  <w:r>
                    <w:rPr>
                      <w:rFonts w:ascii="仿宋_GB2312" w:hAnsi="仿宋_GB2312" w:cs="仿宋_GB2312" w:eastAsia="仿宋_GB2312"/>
                      <w:sz w:val="24"/>
                    </w:rPr>
                    <w:t>7.2种输出方式：定压输出100V、4-16Ω 。</w:t>
                  </w:r>
                  <w:r>
                    <w:br/>
                  </w:r>
                  <w:r>
                    <w:rPr>
                      <w:rFonts w:ascii="仿宋_GB2312" w:hAnsi="仿宋_GB2312" w:cs="仿宋_GB2312" w:eastAsia="仿宋_GB2312"/>
                      <w:sz w:val="24"/>
                    </w:rPr>
                    <w:t>8.高效节能开关电源与D类数字功率放大器的高能节能和超稳定设计完美结合。</w:t>
                  </w:r>
                  <w:r>
                    <w:br/>
                  </w:r>
                  <w:r>
                    <w:rPr>
                      <w:rFonts w:ascii="仿宋_GB2312" w:hAnsi="仿宋_GB2312" w:cs="仿宋_GB2312" w:eastAsia="仿宋_GB2312"/>
                      <w:sz w:val="24"/>
                    </w:rPr>
                    <w:t>9.宽电压供电：220V-240V 能正常工作。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机柜</w:t>
                  </w:r>
                  <w:r>
                    <w:rPr>
                      <w:rFonts w:ascii="仿宋_GB2312" w:hAnsi="仿宋_GB2312" w:cs="仿宋_GB2312" w:eastAsia="仿宋_GB2312"/>
                      <w:sz w:val="24"/>
                    </w:rPr>
                    <w:t>PDU</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证照打印机</w:t>
                  </w:r>
                </w:p>
                <w:p>
                  <w:pPr>
                    <w:pStyle w:val="null3"/>
                    <w:jc w:val="center"/>
                  </w:pPr>
                  <w:r>
                    <w:rPr>
                      <w:rFonts w:ascii="仿宋_GB2312" w:hAnsi="仿宋_GB2312" w:cs="仿宋_GB2312" w:eastAsia="仿宋_GB2312"/>
                      <w:sz w:val="24"/>
                    </w:rPr>
                    <w:t>（强制采购的节能产品）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A3证照打印机宽行票据证件打印机技术规格</w:t>
                  </w:r>
                  <w:r>
                    <w:br/>
                  </w:r>
                  <w:r>
                    <w:rPr>
                      <w:rFonts w:ascii="仿宋_GB2312" w:hAnsi="仿宋_GB2312" w:cs="仿宋_GB2312" w:eastAsia="仿宋_GB2312"/>
                      <w:sz w:val="24"/>
                    </w:rPr>
                    <w:t>1、</w:t>
                  </w:r>
                  <w:r>
                    <w:rPr>
                      <w:rFonts w:ascii="仿宋_GB2312" w:hAnsi="仿宋_GB2312" w:cs="仿宋_GB2312" w:eastAsia="仿宋_GB2312"/>
                      <w:sz w:val="24"/>
                    </w:rPr>
                    <w:t>指标行宽</w:t>
                  </w:r>
                  <w:r>
                    <w:rPr>
                      <w:rFonts w:ascii="仿宋_GB2312" w:hAnsi="仿宋_GB2312" w:cs="仿宋_GB2312" w:eastAsia="仿宋_GB2312"/>
                      <w:sz w:val="24"/>
                    </w:rPr>
                    <w:t>: 136列</w:t>
                  </w:r>
                  <w:r>
                    <w:br/>
                  </w:r>
                  <w:r>
                    <w:rPr>
                      <w:rFonts w:ascii="仿宋_GB2312" w:hAnsi="仿宋_GB2312" w:cs="仿宋_GB2312" w:eastAsia="仿宋_GB2312"/>
                      <w:sz w:val="24"/>
                    </w:rPr>
                    <w:t>2、</w:t>
                  </w:r>
                  <w:r>
                    <w:rPr>
                      <w:rFonts w:ascii="仿宋_GB2312" w:hAnsi="仿宋_GB2312" w:cs="仿宋_GB2312" w:eastAsia="仿宋_GB2312"/>
                      <w:sz w:val="24"/>
                    </w:rPr>
                    <w:t>打印方式</w:t>
                  </w:r>
                  <w:r>
                    <w:rPr>
                      <w:rFonts w:ascii="仿宋_GB2312" w:hAnsi="仿宋_GB2312" w:cs="仿宋_GB2312" w:eastAsia="仿宋_GB2312"/>
                      <w:sz w:val="24"/>
                    </w:rPr>
                    <w:t>: 24针点阵式</w:t>
                  </w:r>
                  <w:r>
                    <w:br/>
                  </w:r>
                  <w:r>
                    <w:rPr>
                      <w:rFonts w:ascii="仿宋_GB2312" w:hAnsi="仿宋_GB2312" w:cs="仿宋_GB2312" w:eastAsia="仿宋_GB2312"/>
                      <w:sz w:val="24"/>
                    </w:rPr>
                    <w:t>3、</w:t>
                  </w:r>
                  <w:r>
                    <w:rPr>
                      <w:rFonts w:ascii="仿宋_GB2312" w:hAnsi="仿宋_GB2312" w:cs="仿宋_GB2312" w:eastAsia="仿宋_GB2312"/>
                      <w:sz w:val="24"/>
                    </w:rPr>
                    <w:t>打印速度</w:t>
                  </w:r>
                  <w:r>
                    <w:rPr>
                      <w:rFonts w:ascii="仿宋_GB2312" w:hAnsi="仿宋_GB2312" w:cs="仿宋_GB2312" w:eastAsia="仿宋_GB2312"/>
                      <w:sz w:val="24"/>
                    </w:rPr>
                    <w:t xml:space="preserve">  </w:t>
                  </w:r>
                  <w:r>
                    <w:rPr>
                      <w:rFonts w:ascii="仿宋_GB2312" w:hAnsi="仿宋_GB2312" w:cs="仿宋_GB2312" w:eastAsia="仿宋_GB2312"/>
                      <w:sz w:val="24"/>
                    </w:rPr>
                    <w:t>中文信函质量</w:t>
                  </w:r>
                  <w:r>
                    <w:rPr>
                      <w:rFonts w:ascii="仿宋_GB2312" w:hAnsi="仿宋_GB2312" w:cs="仿宋_GB2312" w:eastAsia="仿宋_GB2312"/>
                      <w:sz w:val="24"/>
                    </w:rPr>
                    <w:t xml:space="preserve">  </w:t>
                  </w:r>
                  <w:r>
                    <w:rPr>
                      <w:rFonts w:ascii="仿宋_GB2312" w:hAnsi="仿宋_GB2312" w:cs="仿宋_GB2312" w:eastAsia="仿宋_GB2312"/>
                      <w:sz w:val="24"/>
                    </w:rPr>
                    <w:t>75字/秒</w:t>
                  </w:r>
                  <w:r>
                    <w:br/>
                  </w:r>
                  <w:r>
                    <w:rPr>
                      <w:rFonts w:ascii="仿宋_GB2312" w:hAnsi="仿宋_GB2312" w:cs="仿宋_GB2312" w:eastAsia="仿宋_GB2312"/>
                      <w:sz w:val="24"/>
                    </w:rPr>
                    <w:t>4、</w:t>
                  </w:r>
                  <w:r>
                    <w:rPr>
                      <w:rFonts w:ascii="仿宋_GB2312" w:hAnsi="仿宋_GB2312" w:cs="仿宋_GB2312" w:eastAsia="仿宋_GB2312"/>
                      <w:sz w:val="24"/>
                    </w:rPr>
                    <w:t>中文高速质量</w:t>
                  </w:r>
                  <w:r>
                    <w:rPr>
                      <w:rFonts w:ascii="仿宋_GB2312" w:hAnsi="仿宋_GB2312" w:cs="仿宋_GB2312" w:eastAsia="仿宋_GB2312"/>
                      <w:sz w:val="24"/>
                    </w:rPr>
                    <w:t xml:space="preserve">  </w:t>
                  </w:r>
                  <w:r>
                    <w:rPr>
                      <w:rFonts w:ascii="仿宋_GB2312" w:hAnsi="仿宋_GB2312" w:cs="仿宋_GB2312" w:eastAsia="仿宋_GB2312"/>
                      <w:sz w:val="24"/>
                    </w:rPr>
                    <w:t>150字/秒</w:t>
                  </w:r>
                  <w:r>
                    <w:br/>
                  </w:r>
                  <w:r>
                    <w:rPr>
                      <w:rFonts w:ascii="仿宋_GB2312" w:hAnsi="仿宋_GB2312" w:cs="仿宋_GB2312" w:eastAsia="仿宋_GB2312"/>
                      <w:sz w:val="24"/>
                    </w:rPr>
                    <w:t>5、</w:t>
                  </w:r>
                  <w:r>
                    <w:rPr>
                      <w:rFonts w:ascii="仿宋_GB2312" w:hAnsi="仿宋_GB2312" w:cs="仿宋_GB2312" w:eastAsia="仿宋_GB2312"/>
                      <w:sz w:val="24"/>
                    </w:rPr>
                    <w:t>中文超高速质量</w:t>
                  </w:r>
                  <w:r>
                    <w:rPr>
                      <w:rFonts w:ascii="仿宋_GB2312" w:hAnsi="仿宋_GB2312" w:cs="仿宋_GB2312" w:eastAsia="仿宋_GB2312"/>
                      <w:sz w:val="24"/>
                    </w:rPr>
                    <w:t xml:space="preserve">  </w:t>
                  </w:r>
                  <w:r>
                    <w:rPr>
                      <w:rFonts w:ascii="仿宋_GB2312" w:hAnsi="仿宋_GB2312" w:cs="仿宋_GB2312" w:eastAsia="仿宋_GB2312"/>
                      <w:sz w:val="24"/>
                    </w:rPr>
                    <w:t>225字/秒</w:t>
                  </w:r>
                  <w:r>
                    <w:br/>
                  </w:r>
                  <w:r>
                    <w:rPr>
                      <w:rFonts w:ascii="仿宋_GB2312" w:hAnsi="仿宋_GB2312" w:cs="仿宋_GB2312" w:eastAsia="仿宋_GB2312"/>
                      <w:sz w:val="24"/>
                    </w:rPr>
                    <w:t>6、</w:t>
                  </w:r>
                  <w:r>
                    <w:rPr>
                      <w:rFonts w:ascii="仿宋_GB2312" w:hAnsi="仿宋_GB2312" w:cs="仿宋_GB2312" w:eastAsia="仿宋_GB2312"/>
                      <w:sz w:val="24"/>
                    </w:rPr>
                    <w:t>英文信函质量</w:t>
                  </w:r>
                  <w:r>
                    <w:rPr>
                      <w:rFonts w:ascii="仿宋_GB2312" w:hAnsi="仿宋_GB2312" w:cs="仿宋_GB2312" w:eastAsia="仿宋_GB2312"/>
                      <w:sz w:val="24"/>
                    </w:rPr>
                    <w:t xml:space="preserve">  </w:t>
                  </w:r>
                  <w:r>
                    <w:rPr>
                      <w:rFonts w:ascii="仿宋_GB2312" w:hAnsi="仿宋_GB2312" w:cs="仿宋_GB2312" w:eastAsia="仿宋_GB2312"/>
                      <w:sz w:val="24"/>
                    </w:rPr>
                    <w:t>120字符/秒</w:t>
                  </w:r>
                  <w:r>
                    <w:br/>
                  </w:r>
                  <w:r>
                    <w:rPr>
                      <w:rFonts w:ascii="仿宋_GB2312" w:hAnsi="仿宋_GB2312" w:cs="仿宋_GB2312" w:eastAsia="仿宋_GB2312"/>
                      <w:sz w:val="24"/>
                    </w:rPr>
                    <w:t>7、</w:t>
                  </w:r>
                  <w:r>
                    <w:rPr>
                      <w:rFonts w:ascii="仿宋_GB2312" w:hAnsi="仿宋_GB2312" w:cs="仿宋_GB2312" w:eastAsia="仿宋_GB2312"/>
                      <w:sz w:val="24"/>
                    </w:rPr>
                    <w:t>英文高速质量</w:t>
                  </w:r>
                  <w:r>
                    <w:rPr>
                      <w:rFonts w:ascii="仿宋_GB2312" w:hAnsi="仿宋_GB2312" w:cs="仿宋_GB2312" w:eastAsia="仿宋_GB2312"/>
                      <w:sz w:val="24"/>
                    </w:rPr>
                    <w:t xml:space="preserve">  </w:t>
                  </w:r>
                  <w:r>
                    <w:rPr>
                      <w:rFonts w:ascii="仿宋_GB2312" w:hAnsi="仿宋_GB2312" w:cs="仿宋_GB2312" w:eastAsia="仿宋_GB2312"/>
                      <w:sz w:val="24"/>
                    </w:rPr>
                    <w:t>240字符/秒</w:t>
                  </w:r>
                  <w:r>
                    <w:br/>
                  </w:r>
                  <w:r>
                    <w:rPr>
                      <w:rFonts w:ascii="仿宋_GB2312" w:hAnsi="仿宋_GB2312" w:cs="仿宋_GB2312" w:eastAsia="仿宋_GB2312"/>
                      <w:sz w:val="24"/>
                    </w:rPr>
                    <w:t>8、</w:t>
                  </w:r>
                  <w:r>
                    <w:rPr>
                      <w:rFonts w:ascii="仿宋_GB2312" w:hAnsi="仿宋_GB2312" w:cs="仿宋_GB2312" w:eastAsia="仿宋_GB2312"/>
                      <w:sz w:val="24"/>
                    </w:rPr>
                    <w:t>英文超高速质量</w:t>
                  </w:r>
                  <w:r>
                    <w:rPr>
                      <w:rFonts w:ascii="仿宋_GB2312" w:hAnsi="仿宋_GB2312" w:cs="仿宋_GB2312" w:eastAsia="仿宋_GB2312"/>
                      <w:sz w:val="24"/>
                    </w:rPr>
                    <w:t xml:space="preserve">  </w:t>
                  </w:r>
                  <w:r>
                    <w:rPr>
                      <w:rFonts w:ascii="仿宋_GB2312" w:hAnsi="仿宋_GB2312" w:cs="仿宋_GB2312" w:eastAsia="仿宋_GB2312"/>
                      <w:sz w:val="24"/>
                    </w:rPr>
                    <w:t>360字符/秒</w:t>
                  </w:r>
                  <w:r>
                    <w:br/>
                  </w:r>
                  <w:r>
                    <w:rPr>
                      <w:rFonts w:ascii="仿宋_GB2312" w:hAnsi="仿宋_GB2312" w:cs="仿宋_GB2312" w:eastAsia="仿宋_GB2312"/>
                      <w:sz w:val="24"/>
                    </w:rPr>
                    <w:t>9、</w:t>
                  </w:r>
                  <w:r>
                    <w:rPr>
                      <w:rFonts w:ascii="仿宋_GB2312" w:hAnsi="仿宋_GB2312" w:cs="仿宋_GB2312" w:eastAsia="仿宋_GB2312"/>
                      <w:sz w:val="24"/>
                    </w:rPr>
                    <w:t>打印动作</w:t>
                  </w:r>
                  <w:r>
                    <w:rPr>
                      <w:rFonts w:ascii="仿宋_GB2312" w:hAnsi="仿宋_GB2312" w:cs="仿宋_GB2312" w:eastAsia="仿宋_GB2312"/>
                      <w:sz w:val="24"/>
                    </w:rPr>
                    <w:t xml:space="preserve">  </w:t>
                  </w:r>
                  <w:r>
                    <w:rPr>
                      <w:rFonts w:ascii="仿宋_GB2312" w:hAnsi="仿宋_GB2312" w:cs="仿宋_GB2312" w:eastAsia="仿宋_GB2312"/>
                      <w:sz w:val="24"/>
                    </w:rPr>
                    <w:t>双向（自动判断最短距离进行反向打印）</w:t>
                  </w:r>
                  <w:r>
                    <w:br/>
                  </w:r>
                  <w:r>
                    <w:rPr>
                      <w:rFonts w:ascii="仿宋_GB2312" w:hAnsi="仿宋_GB2312" w:cs="仿宋_GB2312" w:eastAsia="仿宋_GB2312"/>
                      <w:sz w:val="24"/>
                    </w:rPr>
                    <w:t>10、</w:t>
                  </w:r>
                  <w:r>
                    <w:rPr>
                      <w:rFonts w:ascii="仿宋_GB2312" w:hAnsi="仿宋_GB2312" w:cs="仿宋_GB2312" w:eastAsia="仿宋_GB2312"/>
                      <w:sz w:val="24"/>
                    </w:rPr>
                    <w:t>最大打印厚度</w:t>
                  </w:r>
                  <w:r>
                    <w:rPr>
                      <w:rFonts w:ascii="仿宋_GB2312" w:hAnsi="仿宋_GB2312" w:cs="仿宋_GB2312" w:eastAsia="仿宋_GB2312"/>
                      <w:sz w:val="24"/>
                    </w:rPr>
                    <w:t xml:space="preserve">  </w:t>
                  </w:r>
                  <w:r>
                    <w:rPr>
                      <w:rFonts w:ascii="仿宋_GB2312" w:hAnsi="仿宋_GB2312" w:cs="仿宋_GB2312" w:eastAsia="仿宋_GB2312"/>
                      <w:sz w:val="24"/>
                    </w:rPr>
                    <w:t>2.2mm（自动调节）</w:t>
                  </w:r>
                  <w:r>
                    <w:br/>
                  </w:r>
                  <w:r>
                    <w:rPr>
                      <w:rFonts w:ascii="仿宋_GB2312" w:hAnsi="仿宋_GB2312" w:cs="仿宋_GB2312" w:eastAsia="仿宋_GB2312"/>
                      <w:sz w:val="24"/>
                    </w:rPr>
                    <w:t>11、</w:t>
                  </w:r>
                  <w:r>
                    <w:rPr>
                      <w:rFonts w:ascii="仿宋_GB2312" w:hAnsi="仿宋_GB2312" w:cs="仿宋_GB2312" w:eastAsia="仿宋_GB2312"/>
                      <w:sz w:val="24"/>
                    </w:rPr>
                    <w:t>最小纸张长度</w:t>
                  </w:r>
                  <w:r>
                    <w:rPr>
                      <w:rFonts w:ascii="仿宋_GB2312" w:hAnsi="仿宋_GB2312" w:cs="仿宋_GB2312" w:eastAsia="仿宋_GB2312"/>
                      <w:sz w:val="24"/>
                    </w:rPr>
                    <w:t xml:space="preserve">  </w:t>
                  </w:r>
                  <w:r>
                    <w:rPr>
                      <w:rFonts w:ascii="仿宋_GB2312" w:hAnsi="仿宋_GB2312" w:cs="仿宋_GB2312" w:eastAsia="仿宋_GB2312"/>
                      <w:sz w:val="24"/>
                    </w:rPr>
                    <w:t>55mm</w:t>
                  </w:r>
                  <w:r>
                    <w:br/>
                  </w:r>
                  <w:r>
                    <w:rPr>
                      <w:rFonts w:ascii="仿宋_GB2312" w:hAnsi="仿宋_GB2312" w:cs="仿宋_GB2312" w:eastAsia="仿宋_GB2312"/>
                      <w:sz w:val="24"/>
                    </w:rPr>
                    <w:t>12、</w:t>
                  </w:r>
                  <w:r>
                    <w:rPr>
                      <w:rFonts w:ascii="仿宋_GB2312" w:hAnsi="仿宋_GB2312" w:cs="仿宋_GB2312" w:eastAsia="仿宋_GB2312"/>
                      <w:sz w:val="24"/>
                    </w:rPr>
                    <w:t>用纸宽度</w:t>
                  </w:r>
                  <w:r>
                    <w:rPr>
                      <w:rFonts w:ascii="仿宋_GB2312" w:hAnsi="仿宋_GB2312" w:cs="仿宋_GB2312" w:eastAsia="仿宋_GB2312"/>
                      <w:sz w:val="24"/>
                    </w:rPr>
                    <w:t xml:space="preserve">  </w:t>
                  </w:r>
                  <w:r>
                    <w:rPr>
                      <w:rFonts w:ascii="仿宋_GB2312" w:hAnsi="仿宋_GB2312" w:cs="仿宋_GB2312" w:eastAsia="仿宋_GB2312"/>
                      <w:sz w:val="24"/>
                    </w:rPr>
                    <w:t>55-420mm</w:t>
                  </w:r>
                  <w:r>
                    <w:br/>
                  </w:r>
                  <w:r>
                    <w:rPr>
                      <w:rFonts w:ascii="仿宋_GB2312" w:hAnsi="仿宋_GB2312" w:cs="仿宋_GB2312" w:eastAsia="仿宋_GB2312"/>
                      <w:sz w:val="24"/>
                    </w:rPr>
                    <w:t>13、</w:t>
                  </w:r>
                  <w:r>
                    <w:rPr>
                      <w:rFonts w:ascii="仿宋_GB2312" w:hAnsi="仿宋_GB2312" w:cs="仿宋_GB2312" w:eastAsia="仿宋_GB2312"/>
                      <w:sz w:val="24"/>
                    </w:rPr>
                    <w:t>拷贝能力</w:t>
                  </w:r>
                  <w:r>
                    <w:rPr>
                      <w:rFonts w:ascii="仿宋_GB2312" w:hAnsi="仿宋_GB2312" w:cs="仿宋_GB2312" w:eastAsia="仿宋_GB2312"/>
                      <w:sz w:val="24"/>
                    </w:rPr>
                    <w:t xml:space="preserve">  </w:t>
                  </w:r>
                  <w:r>
                    <w:rPr>
                      <w:rFonts w:ascii="仿宋_GB2312" w:hAnsi="仿宋_GB2312" w:cs="仿宋_GB2312" w:eastAsia="仿宋_GB2312"/>
                      <w:sz w:val="24"/>
                    </w:rPr>
                    <w:t>1+6份</w:t>
                  </w:r>
                  <w:r>
                    <w:br/>
                  </w:r>
                  <w:r>
                    <w:rPr>
                      <w:rFonts w:ascii="仿宋_GB2312" w:hAnsi="仿宋_GB2312" w:cs="仿宋_GB2312" w:eastAsia="仿宋_GB2312"/>
                      <w:sz w:val="24"/>
                    </w:rPr>
                    <w:t>14、</w:t>
                  </w:r>
                  <w:r>
                    <w:rPr>
                      <w:rFonts w:ascii="仿宋_GB2312" w:hAnsi="仿宋_GB2312" w:cs="仿宋_GB2312" w:eastAsia="仿宋_GB2312"/>
                      <w:sz w:val="24"/>
                    </w:rPr>
                    <w:t>进纸方式</w:t>
                  </w:r>
                  <w:r>
                    <w:rPr>
                      <w:rFonts w:ascii="仿宋_GB2312" w:hAnsi="仿宋_GB2312" w:cs="仿宋_GB2312" w:eastAsia="仿宋_GB2312"/>
                      <w:sz w:val="24"/>
                    </w:rPr>
                    <w:t xml:space="preserve">  </w:t>
                  </w:r>
                  <w:r>
                    <w:rPr>
                      <w:rFonts w:ascii="仿宋_GB2312" w:hAnsi="仿宋_GB2312" w:cs="仿宋_GB2312" w:eastAsia="仿宋_GB2312"/>
                      <w:sz w:val="24"/>
                    </w:rPr>
                    <w:t>单页纸</w:t>
                  </w:r>
                  <w:r>
                    <w:rPr>
                      <w:rFonts w:ascii="仿宋_GB2312" w:hAnsi="仿宋_GB2312" w:cs="仿宋_GB2312" w:eastAsia="仿宋_GB2312"/>
                      <w:sz w:val="24"/>
                    </w:rPr>
                    <w:t xml:space="preserve">  </w:t>
                  </w:r>
                  <w:r>
                    <w:rPr>
                      <w:rFonts w:ascii="仿宋_GB2312" w:hAnsi="仿宋_GB2312" w:cs="仿宋_GB2312" w:eastAsia="仿宋_GB2312"/>
                      <w:sz w:val="24"/>
                    </w:rPr>
                    <w:t>摩擦走纸</w:t>
                  </w:r>
                  <w:r>
                    <w:br/>
                  </w:r>
                  <w:r>
                    <w:rPr>
                      <w:rFonts w:ascii="仿宋_GB2312" w:hAnsi="仿宋_GB2312" w:cs="仿宋_GB2312" w:eastAsia="仿宋_GB2312"/>
                      <w:sz w:val="24"/>
                    </w:rPr>
                    <w:t>15、</w:t>
                  </w:r>
                  <w:r>
                    <w:rPr>
                      <w:rFonts w:ascii="仿宋_GB2312" w:hAnsi="仿宋_GB2312" w:cs="仿宋_GB2312" w:eastAsia="仿宋_GB2312"/>
                      <w:sz w:val="24"/>
                    </w:rPr>
                    <w:t>连续纸</w:t>
                  </w:r>
                  <w:r>
                    <w:rPr>
                      <w:rFonts w:ascii="仿宋_GB2312" w:hAnsi="仿宋_GB2312" w:cs="仿宋_GB2312" w:eastAsia="仿宋_GB2312"/>
                      <w:sz w:val="24"/>
                    </w:rPr>
                    <w:t xml:space="preserve">  </w:t>
                  </w:r>
                  <w:r>
                    <w:rPr>
                      <w:rFonts w:ascii="仿宋_GB2312" w:hAnsi="仿宋_GB2312" w:cs="仿宋_GB2312" w:eastAsia="仿宋_GB2312"/>
                      <w:sz w:val="24"/>
                    </w:rPr>
                    <w:t>推进式链式走纸</w:t>
                  </w:r>
                  <w:r>
                    <w:br/>
                  </w:r>
                  <w:r>
                    <w:rPr>
                      <w:rFonts w:ascii="仿宋_GB2312" w:hAnsi="仿宋_GB2312" w:cs="仿宋_GB2312" w:eastAsia="仿宋_GB2312"/>
                      <w:sz w:val="24"/>
                    </w:rPr>
                    <w:t>16、</w:t>
                  </w:r>
                  <w:r>
                    <w:rPr>
                      <w:rFonts w:ascii="仿宋_GB2312" w:hAnsi="仿宋_GB2312" w:cs="仿宋_GB2312" w:eastAsia="仿宋_GB2312"/>
                      <w:sz w:val="24"/>
                    </w:rPr>
                    <w:t>接口标准</w:t>
                  </w:r>
                  <w:r>
                    <w:rPr>
                      <w:rFonts w:ascii="仿宋_GB2312" w:hAnsi="仿宋_GB2312" w:cs="仿宋_GB2312" w:eastAsia="仿宋_GB2312"/>
                      <w:sz w:val="24"/>
                    </w:rPr>
                    <w:t xml:space="preserve">  </w:t>
                  </w:r>
                  <w:r>
                    <w:rPr>
                      <w:rFonts w:ascii="仿宋_GB2312" w:hAnsi="仿宋_GB2312" w:cs="仿宋_GB2312" w:eastAsia="仿宋_GB2312"/>
                      <w:sz w:val="24"/>
                    </w:rPr>
                    <w:t>IEEE-1284双向并行接口</w:t>
                  </w:r>
                  <w:r>
                    <w:br/>
                  </w:r>
                  <w:r>
                    <w:rPr>
                      <w:rFonts w:ascii="仿宋_GB2312" w:hAnsi="仿宋_GB2312" w:cs="仿宋_GB2312" w:eastAsia="仿宋_GB2312"/>
                      <w:sz w:val="24"/>
                    </w:rPr>
                    <w:t>17、</w:t>
                  </w:r>
                  <w:r>
                    <w:rPr>
                      <w:rFonts w:ascii="仿宋_GB2312" w:hAnsi="仿宋_GB2312" w:cs="仿宋_GB2312" w:eastAsia="仿宋_GB2312"/>
                      <w:sz w:val="24"/>
                    </w:rPr>
                    <w:t>USB、串口（选件）</w:t>
                  </w:r>
                  <w:r>
                    <w:br/>
                  </w:r>
                  <w:r>
                    <w:rPr>
                      <w:rFonts w:ascii="仿宋_GB2312" w:hAnsi="仿宋_GB2312" w:cs="仿宋_GB2312" w:eastAsia="仿宋_GB2312"/>
                      <w:sz w:val="24"/>
                    </w:rPr>
                    <w:t>18、</w:t>
                  </w:r>
                  <w:r>
                    <w:rPr>
                      <w:rFonts w:ascii="仿宋_GB2312" w:hAnsi="仿宋_GB2312" w:cs="仿宋_GB2312" w:eastAsia="仿宋_GB2312"/>
                      <w:sz w:val="24"/>
                    </w:rPr>
                    <w:t>外形尺寸</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(W)  595mm</w:t>
                  </w:r>
                  <w:r>
                    <w:br/>
                  </w:r>
                  <w:r>
                    <w:rPr>
                      <w:rFonts w:ascii="仿宋_GB2312" w:hAnsi="仿宋_GB2312" w:cs="仿宋_GB2312" w:eastAsia="仿宋_GB2312"/>
                      <w:sz w:val="24"/>
                    </w:rPr>
                    <w:t>(D)  295mm</w:t>
                  </w:r>
                  <w:r>
                    <w:br/>
                  </w:r>
                  <w:r>
                    <w:rPr>
                      <w:rFonts w:ascii="仿宋_GB2312" w:hAnsi="仿宋_GB2312" w:cs="仿宋_GB2312" w:eastAsia="仿宋_GB2312"/>
                      <w:sz w:val="24"/>
                    </w:rPr>
                    <w:t>(H)  210.5mm</w:t>
                  </w:r>
                  <w:r>
                    <w:br/>
                  </w:r>
                  <w:r>
                    <w:rPr>
                      <w:rFonts w:ascii="仿宋_GB2312" w:hAnsi="仿宋_GB2312" w:cs="仿宋_GB2312" w:eastAsia="仿宋_GB2312"/>
                      <w:sz w:val="24"/>
                    </w:rPr>
                    <w:t>19、</w:t>
                  </w:r>
                  <w:r>
                    <w:rPr>
                      <w:rFonts w:ascii="仿宋_GB2312" w:hAnsi="仿宋_GB2312" w:cs="仿宋_GB2312" w:eastAsia="仿宋_GB2312"/>
                      <w:sz w:val="24"/>
                    </w:rPr>
                    <w:t>重量</w:t>
                  </w:r>
                  <w:r>
                    <w:rPr>
                      <w:rFonts w:ascii="仿宋_GB2312" w:hAnsi="仿宋_GB2312" w:cs="仿宋_GB2312" w:eastAsia="仿宋_GB2312"/>
                      <w:sz w:val="24"/>
                    </w:rPr>
                    <w:t xml:space="preserve">   </w:t>
                  </w:r>
                  <w:r>
                    <w:rPr>
                      <w:rFonts w:ascii="仿宋_GB2312" w:hAnsi="仿宋_GB2312" w:cs="仿宋_GB2312" w:eastAsia="仿宋_GB2312"/>
                      <w:sz w:val="24"/>
                    </w:rPr>
                    <w:t>13kg</w:t>
                  </w:r>
                  <w:r>
                    <w:br/>
                  </w:r>
                  <w:r>
                    <w:rPr>
                      <w:rFonts w:ascii="仿宋_GB2312" w:hAnsi="仿宋_GB2312" w:cs="仿宋_GB2312" w:eastAsia="仿宋_GB2312"/>
                      <w:sz w:val="24"/>
                    </w:rPr>
                    <w:t>20、</w:t>
                  </w:r>
                  <w:r>
                    <w:rPr>
                      <w:rFonts w:ascii="仿宋_GB2312" w:hAnsi="仿宋_GB2312" w:cs="仿宋_GB2312" w:eastAsia="仿宋_GB2312"/>
                      <w:sz w:val="24"/>
                    </w:rPr>
                    <w:t>可靠性</w:t>
                  </w:r>
                  <w:r>
                    <w:rPr>
                      <w:rFonts w:ascii="仿宋_GB2312" w:hAnsi="仿宋_GB2312" w:cs="仿宋_GB2312" w:eastAsia="仿宋_GB2312"/>
                      <w:sz w:val="24"/>
                    </w:rPr>
                    <w:t xml:space="preserve">  </w:t>
                  </w:r>
                  <w:r>
                    <w:rPr>
                      <w:rFonts w:ascii="仿宋_GB2312" w:hAnsi="仿宋_GB2312" w:cs="仿宋_GB2312" w:eastAsia="仿宋_GB2312"/>
                      <w:sz w:val="24"/>
                    </w:rPr>
                    <w:t>MTBF   20000小时</w:t>
                  </w:r>
                  <w:r>
                    <w:br/>
                  </w:r>
                  <w:r>
                    <w:rPr>
                      <w:rFonts w:ascii="仿宋_GB2312" w:hAnsi="仿宋_GB2312" w:cs="仿宋_GB2312" w:eastAsia="仿宋_GB2312"/>
                      <w:sz w:val="24"/>
                    </w:rPr>
                    <w:t>21、</w:t>
                  </w:r>
                  <w:r>
                    <w:rPr>
                      <w:rFonts w:ascii="仿宋_GB2312" w:hAnsi="仿宋_GB2312" w:cs="仿宋_GB2312" w:eastAsia="仿宋_GB2312"/>
                      <w:sz w:val="24"/>
                    </w:rPr>
                    <w:t>打印头寿命</w:t>
                  </w:r>
                  <w:r>
                    <w:rPr>
                      <w:rFonts w:ascii="仿宋_GB2312" w:hAnsi="仿宋_GB2312" w:cs="仿宋_GB2312" w:eastAsia="仿宋_GB2312"/>
                      <w:sz w:val="24"/>
                    </w:rPr>
                    <w:t xml:space="preserve">  </w:t>
                  </w:r>
                  <w:r>
                    <w:rPr>
                      <w:rFonts w:ascii="仿宋_GB2312" w:hAnsi="仿宋_GB2312" w:cs="仿宋_GB2312" w:eastAsia="仿宋_GB2312"/>
                      <w:sz w:val="24"/>
                    </w:rPr>
                    <w:t>4亿次/针</w:t>
                  </w:r>
                  <w:r>
                    <w:br/>
                  </w:r>
                  <w:r>
                    <w:rPr>
                      <w:rFonts w:ascii="仿宋_GB2312" w:hAnsi="仿宋_GB2312" w:cs="仿宋_GB2312" w:eastAsia="仿宋_GB2312"/>
                      <w:sz w:val="24"/>
                    </w:rPr>
                    <w:t>22、</w:t>
                  </w:r>
                  <w:r>
                    <w:rPr>
                      <w:rFonts w:ascii="仿宋_GB2312" w:hAnsi="仿宋_GB2312" w:cs="仿宋_GB2312" w:eastAsia="仿宋_GB2312"/>
                      <w:sz w:val="24"/>
                    </w:rPr>
                    <w:t>色带盒</w:t>
                  </w:r>
                  <w:r>
                    <w:rPr>
                      <w:rFonts w:ascii="仿宋_GB2312" w:hAnsi="仿宋_GB2312" w:cs="仿宋_GB2312" w:eastAsia="仿宋_GB2312"/>
                      <w:sz w:val="24"/>
                    </w:rPr>
                    <w:t xml:space="preserve">  </w:t>
                  </w:r>
                  <w:r>
                    <w:rPr>
                      <w:rFonts w:ascii="仿宋_GB2312" w:hAnsi="仿宋_GB2312" w:cs="仿宋_GB2312" w:eastAsia="仿宋_GB2312"/>
                      <w:sz w:val="24"/>
                    </w:rPr>
                    <w:t>方式</w:t>
                  </w:r>
                  <w:r>
                    <w:rPr>
                      <w:rFonts w:ascii="仿宋_GB2312" w:hAnsi="仿宋_GB2312" w:cs="仿宋_GB2312" w:eastAsia="仿宋_GB2312"/>
                      <w:sz w:val="24"/>
                    </w:rPr>
                    <w:t xml:space="preserve">  </w:t>
                  </w:r>
                  <w:r>
                    <w:rPr>
                      <w:rFonts w:ascii="仿宋_GB2312" w:hAnsi="仿宋_GB2312" w:cs="仿宋_GB2312" w:eastAsia="仿宋_GB2312"/>
                      <w:sz w:val="24"/>
                    </w:rPr>
                    <w:t>有接头扭带盒方式</w:t>
                  </w:r>
                  <w:r>
                    <w:br/>
                  </w:r>
                  <w:r>
                    <w:rPr>
                      <w:rFonts w:ascii="仿宋_GB2312" w:hAnsi="仿宋_GB2312" w:cs="仿宋_GB2312" w:eastAsia="仿宋_GB2312"/>
                      <w:sz w:val="24"/>
                    </w:rPr>
                    <w:t>23、</w:t>
                  </w:r>
                  <w:r>
                    <w:rPr>
                      <w:rFonts w:ascii="仿宋_GB2312" w:hAnsi="仿宋_GB2312" w:cs="仿宋_GB2312" w:eastAsia="仿宋_GB2312"/>
                      <w:sz w:val="24"/>
                    </w:rPr>
                    <w:t>寿命</w:t>
                  </w:r>
                  <w:r>
                    <w:rPr>
                      <w:rFonts w:ascii="仿宋_GB2312" w:hAnsi="仿宋_GB2312" w:cs="仿宋_GB2312" w:eastAsia="仿宋_GB2312"/>
                      <w:sz w:val="24"/>
                    </w:rPr>
                    <w:t xml:space="preserve">  </w:t>
                  </w:r>
                  <w:r>
                    <w:rPr>
                      <w:rFonts w:ascii="仿宋_GB2312" w:hAnsi="仿宋_GB2312" w:cs="仿宋_GB2312" w:eastAsia="仿宋_GB2312"/>
                      <w:sz w:val="24"/>
                    </w:rPr>
                    <w:t>1200万字符</w:t>
                  </w:r>
                  <w:r>
                    <w:br/>
                  </w:r>
                  <w:r>
                    <w:rPr>
                      <w:rFonts w:ascii="仿宋_GB2312" w:hAnsi="仿宋_GB2312" w:cs="仿宋_GB2312" w:eastAsia="仿宋_GB2312"/>
                      <w:sz w:val="24"/>
                    </w:rPr>
                    <w:t>24、</w:t>
                  </w:r>
                  <w:r>
                    <w:rPr>
                      <w:rFonts w:ascii="仿宋_GB2312" w:hAnsi="仿宋_GB2312" w:cs="仿宋_GB2312" w:eastAsia="仿宋_GB2312"/>
                      <w:sz w:val="24"/>
                    </w:rPr>
                    <w:t>纸张调节</w:t>
                  </w:r>
                  <w:r>
                    <w:rPr>
                      <w:rFonts w:ascii="仿宋_GB2312" w:hAnsi="仿宋_GB2312" w:cs="仿宋_GB2312" w:eastAsia="仿宋_GB2312"/>
                      <w:sz w:val="24"/>
                    </w:rPr>
                    <w:t xml:space="preserve">  </w:t>
                  </w:r>
                  <w:r>
                    <w:rPr>
                      <w:rFonts w:ascii="仿宋_GB2312" w:hAnsi="仿宋_GB2312" w:cs="仿宋_GB2312" w:eastAsia="仿宋_GB2312"/>
                      <w:sz w:val="24"/>
                    </w:rPr>
                    <w:t>手动</w:t>
                  </w:r>
                  <w:r>
                    <w:br/>
                  </w:r>
                  <w:r>
                    <w:rPr>
                      <w:rFonts w:ascii="仿宋_GB2312" w:hAnsi="仿宋_GB2312" w:cs="仿宋_GB2312" w:eastAsia="仿宋_GB2312"/>
                      <w:sz w:val="24"/>
                    </w:rPr>
                    <w:t>25、</w:t>
                  </w:r>
                  <w:r>
                    <w:rPr>
                      <w:rFonts w:ascii="仿宋_GB2312" w:hAnsi="仿宋_GB2312" w:cs="仿宋_GB2312" w:eastAsia="仿宋_GB2312"/>
                      <w:sz w:val="24"/>
                    </w:rPr>
                    <w:t>连页</w:t>
                  </w:r>
                  <w:r>
                    <w:rPr>
                      <w:rFonts w:ascii="仿宋_GB2312" w:hAnsi="仿宋_GB2312" w:cs="仿宋_GB2312" w:eastAsia="仿宋_GB2312"/>
                      <w:sz w:val="24"/>
                    </w:rPr>
                    <w:t>/单页切换  手动</w:t>
                  </w:r>
                  <w:r>
                    <w:br/>
                  </w:r>
                  <w:r>
                    <w:rPr>
                      <w:rFonts w:ascii="仿宋_GB2312" w:hAnsi="仿宋_GB2312" w:cs="仿宋_GB2312" w:eastAsia="仿宋_GB2312"/>
                      <w:sz w:val="24"/>
                    </w:rPr>
                    <w:t>26、</w:t>
                  </w:r>
                  <w:r>
                    <w:rPr>
                      <w:rFonts w:ascii="仿宋_GB2312" w:hAnsi="仿宋_GB2312" w:cs="仿宋_GB2312" w:eastAsia="仿宋_GB2312"/>
                      <w:sz w:val="24"/>
                    </w:rPr>
                    <w:t>仿真</w:t>
                  </w:r>
                  <w:r>
                    <w:rPr>
                      <w:rFonts w:ascii="仿宋_GB2312" w:hAnsi="仿宋_GB2312" w:cs="仿宋_GB2312" w:eastAsia="仿宋_GB2312"/>
                      <w:sz w:val="24"/>
                    </w:rPr>
                    <w:t xml:space="preserve">  </w:t>
                  </w:r>
                  <w:r>
                    <w:rPr>
                      <w:rFonts w:ascii="仿宋_GB2312" w:hAnsi="仿宋_GB2312" w:cs="仿宋_GB2312" w:eastAsia="仿宋_GB2312"/>
                      <w:sz w:val="24"/>
                    </w:rPr>
                    <w:t>LQ1600K+、OKI5320SC</w:t>
                  </w:r>
                  <w:r>
                    <w:br/>
                  </w:r>
                  <w:r>
                    <w:rPr>
                      <w:rFonts w:ascii="仿宋_GB2312" w:hAnsi="仿宋_GB2312" w:cs="仿宋_GB2312" w:eastAsia="仿宋_GB2312"/>
                      <w:sz w:val="24"/>
                    </w:rPr>
                    <w:t>27、</w:t>
                  </w:r>
                  <w:r>
                    <w:rPr>
                      <w:rFonts w:ascii="仿宋_GB2312" w:hAnsi="仿宋_GB2312" w:cs="仿宋_GB2312" w:eastAsia="仿宋_GB2312"/>
                      <w:sz w:val="24"/>
                    </w:rPr>
                    <w:t>汉字字库</w:t>
                  </w:r>
                  <w:r>
                    <w:rPr>
                      <w:rFonts w:ascii="仿宋_GB2312" w:hAnsi="仿宋_GB2312" w:cs="仿宋_GB2312" w:eastAsia="仿宋_GB2312"/>
                      <w:sz w:val="24"/>
                    </w:rPr>
                    <w:t xml:space="preserve">  </w:t>
                  </w:r>
                  <w:r>
                    <w:rPr>
                      <w:rFonts w:ascii="仿宋_GB2312" w:hAnsi="仿宋_GB2312" w:cs="仿宋_GB2312" w:eastAsia="仿宋_GB2312"/>
                      <w:sz w:val="24"/>
                    </w:rPr>
                    <w:t>大字库</w:t>
                  </w:r>
                  <w:r>
                    <w:rPr>
                      <w:rFonts w:ascii="仿宋_GB2312" w:hAnsi="仿宋_GB2312" w:cs="仿宋_GB2312" w:eastAsia="仿宋_GB2312"/>
                      <w:sz w:val="24"/>
                    </w:rPr>
                    <w:t>GB18030</w:t>
                  </w:r>
                  <w:r>
                    <w:br/>
                  </w:r>
                  <w:r>
                    <w:rPr>
                      <w:rFonts w:ascii="仿宋_GB2312" w:hAnsi="仿宋_GB2312" w:cs="仿宋_GB2312" w:eastAsia="仿宋_GB2312"/>
                      <w:sz w:val="24"/>
                    </w:rPr>
                    <w:t>28、</w:t>
                  </w:r>
                  <w:r>
                    <w:rPr>
                      <w:rFonts w:ascii="仿宋_GB2312" w:hAnsi="仿宋_GB2312" w:cs="仿宋_GB2312" w:eastAsia="仿宋_GB2312"/>
                      <w:sz w:val="24"/>
                    </w:rPr>
                    <w:t>其他功能</w:t>
                  </w:r>
                  <w:r>
                    <w:rPr>
                      <w:rFonts w:ascii="仿宋_GB2312" w:hAnsi="仿宋_GB2312" w:cs="仿宋_GB2312" w:eastAsia="仿宋_GB2312"/>
                      <w:sz w:val="24"/>
                    </w:rPr>
                    <w:t xml:space="preserve">  </w:t>
                  </w:r>
                  <w:r>
                    <w:rPr>
                      <w:rFonts w:ascii="仿宋_GB2312" w:hAnsi="仿宋_GB2312" w:cs="仿宋_GB2312" w:eastAsia="仿宋_GB2312"/>
                      <w:sz w:val="24"/>
                    </w:rPr>
                    <w:t>自动压缩打印功能</w:t>
                  </w:r>
                  <w:r>
                    <w:br/>
                  </w:r>
                  <w:r>
                    <w:rPr>
                      <w:rFonts w:ascii="仿宋_GB2312" w:hAnsi="仿宋_GB2312" w:cs="仿宋_GB2312" w:eastAsia="仿宋_GB2312"/>
                      <w:sz w:val="24"/>
                    </w:rPr>
                    <w:t>29、</w:t>
                  </w:r>
                  <w:r>
                    <w:rPr>
                      <w:rFonts w:ascii="仿宋_GB2312" w:hAnsi="仿宋_GB2312" w:cs="仿宋_GB2312" w:eastAsia="仿宋_GB2312"/>
                      <w:sz w:val="24"/>
                    </w:rPr>
                    <w:t>页面压缩打印功能</w:t>
                  </w:r>
                  <w:r>
                    <w:br/>
                  </w:r>
                  <w:r>
                    <w:rPr>
                      <w:rFonts w:ascii="仿宋_GB2312" w:hAnsi="仿宋_GB2312" w:cs="仿宋_GB2312" w:eastAsia="仿宋_GB2312"/>
                      <w:sz w:val="24"/>
                    </w:rPr>
                    <w:t>30、</w:t>
                  </w:r>
                  <w:r>
                    <w:rPr>
                      <w:rFonts w:ascii="仿宋_GB2312" w:hAnsi="仿宋_GB2312" w:cs="仿宋_GB2312" w:eastAsia="仿宋_GB2312"/>
                      <w:sz w:val="24"/>
                    </w:rPr>
                    <w:t>FLASHROM在线升级功能</w:t>
                  </w:r>
                  <w:r>
                    <w:br/>
                  </w:r>
                  <w:r>
                    <w:rPr>
                      <w:rFonts w:ascii="仿宋_GB2312" w:hAnsi="仿宋_GB2312" w:cs="仿宋_GB2312" w:eastAsia="仿宋_GB2312"/>
                      <w:sz w:val="24"/>
                    </w:rPr>
                    <w:t>31、</w:t>
                  </w:r>
                  <w:r>
                    <w:rPr>
                      <w:rFonts w:ascii="仿宋_GB2312" w:hAnsi="仿宋_GB2312" w:cs="仿宋_GB2312" w:eastAsia="仿宋_GB2312"/>
                      <w:sz w:val="24"/>
                    </w:rPr>
                    <w:t>新一代断针补偿打印功能</w:t>
                  </w:r>
                  <w:r>
                    <w:br/>
                  </w:r>
                  <w:r>
                    <w:rPr>
                      <w:rFonts w:ascii="仿宋_GB2312" w:hAnsi="仿宋_GB2312" w:cs="仿宋_GB2312" w:eastAsia="仿宋_GB2312"/>
                      <w:sz w:val="24"/>
                    </w:rPr>
                    <w:t>32、</w:t>
                  </w:r>
                  <w:r>
                    <w:rPr>
                      <w:rFonts w:ascii="仿宋_GB2312" w:hAnsi="仿宋_GB2312" w:cs="仿宋_GB2312" w:eastAsia="仿宋_GB2312"/>
                      <w:sz w:val="24"/>
                    </w:rPr>
                    <w:t>打印参数智能设置功能</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监控布置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600万录音录像全彩</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64路8盘位录像机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视屏监控软件平台集成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存储硬盘</w:t>
                  </w:r>
                  <w:r>
                    <w:rPr>
                      <w:rFonts w:ascii="仿宋_GB2312" w:hAnsi="仿宋_GB2312" w:cs="仿宋_GB2312" w:eastAsia="仿宋_GB2312"/>
                      <w:sz w:val="24"/>
                    </w:rPr>
                    <w:t>10T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拼接屏</w:t>
                  </w:r>
                  <w:r>
                    <w:rPr>
                      <w:rFonts w:ascii="仿宋_GB2312" w:hAnsi="仿宋_GB2312" w:cs="仿宋_GB2312" w:eastAsia="仿宋_GB2312"/>
                      <w:sz w:val="24"/>
                    </w:rPr>
                    <w:t>55寸</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拼接视频处理器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超五类网线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10口poe交换机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24口核心交换机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设备机柜</w:t>
                  </w:r>
                  <w:r>
                    <w:rPr>
                      <w:rFonts w:ascii="仿宋_GB2312" w:hAnsi="仿宋_GB2312" w:cs="仿宋_GB2312" w:eastAsia="仿宋_GB2312"/>
                      <w:sz w:val="24"/>
                    </w:rPr>
                    <w:t>600*800*2000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w:t>
                  </w:r>
                  <w:r>
                    <w:rPr>
                      <w:rFonts w:ascii="仿宋_GB2312" w:hAnsi="仿宋_GB2312" w:cs="仿宋_GB2312" w:eastAsia="仿宋_GB2312"/>
                      <w:sz w:val="24"/>
                    </w:rPr>
                    <w:t>AP网络系统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企业级路由器（有线）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企业级路由器（无线</w:t>
                  </w:r>
                  <w:r>
                    <w:rPr>
                      <w:rFonts w:ascii="仿宋_GB2312" w:hAnsi="仿宋_GB2312" w:cs="仿宋_GB2312" w:eastAsia="仿宋_GB2312"/>
                      <w:sz w:val="24"/>
                    </w:rPr>
                    <w:t>Wifi）</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核心交换机（有线）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万兆光模块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24口千兆POE交换机（无线Wifi用）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Wifi6吸顶AP（无线Wifi用）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24口千兆交换机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六类网线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弱电机柜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机柜</w:t>
                  </w:r>
                  <w:r>
                    <w:rPr>
                      <w:rFonts w:ascii="仿宋_GB2312" w:hAnsi="仿宋_GB2312" w:cs="仿宋_GB2312" w:eastAsia="仿宋_GB2312"/>
                      <w:sz w:val="24"/>
                    </w:rPr>
                    <w:t>PDU</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理线架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视频处理器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1040万像素点、dvi*4、HDMI2.0*1网口*16、光口*4控制TCP/IP</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设备配件及辅材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LED接收卡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饮水器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类型</w:t>
                  </w:r>
                  <w:r>
                    <w:rPr>
                      <w:rFonts w:ascii="仿宋_GB2312" w:hAnsi="仿宋_GB2312" w:cs="仿宋_GB2312" w:eastAsia="仿宋_GB2312"/>
                      <w:sz w:val="24"/>
                    </w:rPr>
                    <w:t>:立式饮水机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标的名称：政务服务平台迁移及配套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94"/>
              <w:gridCol w:w="308"/>
              <w:gridCol w:w="344"/>
              <w:gridCol w:w="344"/>
              <w:gridCol w:w="861"/>
              <w:gridCol w:w="244"/>
              <w:gridCol w:w="249"/>
            </w:tblGrid>
            <w:tr>
              <w:tc>
                <w:tcPr>
                  <w:tcW w:type="dxa" w:w="2544"/>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政务服务平台迁移配套工程</w:t>
                  </w:r>
                </w:p>
              </w:tc>
            </w:tr>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系统</w:t>
                  </w:r>
                </w:p>
              </w:tc>
              <w:tc>
                <w:tcPr>
                  <w:tcW w:type="dxa" w:w="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模块</w:t>
                  </w:r>
                </w:p>
              </w:tc>
              <w:tc>
                <w:tcPr>
                  <w:tcW w:type="dxa" w:w="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功能</w:t>
                  </w:r>
                </w:p>
              </w:tc>
              <w:tc>
                <w:tcPr>
                  <w:tcW w:type="dxa" w:w="8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描述</w:t>
                  </w:r>
                </w:p>
              </w:tc>
              <w:tc>
                <w:tcPr>
                  <w:tcW w:type="dxa" w:w="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便民利企小程序服务升级</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数字门牌功能</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门牌生成及功能</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字政务门牌”是一个承载最新服务信息和精准定位的动态“二维码入口”。群众只需用手机轻松扫码，无需费心记地址，利用现有“高新便民利企”小程序二维码作为核心载体，为群众提供服务场景包括：政务地图、办事指南、咨询直达、政务办事等，对于后续小程序后台实时更新信息，所有已部署的门牌二维码扫码即享最新内容。</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数字门牌设计与制作服务</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专项设计与制作服务</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本项服务涵盖将上述数字门牌实体化制作。提供专业的物料制作服务，打造统一、专业的视觉形象系统，确保数字门牌网络高效、规范地建立起来。服务内容如下。</w:t>
                  </w:r>
                  <w:r>
                    <w:br/>
                  </w:r>
                  <w:r>
                    <w:rPr>
                      <w:rFonts w:ascii="仿宋_GB2312" w:hAnsi="仿宋_GB2312" w:cs="仿宋_GB2312" w:eastAsia="仿宋_GB2312"/>
                      <w:sz w:val="22"/>
                      <w:color w:val="000000"/>
                    </w:rPr>
                    <w:t>(1)物料制作</w:t>
                  </w:r>
                  <w:r>
                    <w:rPr>
                      <w:rFonts w:ascii="仿宋_GB2312" w:hAnsi="仿宋_GB2312" w:cs="仿宋_GB2312" w:eastAsia="仿宋_GB2312"/>
                      <w:sz w:val="22"/>
                      <w:color w:val="000000"/>
                    </w:rPr>
                    <w:t>：</w:t>
                  </w:r>
                  <w:r>
                    <w:rPr>
                      <w:rFonts w:ascii="仿宋_GB2312" w:hAnsi="仿宋_GB2312" w:cs="仿宋_GB2312" w:eastAsia="仿宋_GB2312"/>
                      <w:sz w:val="22"/>
                      <w:color w:val="000000"/>
                    </w:rPr>
                    <w:t>根据审定后的设计稿，采购或制作各类规格的门牌实物。</w:t>
                  </w:r>
                  <w:r>
                    <w:br/>
                  </w:r>
                  <w:r>
                    <w:rPr>
                      <w:rFonts w:ascii="仿宋_GB2312" w:hAnsi="仿宋_GB2312" w:cs="仿宋_GB2312" w:eastAsia="仿宋_GB2312"/>
                      <w:sz w:val="22"/>
                      <w:color w:val="000000"/>
                    </w:rPr>
                    <w:t>(2)材质建议与选择：支持选择户外海报/展板、室内立牌/易拉宝、窗贴/桌贴等多种形式，确保二维码印刷清晰、平整，无变形，扫码成功率达100%。</w:t>
                  </w:r>
                  <w:r>
                    <w:br/>
                  </w:r>
                  <w:r>
                    <w:rPr>
                      <w:rFonts w:ascii="仿宋_GB2312" w:hAnsi="仿宋_GB2312" w:cs="仿宋_GB2312" w:eastAsia="仿宋_GB2312"/>
                      <w:sz w:val="22"/>
                      <w:color w:val="000000"/>
                    </w:rPr>
                    <w:t>(3)涵盖范围：制作好的门牌及地图指引支持覆盖到基层。</w:t>
                  </w:r>
                  <w:r>
                    <w:rPr>
                      <w:rFonts w:ascii="仿宋_GB2312" w:hAnsi="仿宋_GB2312" w:cs="仿宋_GB2312" w:eastAsia="仿宋_GB2312"/>
                      <w:sz w:val="22"/>
                      <w:color w:val="0000FF"/>
                    </w:rPr>
                    <w:t>【涵盖</w:t>
                  </w:r>
                  <w:r>
                    <w:rPr>
                      <w:rFonts w:ascii="仿宋_GB2312" w:hAnsi="仿宋_GB2312" w:cs="仿宋_GB2312" w:eastAsia="仿宋_GB2312"/>
                      <w:sz w:val="22"/>
                      <w:color w:val="0000FF"/>
                    </w:rPr>
                    <w:t>8个街镇（含金域社区）、52个村、448个村民小组、6个社区、148个小区（含金域社区所辖小区）</w:t>
                  </w:r>
                  <w:r>
                    <w:rPr>
                      <w:rFonts w:ascii="仿宋_GB2312" w:hAnsi="仿宋_GB2312" w:cs="仿宋_GB2312" w:eastAsia="仿宋_GB2312"/>
                      <w:sz w:val="22"/>
                      <w:color w:val="0000FF"/>
                    </w:rPr>
                    <w:t>】</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政务地图</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机构展示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按照机构层级</w:t>
                  </w:r>
                  <w:r>
                    <w:rPr>
                      <w:rFonts w:ascii="仿宋_GB2312" w:hAnsi="仿宋_GB2312" w:cs="仿宋_GB2312" w:eastAsia="仿宋_GB2312"/>
                      <w:sz w:val="22"/>
                      <w:color w:val="000000"/>
                    </w:rPr>
                    <w:t>“区级－街镇－社区”展示机构信息，包括机构名称、地址、服务时间、咨询电话、门头照片、服务事项清单，提供精准的机构信息全要素展示，方便用户查询了解高新区内政务服务布局。</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导航服务</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每个机构详情页下提供专属导航服务，用户点击机构详情页的</w:t>
                  </w:r>
                  <w:r>
                    <w:rPr>
                      <w:rFonts w:ascii="仿宋_GB2312" w:hAnsi="仿宋_GB2312" w:cs="仿宋_GB2312" w:eastAsia="仿宋_GB2312"/>
                      <w:sz w:val="22"/>
                      <w:color w:val="000000"/>
                    </w:rPr>
                    <w:t>“去这里”按钮，可跳转至手机自有导航（如百度、高德等）获取精准导航服务。</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服务清单</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展示各级政务服务事项清单，支持查看事项办事指南。其中区级政务服务事项清单跳转至区级办事服务页面。</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内容更新</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对高新区小程序管理后台增加对应管理模块，实现所有机构信息和关联的办事信息均支持高新区管理后台统一录入、更新和维护，确保展示信息始终是最新、最完整、最权威的版本，有效杜绝信息滞后。</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综窗预约改造需求</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小程序预约功能</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事项导入验证</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小程序上新增大厅事项预约功能（预约时间限制为周六，每个窗口预约数量限制为</w:t>
                  </w:r>
                  <w:r>
                    <w:rPr>
                      <w:rFonts w:ascii="仿宋_GB2312" w:hAnsi="仿宋_GB2312" w:cs="仿宋_GB2312" w:eastAsia="仿宋_GB2312"/>
                      <w:sz w:val="22"/>
                      <w:color w:val="000000"/>
                    </w:rPr>
                    <w:t>5人）</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预约系统功能对接改造</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便民利企后台管理系统改造</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数据对接</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预约结果可在便民利企后台查看，并支持导出（导出内容、预约事项名称、部门、窗口号、预约人名称、电话、预约序号、预约时间）</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新增周末预约管理页面</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导出功能开发</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大厅抽号机对接</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大厅抽叫号系统对接调试</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同步支持大厅抽号机预约取号</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测试上线</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对功能进行测试及上线</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大厅迁移技术支撑服务</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抽号机调试对接</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现场对接调试抽号机，并安装抽号系统及插件</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双面屏幕调试对接</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现场调试双面屏，并安装叫号评价系统</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吊屏调试对接</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现场调试吊屏，并显示窗口信息、叫号信息</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高拍仪调试对接</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现场调试高拍仪，和系统连接</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语音播报系统调试对接</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调试语音播报系统，使功放可以播放叫号语音</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窗口配置</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大厅所有窗口、评价器、叫号等</w:t>
                  </w:r>
                  <w:r>
                    <w:rPr>
                      <w:rFonts w:ascii="仿宋_GB2312" w:hAnsi="仿宋_GB2312" w:cs="仿宋_GB2312" w:eastAsia="仿宋_GB2312"/>
                      <w:sz w:val="22"/>
                      <w:color w:val="000000"/>
                    </w:rPr>
                    <w:t>IP配置</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19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事项配置</w:t>
                  </w:r>
                </w:p>
              </w:tc>
              <w:tc>
                <w:tcPr>
                  <w:tcW w:type="dxa" w:w="34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86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事项根据大厅窗口进行区域配置调整</w:t>
                  </w:r>
                </w:p>
              </w:tc>
              <w:tc>
                <w:tcPr>
                  <w:tcW w:type="dxa" w:w="24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符合国家、行业标准及采购人要求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符合国家、行业标准及采购人要求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符合国家、行业标准及采购人要求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项目合同包2为非专门面向中小企业采购，供应商所投产品全部为小微企业制造的，磋商最终报价小微企业报价给予10%的扣除，用扣除后的价格参加评审。即：评标价=最后报价×（1-10%）;监狱企业与残疾人福利性单位视同小型、微型企业，享受同等价格扣除，当企业属性重复时，不重复价格扣除。本磋商文件中与本处不一致的，以本处为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合同包1商务要求：1.质保期：1年；2.交货期：自大厅改造验收合格后7日历天完成；3.地点：采购人指定地点；4.质量标准：符合国家、行业标准及采购人要求；5.合同付款：签订合同时商议。 合同包2商务要求：1.质保期：1年；2.交货期：自大厅改造验收合格后7日历天完成；3.地点：采购人指定地点；4.质量标准：符合国家、行业标准及采购人要求；5.合同付款：签订合同时商议。 合同包3商务要求：1.质保期：1年；2.服务期：平台迁移自设备采购验收合格后14日历天完成；3.地点：采购人指定地点；4.质量标准：符合国家、行业标准及采购人要求；5.合同付款：签订合同时商议。 注：采购文件其他地方与本处商务要求有冲突时，以本处要求为准。合同包1-3填写系统编制的标的清单时，项目经理填写投标代表姓名，执业证书打“/”，其余参考交货期或服务期执行，报价单价与总价一致。 其他要求：成交单位在结果公示后3个工作日内应向代理机构提供3套纸质版响应文件。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2包响应文件（格式）.docx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独立承担民事责任的资格</w:t>
            </w:r>
          </w:p>
        </w:tc>
        <w:tc>
          <w:tcPr>
            <w:tcW w:type="dxa" w:w="3322"/>
          </w:tcPr>
          <w:p>
            <w:pPr>
              <w:pStyle w:val="null3"/>
            </w:pPr>
            <w:r>
              <w:rPr>
                <w:rFonts w:ascii="仿宋_GB2312" w:hAnsi="仿宋_GB2312" w:cs="仿宋_GB2312" w:eastAsia="仿宋_GB2312"/>
              </w:rPr>
              <w:t>供应商为合法注册的企业法人、事业法人或其他组织。企业法人应提供合法有效的标识有统一社会信用代码的营业执照副本；事业法人应提供事业单位法人证书；其他组织应提供国家规定合法登记证明文件。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参会代表</w:t>
            </w:r>
          </w:p>
        </w:tc>
        <w:tc>
          <w:tcPr>
            <w:tcW w:type="dxa" w:w="3322"/>
          </w:tcPr>
          <w:p>
            <w:pPr>
              <w:pStyle w:val="null3"/>
            </w:pPr>
            <w:r>
              <w:rPr>
                <w:rFonts w:ascii="仿宋_GB2312" w:hAnsi="仿宋_GB2312" w:cs="仿宋_GB2312" w:eastAsia="仿宋_GB2312"/>
              </w:rPr>
              <w:t>供应商应授权合法的人员参加磋商全过程，其中法定代表人/负责人直接参加的，须提交法定代表人/负责人身份证明书和身份证。法定代表人/负责人授权代表参加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提供2025年1月至今已缴存的至少1个月的社会保障资金缴纳证明（银行缴费凭证或社保完税证明或社保机构开具的社会保险参保缴费情况证明），依法不需要缴纳社会保障资金的单位应提供相关证明材料。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提供2025年1月至今已缴纳的至少1个月的税收缴纳证明（银行缴费凭证或税收完税证明），依法免税的单位应提供相关证明材料。</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独立承担民事责任的资格</w:t>
            </w:r>
          </w:p>
        </w:tc>
        <w:tc>
          <w:tcPr>
            <w:tcW w:type="dxa" w:w="3322"/>
          </w:tcPr>
          <w:p>
            <w:pPr>
              <w:pStyle w:val="null3"/>
            </w:pPr>
            <w:r>
              <w:rPr>
                <w:rFonts w:ascii="仿宋_GB2312" w:hAnsi="仿宋_GB2312" w:cs="仿宋_GB2312" w:eastAsia="仿宋_GB2312"/>
              </w:rPr>
              <w:t>供应商为合法注册的企业法人、事业法人或其他组织。企业法人应提供合法有效的标识有统一社会信用代码的营业执照副本；事业法人应提供事业单位法人证书；其他组织应提供国家规定合法登记证明文件。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2包响应文件（格式）.docx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参会代表</w:t>
            </w:r>
          </w:p>
        </w:tc>
        <w:tc>
          <w:tcPr>
            <w:tcW w:type="dxa" w:w="3322"/>
          </w:tcPr>
          <w:p>
            <w:pPr>
              <w:pStyle w:val="null3"/>
            </w:pPr>
            <w:r>
              <w:rPr>
                <w:rFonts w:ascii="仿宋_GB2312" w:hAnsi="仿宋_GB2312" w:cs="仿宋_GB2312" w:eastAsia="仿宋_GB2312"/>
              </w:rPr>
              <w:t>供应商应授权合法的人员参加磋商全过程，其中法定代表人/负责人直接参加的，须提交法定代表人/负责人身份证明书和身份证。法定代表人/负责人授权代表参加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2包响应文件（格式）.docx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2包响应文件（格式）.docx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提供2025年1月至今已缴存的至少1个月的社会保障资金缴纳证明（银行缴费凭证或社保完税证明或社保机构开具的社会保险参保缴费情况证明），依法不需要缴纳社会保障资金的单位应提供相关证明材料。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2包响应文件（格式）.docx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提供2025年1月至今已缴纳的至少1个月的税收缴纳证明（银行缴费凭证或税收完税证明），依法免税的单位应提供相关证明材料。</w:t>
            </w:r>
          </w:p>
        </w:tc>
        <w:tc>
          <w:tcPr>
            <w:tcW w:type="dxa" w:w="1661"/>
          </w:tcPr>
          <w:p>
            <w:pPr>
              <w:pStyle w:val="null3"/>
            </w:pPr>
            <w:r>
              <w:rPr>
                <w:rFonts w:ascii="仿宋_GB2312" w:hAnsi="仿宋_GB2312" w:cs="仿宋_GB2312" w:eastAsia="仿宋_GB2312"/>
              </w:rPr>
              <w:t>2包响应文件（格式）.docx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2包响应文件（格式）.docx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2包响应文件（格式）.docx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2包响应文件（格式）.docx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2包响应文件（格式）.docx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2包响应文件（格式）.docx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独立承担民事责任的资格</w:t>
            </w:r>
          </w:p>
        </w:tc>
        <w:tc>
          <w:tcPr>
            <w:tcW w:type="dxa" w:w="3322"/>
          </w:tcPr>
          <w:p>
            <w:pPr>
              <w:pStyle w:val="null3"/>
            </w:pPr>
            <w:r>
              <w:rPr>
                <w:rFonts w:ascii="仿宋_GB2312" w:hAnsi="仿宋_GB2312" w:cs="仿宋_GB2312" w:eastAsia="仿宋_GB2312"/>
              </w:rPr>
              <w:t>供应商为合法注册的企业法人、事业法人或其他组织。企业法人应提供合法有效的标识有统一社会信用代码的营业执照副本；事业法人应提供事业单位法人证书；其他组织应提供国家规定合法登记证明文件。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参会代表</w:t>
            </w:r>
          </w:p>
        </w:tc>
        <w:tc>
          <w:tcPr>
            <w:tcW w:type="dxa" w:w="3322"/>
          </w:tcPr>
          <w:p>
            <w:pPr>
              <w:pStyle w:val="null3"/>
            </w:pPr>
            <w:r>
              <w:rPr>
                <w:rFonts w:ascii="仿宋_GB2312" w:hAnsi="仿宋_GB2312" w:cs="仿宋_GB2312" w:eastAsia="仿宋_GB2312"/>
              </w:rPr>
              <w:t>供应商应授权合法的人员参加磋商全过程，其中法定代表人/负责人直接参加的，须提交法定代表人/负责人身份证明书和身份证。法定代表人/负责人授权代表参加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报告（成立时间至提交磋商文件截止时间不足一年的可提供成立后任意时段的资产负债表），或其磋商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提供2025年1月至今已缴存的至少1个月的社会保障资金缴纳证明（银行缴费凭证或社保完税证明或社保机构开具的社会保险参保缴费情况证明），依法不需要缴纳社会保障资金的单位应提供相关证明材料。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提供2025年1月至今已缴纳的至少1个月的税收缴纳证明（银行缴费凭证或税收完税证明），依法免税的单位应提供相关证明材料。</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符合要求</w:t>
            </w:r>
          </w:p>
        </w:tc>
        <w:tc>
          <w:tcPr>
            <w:tcW w:type="dxa" w:w="1661"/>
          </w:tcPr>
          <w:p>
            <w:pPr>
              <w:pStyle w:val="null3"/>
            </w:pPr>
            <w:r>
              <w:rPr>
                <w:rFonts w:ascii="仿宋_GB2312" w:hAnsi="仿宋_GB2312" w:cs="仿宋_GB2312" w:eastAsia="仿宋_GB2312"/>
              </w:rPr>
              <w:t>响应文件封面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w:t>
            </w:r>
          </w:p>
        </w:tc>
        <w:tc>
          <w:tcPr>
            <w:tcW w:type="dxa" w:w="3322"/>
          </w:tcPr>
          <w:p>
            <w:pPr>
              <w:pStyle w:val="null3"/>
            </w:pPr>
            <w:r>
              <w:rPr>
                <w:rFonts w:ascii="仿宋_GB2312" w:hAnsi="仿宋_GB2312" w:cs="仿宋_GB2312" w:eastAsia="仿宋_GB2312"/>
              </w:rPr>
              <w:t>商务偏离无负偏离；首次报价唯一；报价明细无缺项</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符合要求</w:t>
            </w:r>
          </w:p>
        </w:tc>
        <w:tc>
          <w:tcPr>
            <w:tcW w:type="dxa" w:w="1661"/>
          </w:tcPr>
          <w:p>
            <w:pPr>
              <w:pStyle w:val="null3"/>
            </w:pPr>
            <w:r>
              <w:rPr>
                <w:rFonts w:ascii="仿宋_GB2312" w:hAnsi="仿宋_GB2312" w:cs="仿宋_GB2312" w:eastAsia="仿宋_GB2312"/>
              </w:rPr>
              <w:t>响应文件封面 中小企业声明函 残疾人福利性单位声明函 报价函 标的清单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w:t>
            </w:r>
          </w:p>
        </w:tc>
        <w:tc>
          <w:tcPr>
            <w:tcW w:type="dxa" w:w="3322"/>
          </w:tcPr>
          <w:p>
            <w:pPr>
              <w:pStyle w:val="null3"/>
            </w:pPr>
            <w:r>
              <w:rPr>
                <w:rFonts w:ascii="仿宋_GB2312" w:hAnsi="仿宋_GB2312" w:cs="仿宋_GB2312" w:eastAsia="仿宋_GB2312"/>
              </w:rPr>
              <w:t>商务偏离无负偏离；首次报价唯一；报价明细无缺项；节能产品符合要求</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符合要求</w:t>
            </w:r>
          </w:p>
        </w:tc>
        <w:tc>
          <w:tcPr>
            <w:tcW w:type="dxa" w:w="1661"/>
          </w:tcPr>
          <w:p>
            <w:pPr>
              <w:pStyle w:val="null3"/>
            </w:pPr>
            <w:r>
              <w:rPr>
                <w:rFonts w:ascii="仿宋_GB2312" w:hAnsi="仿宋_GB2312" w:cs="仿宋_GB2312" w:eastAsia="仿宋_GB2312"/>
              </w:rPr>
              <w:t>响应文件封面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w:t>
            </w:r>
          </w:p>
        </w:tc>
        <w:tc>
          <w:tcPr>
            <w:tcW w:type="dxa" w:w="3322"/>
          </w:tcPr>
          <w:p>
            <w:pPr>
              <w:pStyle w:val="null3"/>
            </w:pPr>
            <w:r>
              <w:rPr>
                <w:rFonts w:ascii="仿宋_GB2312" w:hAnsi="仿宋_GB2312" w:cs="仿宋_GB2312" w:eastAsia="仿宋_GB2312"/>
              </w:rPr>
              <w:t>商务偏离无负偏离；首次报价唯一；分项报价表无缺项</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供应商对所投产品技术参数逐条进行明确响应，并提供相关证明材料。其中：技术指标响应全部满足或优于磋商文件技术参数要求得19分：技术指标参数一项不满足扣0.5分，扣完为止； 备注：1、证明材料要求：以检测报告或制造商加盖公章的产品证明材料（包括但不限于产品官网截图或用户使用说明书或产品彩页等）。各证明材料中的响应指标应保持一致，若不一致以最不利于技术参数响应的证明材料进行评审。 2、“一项”根据技术参数表指标序号，每负偏离一项按要求扣除相应分数； 3、未按要求提供证明材料视为负偏离。 注：供应商需对所提供内容的真实性负责。如有虚假，将依法承担相应责任。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1包响应文件（格式）.docx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产品来源合格证明文件 产品进货渠道正常，提供所投产品来源渠道合法的证明文件（包括但不限于销售协议、代理协议、原厂授权等），提供所有产品得3分，未提供或提供不完整不得分；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1包响应文件（格式）.docx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有明确的项目组织机构及实施计划，针对本项目提供详细的实施方案说明(包括但不限于交货、实施节点把控、安装调试验收)等3项内容，每项满分3分,共9分。每项方案内容完整齐全，交货、实施节点科学高效，安装调试验收完善，各方面有详细说明得3分；每缺少一项方案内容扣3分，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1包响应文件（格式）.docx</w:t>
            </w:r>
          </w:p>
        </w:tc>
      </w:tr>
      <w:tr>
        <w:tc>
          <w:tcPr>
            <w:tcW w:type="dxa" w:w="831"/>
            <w:vMerge/>
          </w:tcPr>
          <w:p/>
        </w:tc>
        <w:tc>
          <w:tcPr>
            <w:tcW w:type="dxa" w:w="1661"/>
          </w:tcPr>
          <w:p>
            <w:pPr>
              <w:pStyle w:val="null3"/>
            </w:pPr>
            <w:r>
              <w:rPr>
                <w:rFonts w:ascii="仿宋_GB2312" w:hAnsi="仿宋_GB2312" w:cs="仿宋_GB2312" w:eastAsia="仿宋_GB2312"/>
              </w:rPr>
              <w:t>业绩 证明</w:t>
            </w:r>
          </w:p>
        </w:tc>
        <w:tc>
          <w:tcPr>
            <w:tcW w:type="dxa" w:w="2492"/>
          </w:tcPr>
          <w:p>
            <w:pPr>
              <w:pStyle w:val="null3"/>
            </w:pPr>
            <w:r>
              <w:rPr>
                <w:rFonts w:ascii="仿宋_GB2312" w:hAnsi="仿宋_GB2312" w:cs="仿宋_GB2312" w:eastAsia="仿宋_GB2312"/>
              </w:rPr>
              <w:t>提供2023年1月1日以来供应商类似项目的业绩合同（以合同签订日期为准），附业绩合同复印件加盖公章，每份2分，满分4分。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1包响应文件（格式）.docx</w:t>
            </w:r>
          </w:p>
        </w:tc>
      </w:tr>
      <w:tr>
        <w:tc>
          <w:tcPr>
            <w:tcW w:type="dxa" w:w="831"/>
            <w:vMerge/>
          </w:tcP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提前完成供货时间每减少一天，加2.5分，本项最多加5分。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1包响应文件（格式）.docx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具有售后服务机构及人员配置方案，包括：专职售后服务人员不少于1人（需提供专职人员身份证复印件及劳动合同）。评审小组对上述内容进行评审，满足条件得2分，每增加1人加2分，本项最多4分。未提供不得分； 2、所投产品质保期在满足采购文件要求的基础上，提供质保期服务方案，质保期质量问题解决方案。包括：质量管理制度、货物质量回访流程及方案、质量问题退换货流程及方案。评审小组对以上3项内容进行评审，每项满分3分,共9分。每项方案内容完整齐全，各方面有详细说明得3分；每缺少一项方案内容扣3分，所提供的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 3、提供所投产品的售后服务承诺函，根据售后服务承诺函的内容进行赋分。承诺内容详尽，质保保障有力的得2分，承诺内容相对详尽，质保保障相对合理得1分，未提供则不得分。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1包响应文件（格式）.docx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结合本项目采购需求，对供应商的培训方案（①培训时间计划及培训人员安排；②培训内容设计安排；③重点难点及培训结果保障措施）等进行综合评审，每项满分3分,共9分。每项方案内容齐全，描述细致得3分；每缺少一项方案内容扣3分，所提供的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1包响应文件（格式）.docx</w:t>
            </w:r>
          </w:p>
        </w:tc>
      </w:tr>
      <w:tr>
        <w:tc>
          <w:tcPr>
            <w:tcW w:type="dxa" w:w="831"/>
            <w:vMerge/>
          </w:tcPr>
          <w:p/>
        </w:tc>
        <w:tc>
          <w:tcPr>
            <w:tcW w:type="dxa" w:w="1661"/>
          </w:tcPr>
          <w:p>
            <w:pPr>
              <w:pStyle w:val="null3"/>
            </w:pPr>
            <w:r>
              <w:rPr>
                <w:rFonts w:ascii="仿宋_GB2312" w:hAnsi="仿宋_GB2312" w:cs="仿宋_GB2312" w:eastAsia="仿宋_GB2312"/>
              </w:rPr>
              <w:t>综合能力</w:t>
            </w:r>
          </w:p>
        </w:tc>
        <w:tc>
          <w:tcPr>
            <w:tcW w:type="dxa" w:w="2492"/>
          </w:tcPr>
          <w:p>
            <w:pPr>
              <w:pStyle w:val="null3"/>
            </w:pPr>
            <w:r>
              <w:rPr>
                <w:rFonts w:ascii="仿宋_GB2312" w:hAnsi="仿宋_GB2312" w:cs="仿宋_GB2312" w:eastAsia="仿宋_GB2312"/>
              </w:rPr>
              <w:t>根据供应商或制造商专业技术生产能力（包括但不限于①自主研发能力、生产工艺和生产步骤；②生产车间环境及详细的实际生产情况、产品检验及品控；③专业技术人员配备情况）进行评审： 供应商提供的专业技术生产能力方案，有完整的文字说明、图纸及实景照片，详细的检验设备设施及流程，专业技术人员岗位配置涵盖材料采购、生产、检验、仓储、运输等各环节、具有针对性，配备人员专业技术能力强且经验丰富，人员对应的专业证书提供齐全的得6分；每有一项内容缺失的扣2分；每有一项内容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1包响应文件（格式）.docx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价格分采用低价优先法计算，即满足磋商文件要求且最终报价最低的供应商的价格为磋商基准价，其价格分为满分。 其他供应商的价格分统一按照下列公式计算：磋商报价得分=30×（磋商基准价/最终磋商报价）。价格分计算：四舍五入，保留两位小数。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供应商对所投产品技术参数逐条进行明确响应，并提供相关证明材料。其中：技术指标响应全部满足或优于磋商文件技术参数要求得19分：技术指标参数一项不满足扣0.15分，扣完为止； 备注：1、证明材料要求：以检测报告或制造商加盖公章的产品证明材料（包括但不限于产品官网截图或用户使用说明书或产品彩页等）。各证明材料中的响应指标应保持一致，若不一致以最不利于技术参数响应的证明材料进行评审。 2、“一项”根据技术参数表指标序号，每负偏离一项按要求扣除相应分数； 3、未按要求提供证明材料视为负偏离。 注：供应商需对所提供内容的真实性负责。如有虚假，将依法承担相应责任。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2包响应文件（格式）.docx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产品来源合格证明文件 产品进货渠道正常，提供所投产品来源渠道合法的证明文件（包括但不限于销售协议、代理协议、原厂授权等），提供所有产品得3分，未提供或提供不完整不得分；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2包响应文件（格式）.docx</w:t>
            </w:r>
          </w:p>
        </w:tc>
      </w:tr>
      <w:tr>
        <w:tc>
          <w:tcPr>
            <w:tcW w:type="dxa" w:w="831"/>
            <w:vMerge/>
          </w:tcPr>
          <w:p/>
        </w:tc>
        <w:tc>
          <w:tcPr>
            <w:tcW w:type="dxa" w:w="1661"/>
          </w:tcPr>
          <w:p>
            <w:pPr>
              <w:pStyle w:val="null3"/>
            </w:pPr>
            <w:r>
              <w:rPr>
                <w:rFonts w:ascii="仿宋_GB2312" w:hAnsi="仿宋_GB2312" w:cs="仿宋_GB2312" w:eastAsia="仿宋_GB2312"/>
              </w:rPr>
              <w:t>实施 方案</w:t>
            </w:r>
          </w:p>
        </w:tc>
        <w:tc>
          <w:tcPr>
            <w:tcW w:type="dxa" w:w="2492"/>
          </w:tcPr>
          <w:p>
            <w:pPr>
              <w:pStyle w:val="null3"/>
            </w:pPr>
            <w:r>
              <w:rPr>
                <w:rFonts w:ascii="仿宋_GB2312" w:hAnsi="仿宋_GB2312" w:cs="仿宋_GB2312" w:eastAsia="仿宋_GB2312"/>
              </w:rPr>
              <w:t>实施方案有明确的项目组织机构及实施计划，针对本项目提供详细的实施方案说明(包括但不限于交货、实施节点把控、安装调试验收)等3项内容，每项满分3分,共9分。每项方案内容完整齐全，交货、实施节点科学高效，安装调试验收完善，各方面有详细说明得3分；每缺少一项方案内容扣3分，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2包响应文件（格式）.docx</w:t>
            </w:r>
          </w:p>
        </w:tc>
      </w:tr>
      <w:tr>
        <w:tc>
          <w:tcPr>
            <w:tcW w:type="dxa" w:w="831"/>
            <w:vMerge/>
          </w:tcPr>
          <w:p/>
        </w:tc>
        <w:tc>
          <w:tcPr>
            <w:tcW w:type="dxa" w:w="1661"/>
          </w:tcPr>
          <w:p>
            <w:pPr>
              <w:pStyle w:val="null3"/>
            </w:pPr>
            <w:r>
              <w:rPr>
                <w:rFonts w:ascii="仿宋_GB2312" w:hAnsi="仿宋_GB2312" w:cs="仿宋_GB2312" w:eastAsia="仿宋_GB2312"/>
              </w:rPr>
              <w:t>业绩 证明</w:t>
            </w:r>
          </w:p>
        </w:tc>
        <w:tc>
          <w:tcPr>
            <w:tcW w:type="dxa" w:w="2492"/>
          </w:tcPr>
          <w:p>
            <w:pPr>
              <w:pStyle w:val="null3"/>
            </w:pPr>
            <w:r>
              <w:rPr>
                <w:rFonts w:ascii="仿宋_GB2312" w:hAnsi="仿宋_GB2312" w:cs="仿宋_GB2312" w:eastAsia="仿宋_GB2312"/>
              </w:rPr>
              <w:t>提供2023年1月1日以来供应商类似项目的业绩合同（以合同签订日期为准），附业绩合同复印件加盖公章，每份2分，满分4分。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2包响应文件（格式）.docx</w:t>
            </w:r>
          </w:p>
        </w:tc>
      </w:tr>
      <w:tr>
        <w:tc>
          <w:tcPr>
            <w:tcW w:type="dxa" w:w="831"/>
            <w:vMerge/>
          </w:tcP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提前完成供货时间每减少一天，加2.5分，本项最多加5分。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2包响应文件（格式）.docx</w:t>
            </w:r>
          </w:p>
        </w:tc>
      </w:tr>
      <w:tr>
        <w:tc>
          <w:tcPr>
            <w:tcW w:type="dxa" w:w="831"/>
            <w:vMerge/>
          </w:tcPr>
          <w:p/>
        </w:tc>
        <w:tc>
          <w:tcPr>
            <w:tcW w:type="dxa" w:w="1661"/>
          </w:tcPr>
          <w:p>
            <w:pPr>
              <w:pStyle w:val="null3"/>
            </w:pPr>
            <w:r>
              <w:rPr>
                <w:rFonts w:ascii="仿宋_GB2312" w:hAnsi="仿宋_GB2312" w:cs="仿宋_GB2312" w:eastAsia="仿宋_GB2312"/>
              </w:rPr>
              <w:t>售后 服务</w:t>
            </w:r>
          </w:p>
        </w:tc>
        <w:tc>
          <w:tcPr>
            <w:tcW w:type="dxa" w:w="2492"/>
          </w:tcPr>
          <w:p>
            <w:pPr>
              <w:pStyle w:val="null3"/>
            </w:pPr>
            <w:r>
              <w:rPr>
                <w:rFonts w:ascii="仿宋_GB2312" w:hAnsi="仿宋_GB2312" w:cs="仿宋_GB2312" w:eastAsia="仿宋_GB2312"/>
              </w:rPr>
              <w:t>1、具有售后服务机构及人员配置方案，包括：专职售后服务人员不少于1人（需提供专职人员身份证复印件及劳动合同）。评审小组对上述内容进行评审，满足条件得2分，每增加1人加2分，本项最多4分。未提供不得分； 2、所投产品质保期在满足采购文件要求的基础上，提供质保期服务方案，质保期质量问题解决方案。包括：质量管理制度、货物质量回访流程及方案、质量问题退换货流程及方案。评审小组对以上3项内容进行评审，每项满分3分,共9分。每项方案内容完整齐全，各方面有详细说明得3分；每缺少一项方案内容扣3分，所提供的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 3、提供所投产品的售后服务承诺函，根据售后服务承诺函的内容进行赋分。承诺内容详尽，质保保障有力的得2分，承诺内容相对详尽，质保保障相对合理得1分，未提供则不得分。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2包响应文件（格式）.docx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结合本项目采购需求，对供应商的培训方案（①培训时间计划及培训人员安排；②培训内容设计安排；③重点难点及培训结果保障措施）等进行综合评审，每项满分3分,共9分。每项方案内容齐全，描述细致得3分；每缺少一项方案内容扣3分，所提供的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2包响应文件（格式）.docx</w:t>
            </w:r>
          </w:p>
        </w:tc>
      </w:tr>
      <w:tr>
        <w:tc>
          <w:tcPr>
            <w:tcW w:type="dxa" w:w="831"/>
            <w:vMerge/>
          </w:tcPr>
          <w:p/>
        </w:tc>
        <w:tc>
          <w:tcPr>
            <w:tcW w:type="dxa" w:w="1661"/>
          </w:tcPr>
          <w:p>
            <w:pPr>
              <w:pStyle w:val="null3"/>
            </w:pPr>
            <w:r>
              <w:rPr>
                <w:rFonts w:ascii="仿宋_GB2312" w:hAnsi="仿宋_GB2312" w:cs="仿宋_GB2312" w:eastAsia="仿宋_GB2312"/>
              </w:rPr>
              <w:t>综合能力</w:t>
            </w:r>
          </w:p>
        </w:tc>
        <w:tc>
          <w:tcPr>
            <w:tcW w:type="dxa" w:w="2492"/>
          </w:tcPr>
          <w:p>
            <w:pPr>
              <w:pStyle w:val="null3"/>
            </w:pPr>
            <w:r>
              <w:rPr>
                <w:rFonts w:ascii="仿宋_GB2312" w:hAnsi="仿宋_GB2312" w:cs="仿宋_GB2312" w:eastAsia="仿宋_GB2312"/>
              </w:rPr>
              <w:t>根据供应商或制造商专业技术生产能力（包括但不限于①自主研发能力、生产工艺和生产步骤；②生产车间环境及详细的实际生产情况、产品检验及品控；③专业技术人员配备情况）进行评审： 供应商提供的专业技术生产能力方案，有完整的文字说明、图纸及实景照片，详细的检验设备设施及流程，专业技术人员岗位配置涵盖材料采购、生产、检验、仓储、运输等各环节、具有针对性，配备人员专业技术能力强且经验丰富，人员对应的专业证书提供齐全的得6分；每有一项内容缺失的扣2分；每有一项内容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2包响应文件（格式）.docx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价格分采用低价优先法计算，即满足磋商文件要求且最终报价最低的供应商的价格为磋商基准价，其价格分为满分。 其他供应商的价格分统一按照下列公式计算：磋商报价得分=30×（磋商基准价/最终磋商报价）。价格分计算：四舍五入，保留两位小数。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服务需求</w:t>
            </w:r>
          </w:p>
        </w:tc>
        <w:tc>
          <w:tcPr>
            <w:tcW w:type="dxa" w:w="2492"/>
          </w:tcPr>
          <w:p>
            <w:pPr>
              <w:pStyle w:val="null3"/>
            </w:pPr>
            <w:r>
              <w:rPr>
                <w:rFonts w:ascii="仿宋_GB2312" w:hAnsi="仿宋_GB2312" w:cs="仿宋_GB2312" w:eastAsia="仿宋_GB2312"/>
              </w:rPr>
              <w:t>针对本项目的①总体服务需求分析、②服务规划、③服务进度规划，分别进行阐述，每项4分：每项内容完整齐全、科学合理、符合采购需求的得4分；每缺少一项方案内容扣4分，每有一项内容存在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3包响应文件（格式）.docx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具体情况制定的服务方案：①工作组织方案、②服务管理制度、③组织协调方案、④迁移服务目标、⑤职业道德与保密措施。每项4分：每项内容完整齐全、科学合理、符合采购需求的得4分；每缺少一项方案内容扣4分，每有一项内容存在缺陷的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3包响应文件（格式）.docx</w:t>
            </w:r>
          </w:p>
        </w:tc>
      </w:tr>
      <w:tr>
        <w:tc>
          <w:tcPr>
            <w:tcW w:type="dxa" w:w="831"/>
            <w:vMerge/>
          </w:tcPr>
          <w:p/>
        </w:tc>
        <w:tc>
          <w:tcPr>
            <w:tcW w:type="dxa" w:w="1661"/>
          </w:tcPr>
          <w:p>
            <w:pPr>
              <w:pStyle w:val="null3"/>
            </w:pPr>
            <w:r>
              <w:rPr>
                <w:rFonts w:ascii="仿宋_GB2312" w:hAnsi="仿宋_GB2312" w:cs="仿宋_GB2312" w:eastAsia="仿宋_GB2312"/>
              </w:rPr>
              <w:t>服务保证措施</w:t>
            </w:r>
          </w:p>
        </w:tc>
        <w:tc>
          <w:tcPr>
            <w:tcW w:type="dxa" w:w="2492"/>
          </w:tcPr>
          <w:p>
            <w:pPr>
              <w:pStyle w:val="null3"/>
            </w:pPr>
            <w:r>
              <w:rPr>
                <w:rFonts w:ascii="仿宋_GB2312" w:hAnsi="仿宋_GB2312" w:cs="仿宋_GB2312" w:eastAsia="仿宋_GB2312"/>
              </w:rPr>
              <w:t>服务保证措施：①进度措施、②服务质量保证措施、③安全保证措施、④系统运行调试措施。每项4分：每项内容完整齐全、科学合理、符合采购需求的得4分；每缺少一项方案内容扣4分，每有一项内容存在缺陷的扣1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3包响应文件（格式）.docx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对本工作的①重点分析、②难点分析。每项4分：每项分析内容全面合理、完整详实、叙述清楚、节点明确符合实际得4分，每缺少一项方案内容扣4分，每有一项内容存在缺陷的扣1分，扣完为止。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3包响应文件（格式）.docx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包括①应急预案内容、②应急事项的处理流程方法、③日常系统维护方案等。每项4分：每项内容全面、编制科学、具体，处理流程方法详细、可行，能充分满足项目实施过程中的应急需要得4分；每缺少一项方案内容扣4分，每有一项内容存在缺陷的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3包响应文件（格式）.docx</w:t>
            </w:r>
          </w:p>
        </w:tc>
      </w:tr>
      <w:tr>
        <w:tc>
          <w:tcPr>
            <w:tcW w:type="dxa" w:w="831"/>
            <w:vMerge/>
          </w:tcPr>
          <w:p/>
        </w:tc>
        <w:tc>
          <w:tcPr>
            <w:tcW w:type="dxa" w:w="1661"/>
          </w:tcPr>
          <w:p>
            <w:pPr>
              <w:pStyle w:val="null3"/>
            </w:pPr>
            <w:r>
              <w:rPr>
                <w:rFonts w:ascii="仿宋_GB2312" w:hAnsi="仿宋_GB2312" w:cs="仿宋_GB2312" w:eastAsia="仿宋_GB2312"/>
              </w:rPr>
              <w:t>各项服务承诺</w:t>
            </w:r>
          </w:p>
        </w:tc>
        <w:tc>
          <w:tcPr>
            <w:tcW w:type="dxa" w:w="2492"/>
          </w:tcPr>
          <w:p>
            <w:pPr>
              <w:pStyle w:val="null3"/>
            </w:pPr>
            <w:r>
              <w:rPr>
                <w:rFonts w:ascii="仿宋_GB2312" w:hAnsi="仿宋_GB2312" w:cs="仿宋_GB2312" w:eastAsia="仿宋_GB2312"/>
              </w:rPr>
              <w:t>向采购人提供的各项服务承诺：①售后响应时间、②售后人员配备、③售后服务体系、④售后服务保障措施，每项4分：每项内容详细完善、切实可行，能充分考虑到采购人的需求的得4分；每缺少一项方案内容扣4分，每有一项内容存在缺陷的扣1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3包响应文件（格式）.docx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针对本项目实施过程中或后续服务方面提出合理化的建议。建议明确、合理、可行得1分；建议不合理或未提供不得分。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3包响应文件（格式）.docx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供应商近年（2023年1月1日至今）已完成类似项目业绩，每提供一个业绩得2.5分，满分5分，以加盖公章的合同和中标通知书复印件为准。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3包响应文件（格式）.docx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价格分采用低价优先法计算，即满足磋商文件要求且最终报价最低的供应商的价格为磋商基准价，其价格分为满分。 其他供应商的价格分统一按照下列公式计算：磋商报价得分=10×（磋商基准价/最终磋商报价）。价格分计算：四舍五入，保留两位小数。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详见附件：1包响应文件（格式）.docx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详见附件：2包响应文件（格式）.docx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详见附件：3包响应文件（格式）.docx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详见附件：示范合同.docx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