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C68A8">
      <w:pPr>
        <w:jc w:val="center"/>
        <w:rPr>
          <w:rFonts w:hint="eastAsia" w:ascii="仿宋" w:hAnsi="仿宋" w:eastAsia="仿宋" w:cs="仿宋"/>
          <w:b/>
          <w:bCs/>
          <w:sz w:val="48"/>
          <w:szCs w:val="52"/>
          <w:highlight w:val="none"/>
          <w:lang w:val="en-US" w:eastAsia="zh-CN"/>
        </w:rPr>
      </w:pPr>
    </w:p>
    <w:p w14:paraId="2DCC5FD7">
      <w:pPr>
        <w:jc w:val="center"/>
        <w:rPr>
          <w:rFonts w:hint="default" w:ascii="仿宋" w:hAnsi="仿宋" w:eastAsia="仿宋" w:cs="仿宋"/>
          <w:b/>
          <w:bCs/>
          <w:sz w:val="48"/>
          <w:szCs w:val="52"/>
          <w:highlight w:val="none"/>
          <w:lang w:val="en-US" w:eastAsia="zh-CN"/>
        </w:rPr>
      </w:pPr>
      <w:r>
        <w:rPr>
          <w:rFonts w:hint="eastAsia" w:ascii="仿宋" w:hAnsi="仿宋" w:eastAsia="仿宋" w:cs="仿宋"/>
          <w:b/>
          <w:bCs/>
          <w:sz w:val="48"/>
          <w:szCs w:val="52"/>
          <w:highlight w:val="none"/>
          <w:lang w:val="en-US" w:eastAsia="zh-CN"/>
        </w:rPr>
        <w:t>合同包1</w:t>
      </w:r>
    </w:p>
    <w:p w14:paraId="427D93AA">
      <w:pPr>
        <w:jc w:val="center"/>
        <w:rPr>
          <w:rFonts w:hint="eastAsia" w:ascii="仿宋" w:hAnsi="仿宋" w:eastAsia="仿宋" w:cs="仿宋"/>
          <w:b/>
          <w:bCs/>
          <w:sz w:val="48"/>
          <w:szCs w:val="52"/>
          <w:highlight w:val="none"/>
          <w:lang w:eastAsia="zh-CN"/>
        </w:rPr>
      </w:pPr>
    </w:p>
    <w:p w14:paraId="60D8B131">
      <w:pPr>
        <w:jc w:val="center"/>
        <w:rPr>
          <w:rFonts w:hint="eastAsia" w:ascii="仿宋" w:hAnsi="仿宋" w:eastAsia="仿宋" w:cs="仿宋"/>
          <w:b/>
          <w:bCs/>
          <w:sz w:val="48"/>
          <w:szCs w:val="52"/>
          <w:highlight w:val="none"/>
          <w:lang w:eastAsia="zh-CN"/>
        </w:rPr>
      </w:pPr>
    </w:p>
    <w:p w14:paraId="0C17361F">
      <w:pPr>
        <w:jc w:val="center"/>
        <w:rPr>
          <w:rFonts w:hint="eastAsia" w:ascii="仿宋" w:hAnsi="仿宋" w:eastAsia="仿宋" w:cs="仿宋"/>
          <w:b/>
          <w:bCs/>
          <w:sz w:val="48"/>
          <w:szCs w:val="52"/>
          <w:highlight w:val="none"/>
          <w:lang w:eastAsia="zh-CN"/>
        </w:rPr>
      </w:pPr>
    </w:p>
    <w:p w14:paraId="375B28E4">
      <w:pPr>
        <w:jc w:val="center"/>
        <w:rPr>
          <w:rFonts w:hint="eastAsia" w:ascii="仿宋" w:hAnsi="仿宋" w:eastAsia="仿宋" w:cs="仿宋"/>
          <w:b/>
          <w:bCs/>
          <w:sz w:val="48"/>
          <w:szCs w:val="52"/>
          <w:highlight w:val="none"/>
          <w:lang w:eastAsia="zh-CN"/>
        </w:rPr>
      </w:pPr>
      <w:r>
        <w:rPr>
          <w:rFonts w:hint="eastAsia" w:ascii="仿宋" w:hAnsi="仿宋" w:eastAsia="仿宋" w:cs="仿宋"/>
          <w:b/>
          <w:bCs/>
          <w:sz w:val="48"/>
          <w:szCs w:val="52"/>
          <w:highlight w:val="none"/>
          <w:lang w:eastAsia="zh-CN"/>
        </w:rPr>
        <w:t>渭南高新区政务服务大厅搬迁工程</w:t>
      </w:r>
    </w:p>
    <w:p w14:paraId="7DE47519">
      <w:pPr>
        <w:jc w:val="center"/>
        <w:rPr>
          <w:rFonts w:hint="eastAsia" w:ascii="仿宋" w:hAnsi="仿宋" w:eastAsia="仿宋" w:cs="仿宋"/>
          <w:b/>
          <w:sz w:val="52"/>
          <w:szCs w:val="52"/>
          <w:highlight w:val="none"/>
        </w:rPr>
      </w:pPr>
      <w:r>
        <w:rPr>
          <w:rFonts w:hint="eastAsia" w:ascii="仿宋" w:hAnsi="仿宋" w:eastAsia="仿宋" w:cs="仿宋"/>
          <w:b/>
          <w:bCs/>
          <w:sz w:val="52"/>
          <w:szCs w:val="52"/>
          <w:highlight w:val="none"/>
        </w:rPr>
        <w:t>施工合同</w:t>
      </w:r>
    </w:p>
    <w:p w14:paraId="5030637D">
      <w:pPr>
        <w:adjustRightInd w:val="0"/>
        <w:snapToGrid w:val="0"/>
        <w:spacing w:before="60" w:after="60" w:line="360" w:lineRule="auto"/>
        <w:jc w:val="center"/>
        <w:rPr>
          <w:rFonts w:hint="eastAsia" w:ascii="仿宋" w:hAnsi="仿宋" w:eastAsia="仿宋" w:cs="仿宋"/>
          <w:b w:val="0"/>
          <w:bCs/>
          <w:sz w:val="24"/>
          <w:szCs w:val="20"/>
          <w:highlight w:val="none"/>
        </w:rPr>
      </w:pPr>
      <w:r>
        <w:rPr>
          <w:rFonts w:hint="eastAsia" w:ascii="仿宋" w:hAnsi="仿宋" w:eastAsia="仿宋" w:cs="仿宋"/>
          <w:b w:val="0"/>
          <w:bCs/>
          <w:sz w:val="24"/>
          <w:szCs w:val="20"/>
          <w:highlight w:val="none"/>
        </w:rPr>
        <w:t>（</w:t>
      </w:r>
      <w:r>
        <w:rPr>
          <w:rFonts w:hint="eastAsia" w:ascii="仿宋" w:hAnsi="仿宋" w:eastAsia="仿宋" w:cs="仿宋"/>
          <w:b w:val="0"/>
          <w:bCs/>
          <w:sz w:val="24"/>
          <w:szCs w:val="20"/>
          <w:highlight w:val="none"/>
          <w:lang w:eastAsia="zh-CN"/>
        </w:rPr>
        <w:t>本文本为</w:t>
      </w:r>
      <w:r>
        <w:rPr>
          <w:rFonts w:hint="eastAsia" w:ascii="仿宋" w:hAnsi="仿宋" w:eastAsia="仿宋" w:cs="仿宋"/>
          <w:b w:val="0"/>
          <w:bCs/>
          <w:sz w:val="24"/>
          <w:szCs w:val="20"/>
          <w:highlight w:val="none"/>
        </w:rPr>
        <w:t>示范文本</w:t>
      </w:r>
      <w:r>
        <w:rPr>
          <w:rFonts w:hint="eastAsia" w:ascii="仿宋" w:hAnsi="仿宋" w:eastAsia="仿宋" w:cs="仿宋"/>
          <w:b w:val="0"/>
          <w:bCs/>
          <w:sz w:val="24"/>
          <w:szCs w:val="20"/>
          <w:highlight w:val="none"/>
          <w:lang w:eastAsia="zh-CN"/>
        </w:rPr>
        <w:t>，具体以甲乙双方签订合同为准</w:t>
      </w:r>
      <w:r>
        <w:rPr>
          <w:rFonts w:hint="eastAsia" w:ascii="仿宋" w:hAnsi="仿宋" w:eastAsia="仿宋" w:cs="仿宋"/>
          <w:b w:val="0"/>
          <w:bCs/>
          <w:sz w:val="24"/>
          <w:szCs w:val="20"/>
          <w:highlight w:val="none"/>
        </w:rPr>
        <w:t>）</w:t>
      </w:r>
    </w:p>
    <w:p w14:paraId="31ADBD4C">
      <w:pPr>
        <w:pStyle w:val="5"/>
        <w:numPr>
          <w:ilvl w:val="0"/>
          <w:numId w:val="0"/>
        </w:numPr>
        <w:ind w:left="850" w:leftChars="0" w:hanging="850" w:firstLineChars="0"/>
        <w:rPr>
          <w:rFonts w:hint="eastAsia" w:ascii="仿宋" w:hAnsi="仿宋" w:eastAsia="仿宋" w:cs="仿宋"/>
          <w:highlight w:val="none"/>
        </w:rPr>
      </w:pPr>
      <w:r>
        <w:rPr>
          <w:rFonts w:hint="eastAsia" w:ascii="仿宋" w:hAnsi="仿宋" w:eastAsia="仿宋" w:cs="仿宋"/>
          <w:highlight w:val="none"/>
        </w:rPr>
        <w:br w:type="page"/>
      </w:r>
    </w:p>
    <w:p w14:paraId="143DE36B">
      <w:pPr>
        <w:spacing w:before="156" w:beforeLines="50" w:line="360" w:lineRule="auto"/>
        <w:jc w:val="center"/>
        <w:rPr>
          <w:rFonts w:hint="eastAsia" w:ascii="仿宋" w:hAnsi="仿宋" w:eastAsia="仿宋" w:cs="仿宋"/>
          <w:b/>
          <w:bCs/>
          <w:sz w:val="36"/>
          <w:szCs w:val="36"/>
          <w:highlight w:val="none"/>
        </w:rPr>
      </w:pPr>
    </w:p>
    <w:p w14:paraId="5481CF92">
      <w:pPr>
        <w:spacing w:line="360" w:lineRule="auto"/>
        <w:ind w:firstLine="482" w:firstLineChars="200"/>
        <w:rPr>
          <w:rFonts w:hint="eastAsia" w:ascii="仿宋" w:hAnsi="仿宋" w:eastAsia="仿宋" w:cs="仿宋"/>
          <w:b/>
          <w:color w:val="000000"/>
          <w:sz w:val="24"/>
          <w:szCs w:val="24"/>
          <w:highlight w:val="none"/>
          <w:u w:val="single"/>
        </w:rPr>
      </w:pPr>
      <w:r>
        <w:rPr>
          <w:rFonts w:hint="eastAsia" w:ascii="仿宋" w:hAnsi="仿宋" w:eastAsia="仿宋" w:cs="仿宋"/>
          <w:b/>
          <w:color w:val="000000"/>
          <w:sz w:val="24"/>
          <w:szCs w:val="24"/>
          <w:highlight w:val="none"/>
        </w:rPr>
        <w:t>发包人（即采购人）：</w:t>
      </w:r>
      <w:r>
        <w:rPr>
          <w:rFonts w:hint="eastAsia" w:ascii="仿宋" w:hAnsi="仿宋" w:eastAsia="仿宋" w:cs="仿宋"/>
          <w:b/>
          <w:color w:val="000000"/>
          <w:sz w:val="24"/>
          <w:szCs w:val="24"/>
          <w:highlight w:val="none"/>
          <w:u w:val="single"/>
        </w:rPr>
        <w:t xml:space="preserve">              </w:t>
      </w:r>
    </w:p>
    <w:p w14:paraId="5166B89B">
      <w:pPr>
        <w:spacing w:line="360" w:lineRule="auto"/>
        <w:ind w:firstLine="482" w:firstLineChars="200"/>
        <w:rPr>
          <w:rFonts w:hint="eastAsia" w:ascii="仿宋" w:hAnsi="仿宋" w:eastAsia="仿宋" w:cs="仿宋"/>
          <w:b/>
          <w:color w:val="000000"/>
          <w:sz w:val="24"/>
          <w:szCs w:val="24"/>
          <w:highlight w:val="none"/>
          <w:u w:val="single"/>
        </w:rPr>
      </w:pPr>
      <w:r>
        <w:rPr>
          <w:rFonts w:hint="eastAsia" w:ascii="仿宋" w:hAnsi="仿宋" w:eastAsia="仿宋" w:cs="仿宋"/>
          <w:b/>
          <w:color w:val="000000"/>
          <w:sz w:val="24"/>
          <w:szCs w:val="24"/>
          <w:highlight w:val="none"/>
        </w:rPr>
        <w:t>承包人（即</w:t>
      </w:r>
      <w:r>
        <w:rPr>
          <w:rFonts w:hint="eastAsia" w:ascii="仿宋" w:hAnsi="仿宋" w:eastAsia="仿宋" w:cs="仿宋"/>
          <w:b/>
          <w:color w:val="000000"/>
          <w:sz w:val="24"/>
          <w:szCs w:val="24"/>
          <w:highlight w:val="none"/>
          <w:lang w:val="en-US" w:eastAsia="zh-CN"/>
        </w:rPr>
        <w:t>供应商</w:t>
      </w:r>
      <w:r>
        <w:rPr>
          <w:rFonts w:hint="eastAsia" w:ascii="仿宋" w:hAnsi="仿宋" w:eastAsia="仿宋" w:cs="仿宋"/>
          <w:b/>
          <w:color w:val="000000"/>
          <w:sz w:val="24"/>
          <w:szCs w:val="24"/>
          <w:highlight w:val="none"/>
        </w:rPr>
        <w:t>）：</w:t>
      </w:r>
      <w:r>
        <w:rPr>
          <w:rFonts w:hint="eastAsia" w:ascii="仿宋" w:hAnsi="仿宋" w:eastAsia="仿宋" w:cs="仿宋"/>
          <w:b/>
          <w:color w:val="000000"/>
          <w:sz w:val="24"/>
          <w:szCs w:val="24"/>
          <w:highlight w:val="none"/>
          <w:u w:val="single"/>
        </w:rPr>
        <w:t xml:space="preserve">            </w:t>
      </w:r>
    </w:p>
    <w:p w14:paraId="1522F1F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根据《中华人民共和国民法典》、《中华人民共和国建筑法》及有关法律规定，遵循平等、自愿、公平和诚实信用的原则，双方就</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工程施工及有关事项协商一致，共同达成如下协议：</w:t>
      </w:r>
    </w:p>
    <w:p w14:paraId="6FE14518">
      <w:pPr>
        <w:spacing w:line="360" w:lineRule="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一、工程概况</w:t>
      </w:r>
    </w:p>
    <w:p w14:paraId="64BE0461">
      <w:pPr>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bCs/>
          <w:color w:val="000000"/>
          <w:sz w:val="24"/>
          <w:szCs w:val="24"/>
          <w:highlight w:val="none"/>
        </w:rPr>
        <w:t>1.工程名称</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5D26F3E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bCs/>
          <w:color w:val="000000"/>
          <w:sz w:val="24"/>
          <w:szCs w:val="24"/>
          <w:highlight w:val="none"/>
        </w:rPr>
        <w:t>2.工程地点：</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6633EA98">
      <w:pPr>
        <w:spacing w:line="360" w:lineRule="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二、合同工期</w:t>
      </w:r>
    </w:p>
    <w:p w14:paraId="0C478BF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计划开</w:t>
      </w:r>
      <w:r>
        <w:rPr>
          <w:rFonts w:hint="eastAsia" w:ascii="仿宋" w:hAnsi="仿宋" w:eastAsia="仿宋" w:cs="仿宋"/>
          <w:sz w:val="24"/>
          <w:szCs w:val="24"/>
          <w:highlight w:val="none"/>
        </w:rPr>
        <w:t>工日期：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B6D98E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计划竣工日期：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DD5876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both"/>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工期：自进场之日起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日历日内竣工。工期总日历天数与根据前述计划开竣工日期计算的工期天数不一致的，以工期总日历天数为准。</w:t>
      </w:r>
    </w:p>
    <w:p w14:paraId="47C8E8DC">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三、质量标准</w:t>
      </w:r>
    </w:p>
    <w:p w14:paraId="5708CAD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工程质量符合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标准。</w:t>
      </w:r>
    </w:p>
    <w:p w14:paraId="3BB89C60">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四、签约合同价与合同价格形式</w:t>
      </w:r>
    </w:p>
    <w:p w14:paraId="69CE17D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1.签约合同价为：人民币（大写）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6CBC1A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其中：安全文明施工费：人民币（大写）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7CD5FCD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材料和工程设备暂估价金额：人民币（大写）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153FCB8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专业工程暂估价金额：人民币（大写）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127C0C3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暂列金额：人民币（大写）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68BC244B">
      <w:pPr>
        <w:spacing w:line="360" w:lineRule="auto"/>
        <w:ind w:left="480"/>
        <w:rPr>
          <w:rFonts w:hint="eastAsia" w:ascii="仿宋" w:hAnsi="仿宋" w:eastAsia="仿宋" w:cs="仿宋"/>
          <w:sz w:val="24"/>
          <w:szCs w:val="24"/>
          <w:highlight w:val="none"/>
        </w:rPr>
      </w:pPr>
      <w:r>
        <w:rPr>
          <w:rFonts w:hint="eastAsia" w:ascii="仿宋" w:hAnsi="仿宋" w:eastAsia="仿宋" w:cs="仿宋"/>
          <w:sz w:val="24"/>
          <w:szCs w:val="24"/>
          <w:highlight w:val="none"/>
        </w:rPr>
        <w:t>2.合同价格形式：</w:t>
      </w:r>
      <w:r>
        <w:rPr>
          <w:rFonts w:hint="eastAsia" w:ascii="仿宋" w:hAnsi="仿宋" w:eastAsia="仿宋" w:cs="仿宋"/>
          <w:sz w:val="24"/>
          <w:szCs w:val="24"/>
          <w:highlight w:val="none"/>
          <w:u w:val="single"/>
        </w:rPr>
        <w:t xml:space="preserve">                           </w:t>
      </w:r>
      <w:r>
        <w:rPr>
          <w:rFonts w:hint="eastAsia" w:ascii="仿宋" w:hAnsi="仿宋" w:eastAsia="仿宋" w:cs="仿宋"/>
          <w:sz w:val="24"/>
          <w:szCs w:val="24"/>
          <w:highlight w:val="none"/>
        </w:rPr>
        <w:t>。</w:t>
      </w:r>
    </w:p>
    <w:p w14:paraId="1FDB565D">
      <w:pPr>
        <w:spacing w:line="360" w:lineRule="auto"/>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五、合同形式与支付</w:t>
      </w:r>
    </w:p>
    <w:p w14:paraId="38731AD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1.本合同价款采用</w:t>
      </w:r>
      <w:r>
        <w:rPr>
          <w:rFonts w:hint="eastAsia" w:ascii="仿宋" w:hAnsi="仿宋" w:eastAsia="仿宋" w:cs="仿宋"/>
          <w:sz w:val="24"/>
          <w:szCs w:val="24"/>
          <w:highlight w:val="none"/>
          <w:u w:val="single"/>
        </w:rPr>
        <w:t>固定</w:t>
      </w:r>
      <w:r>
        <w:rPr>
          <w:rFonts w:hint="eastAsia" w:ascii="仿宋" w:hAnsi="仿宋" w:eastAsia="仿宋" w:cs="仿宋"/>
          <w:sz w:val="24"/>
          <w:szCs w:val="24"/>
          <w:highlight w:val="none"/>
          <w:u w:val="single"/>
          <w:lang w:val="en-US" w:eastAsia="zh-CN"/>
        </w:rPr>
        <w:t>综合单</w:t>
      </w:r>
      <w:r>
        <w:rPr>
          <w:rFonts w:hint="eastAsia" w:ascii="仿宋" w:hAnsi="仿宋" w:eastAsia="仿宋" w:cs="仿宋"/>
          <w:sz w:val="24"/>
          <w:szCs w:val="24"/>
          <w:highlight w:val="none"/>
          <w:u w:val="single"/>
        </w:rPr>
        <w:t>价</w:t>
      </w:r>
      <w:r>
        <w:rPr>
          <w:rFonts w:hint="eastAsia" w:ascii="仿宋" w:hAnsi="仿宋" w:eastAsia="仿宋" w:cs="仿宋"/>
          <w:sz w:val="24"/>
          <w:szCs w:val="24"/>
          <w:highlight w:val="none"/>
        </w:rPr>
        <w:t>的方式确定，固定综合单价不作调整。综合单价包含的风险范围：</w:t>
      </w:r>
      <w:r>
        <w:rPr>
          <w:rFonts w:hint="eastAsia" w:ascii="仿宋" w:hAnsi="仿宋" w:eastAsia="仿宋" w:cs="仿宋"/>
          <w:sz w:val="24"/>
          <w:szCs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0F682C91">
      <w:pPr>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2.工程进度款的结算与支付</w:t>
      </w:r>
    </w:p>
    <w:p w14:paraId="43DD35AC">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sz w:val="24"/>
          <w:szCs w:val="24"/>
          <w:highlight w:val="none"/>
          <w:u w:val="single"/>
        </w:rPr>
        <w:t>。</w:t>
      </w:r>
    </w:p>
    <w:p w14:paraId="5DF1B0D3">
      <w:pPr>
        <w:widowControl/>
        <w:topLinePunct/>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3.竣工结算</w:t>
      </w:r>
    </w:p>
    <w:p w14:paraId="375A4BB7">
      <w:pPr>
        <w:widowControl/>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w:t>
      </w:r>
    </w:p>
    <w:p w14:paraId="25718CAE">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六、项目经理</w:t>
      </w:r>
    </w:p>
    <w:p w14:paraId="6541A33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承包人项目经理：</w:t>
      </w:r>
    </w:p>
    <w:p w14:paraId="65A8CE3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    </w:t>
      </w:r>
      <w:r>
        <w:rPr>
          <w:rFonts w:hint="eastAsia" w:ascii="仿宋" w:hAnsi="仿宋" w:eastAsia="仿宋" w:cs="仿宋"/>
          <w:sz w:val="24"/>
          <w:szCs w:val="24"/>
          <w:highlight w:val="none"/>
        </w:rPr>
        <w:t>职称：</w:t>
      </w:r>
      <w:r>
        <w:rPr>
          <w:rFonts w:hint="eastAsia" w:ascii="仿宋" w:hAnsi="仿宋" w:eastAsia="仿宋" w:cs="仿宋"/>
          <w:sz w:val="24"/>
          <w:szCs w:val="24"/>
          <w:highlight w:val="none"/>
          <w:u w:val="single"/>
        </w:rPr>
        <w:t xml:space="preserve">                         </w:t>
      </w:r>
    </w:p>
    <w:p w14:paraId="138F219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注册执业证书编号：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联系方式：</w:t>
      </w:r>
      <w:r>
        <w:rPr>
          <w:rFonts w:hint="eastAsia" w:ascii="仿宋" w:hAnsi="仿宋" w:eastAsia="仿宋" w:cs="仿宋"/>
          <w:sz w:val="24"/>
          <w:szCs w:val="24"/>
          <w:highlight w:val="none"/>
          <w:u w:val="single"/>
        </w:rPr>
        <w:t xml:space="preserve">             </w:t>
      </w:r>
    </w:p>
    <w:p w14:paraId="459680D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授权范围：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6FB40CE">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七、合同文件构成</w:t>
      </w:r>
    </w:p>
    <w:p w14:paraId="50BC2080">
      <w:pPr>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本协议书与下列文件一起构成合同文件：</w:t>
      </w:r>
    </w:p>
    <w:p w14:paraId="24E59932">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（1）中标通知书；</w:t>
      </w:r>
    </w:p>
    <w:p w14:paraId="6A9C6A8C">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（2）投标函；</w:t>
      </w:r>
    </w:p>
    <w:p w14:paraId="41BDF408">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（3）技术标准和要求；</w:t>
      </w:r>
    </w:p>
    <w:p w14:paraId="3E7D6086">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（4）图纸；</w:t>
      </w:r>
    </w:p>
    <w:p w14:paraId="04A4DC6E">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（5）已标价工程量清单；</w:t>
      </w:r>
    </w:p>
    <w:p w14:paraId="65BCDE68">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（6）其他合同文件。</w:t>
      </w:r>
    </w:p>
    <w:p w14:paraId="34C567B5">
      <w:pPr>
        <w:autoSpaceDE w:val="0"/>
        <w:autoSpaceDN w:val="0"/>
        <w:adjustRightIn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在合同订立及履行过程中形成的与合同有关的文件均构成合同文件组成部分。</w:t>
      </w:r>
    </w:p>
    <w:p w14:paraId="18F0D2D2">
      <w:pPr>
        <w:autoSpaceDE w:val="0"/>
        <w:autoSpaceDN w:val="0"/>
        <w:adjustRightIn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上述各项合同文件包括合同当事人就该项合同文件所作出的补充和修改，属于同一类内容的文件，应以最新签署的为准。</w:t>
      </w:r>
    </w:p>
    <w:p w14:paraId="2E4095BE">
      <w:pPr>
        <w:autoSpaceDE w:val="0"/>
        <w:autoSpaceDN w:val="0"/>
        <w:adjustRightInd w:val="0"/>
        <w:spacing w:line="360" w:lineRule="auto"/>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八、承诺</w:t>
      </w:r>
    </w:p>
    <w:p w14:paraId="1864F698">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1.发包人承诺按照法律规定履行项目审批手续、筹集工程建设资金并按照合同约定的期限和方式支付合同价款。</w:t>
      </w:r>
    </w:p>
    <w:p w14:paraId="0B1BB5C9">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6DB0CFB2">
      <w:pPr>
        <w:autoSpaceDE w:val="0"/>
        <w:autoSpaceDN w:val="0"/>
        <w:adjustRightInd w:val="0"/>
        <w:spacing w:line="360" w:lineRule="auto"/>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九、争议解决</w:t>
      </w:r>
    </w:p>
    <w:p w14:paraId="41F082B7">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因合同及合同有关事项发生的争议，按下列第</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w:t>
      </w:r>
      <w:r>
        <w:rPr>
          <w:rFonts w:hint="eastAsia" w:ascii="仿宋" w:hAnsi="仿宋" w:eastAsia="仿宋" w:cs="仿宋"/>
          <w:color w:val="000000"/>
          <w:sz w:val="24"/>
          <w:szCs w:val="24"/>
          <w:highlight w:val="none"/>
        </w:rPr>
        <w:t>种方式解决：</w:t>
      </w:r>
    </w:p>
    <w:p w14:paraId="692F09C6">
      <w:pPr>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（1）向</w:t>
      </w:r>
      <w:r>
        <w:rPr>
          <w:rFonts w:hint="eastAsia" w:ascii="仿宋" w:hAnsi="仿宋" w:eastAsia="仿宋" w:cs="仿宋"/>
          <w:color w:val="000000"/>
          <w:sz w:val="24"/>
          <w:szCs w:val="24"/>
          <w:highlight w:val="none"/>
          <w:u w:val="single"/>
          <w:lang w:eastAsia="zh-CN"/>
        </w:rPr>
        <w:t>渭南</w:t>
      </w:r>
      <w:r>
        <w:rPr>
          <w:rFonts w:hint="eastAsia" w:ascii="仿宋" w:hAnsi="仿宋" w:eastAsia="仿宋" w:cs="仿宋"/>
          <w:color w:val="000000"/>
          <w:sz w:val="24"/>
          <w:szCs w:val="24"/>
          <w:highlight w:val="none"/>
        </w:rPr>
        <w:t>仲裁委员会申请仲裁；</w:t>
      </w:r>
    </w:p>
    <w:p w14:paraId="556764E0">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color w:val="000000"/>
          <w:sz w:val="24"/>
          <w:szCs w:val="24"/>
          <w:highlight w:val="none"/>
        </w:rPr>
        <w:t>（2）向</w:t>
      </w:r>
      <w:r>
        <w:rPr>
          <w:rFonts w:hint="eastAsia" w:ascii="仿宋" w:hAnsi="仿宋" w:eastAsia="仿宋" w:cs="仿宋"/>
          <w:color w:val="000000"/>
          <w:sz w:val="24"/>
          <w:szCs w:val="24"/>
          <w:highlight w:val="none"/>
          <w:u w:val="single"/>
          <w:lang w:eastAsia="zh-CN"/>
        </w:rPr>
        <w:t>渭南</w:t>
      </w:r>
      <w:r>
        <w:rPr>
          <w:rFonts w:hint="eastAsia" w:ascii="仿宋" w:hAnsi="仿宋" w:eastAsia="仿宋" w:cs="仿宋"/>
          <w:color w:val="000000"/>
          <w:sz w:val="24"/>
          <w:szCs w:val="24"/>
          <w:highlight w:val="none"/>
          <w:u w:val="single"/>
        </w:rPr>
        <w:t>市</w:t>
      </w:r>
      <w:r>
        <w:rPr>
          <w:rFonts w:hint="eastAsia" w:ascii="仿宋" w:hAnsi="仿宋" w:eastAsia="仿宋" w:cs="仿宋"/>
          <w:color w:val="000000"/>
          <w:sz w:val="24"/>
          <w:szCs w:val="24"/>
          <w:highlight w:val="none"/>
        </w:rPr>
        <w:t>中级人民法院起诉。</w:t>
      </w:r>
    </w:p>
    <w:p w14:paraId="306E6009">
      <w:pPr>
        <w:spacing w:line="360" w:lineRule="auto"/>
        <w:rPr>
          <w:rFonts w:hint="eastAsia" w:ascii="仿宋" w:hAnsi="仿宋" w:eastAsia="仿宋" w:cs="仿宋"/>
          <w:bCs/>
          <w:color w:val="000000"/>
          <w:sz w:val="24"/>
          <w:szCs w:val="24"/>
          <w:highlight w:val="none"/>
        </w:rPr>
      </w:pPr>
      <w:r>
        <w:rPr>
          <w:rFonts w:hint="eastAsia" w:ascii="仿宋" w:hAnsi="仿宋" w:eastAsia="仿宋" w:cs="仿宋"/>
          <w:b/>
          <w:color w:val="000000"/>
          <w:sz w:val="24"/>
          <w:szCs w:val="24"/>
          <w:highlight w:val="none"/>
        </w:rPr>
        <w:t>十、签订时间：</w:t>
      </w:r>
      <w:r>
        <w:rPr>
          <w:rFonts w:hint="eastAsia" w:ascii="仿宋" w:hAnsi="仿宋" w:eastAsia="仿宋" w:cs="仿宋"/>
          <w:bCs/>
          <w:color w:val="000000"/>
          <w:sz w:val="24"/>
          <w:szCs w:val="24"/>
          <w:highlight w:val="none"/>
        </w:rPr>
        <w:t>本合同于</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年</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月</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日签订。</w:t>
      </w:r>
    </w:p>
    <w:p w14:paraId="44A759C4">
      <w:pPr>
        <w:spacing w:before="120" w:after="120" w:line="360" w:lineRule="auto"/>
        <w:rPr>
          <w:rFonts w:hint="eastAsia" w:ascii="仿宋" w:hAnsi="仿宋" w:eastAsia="仿宋" w:cs="仿宋"/>
          <w:bCs/>
          <w:color w:val="000000"/>
          <w:sz w:val="24"/>
          <w:szCs w:val="24"/>
          <w:highlight w:val="none"/>
        </w:rPr>
      </w:pPr>
      <w:r>
        <w:rPr>
          <w:rFonts w:hint="eastAsia" w:ascii="仿宋" w:hAnsi="仿宋" w:eastAsia="仿宋" w:cs="仿宋"/>
          <w:b/>
          <w:color w:val="000000"/>
          <w:sz w:val="24"/>
          <w:szCs w:val="24"/>
          <w:highlight w:val="none"/>
        </w:rPr>
        <w:t>十一、签订地点：</w:t>
      </w:r>
      <w:r>
        <w:rPr>
          <w:rFonts w:hint="eastAsia" w:ascii="仿宋" w:hAnsi="仿宋" w:eastAsia="仿宋" w:cs="仿宋"/>
          <w:bCs/>
          <w:color w:val="000000"/>
          <w:sz w:val="24"/>
          <w:szCs w:val="24"/>
          <w:highlight w:val="none"/>
        </w:rPr>
        <w:t>本合同在</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签订。</w:t>
      </w:r>
    </w:p>
    <w:p w14:paraId="6F2436EF">
      <w:pPr>
        <w:spacing w:before="120" w:after="120" w:line="360" w:lineRule="auto"/>
        <w:rPr>
          <w:rFonts w:hint="eastAsia" w:ascii="仿宋" w:hAnsi="仿宋" w:eastAsia="仿宋" w:cs="仿宋"/>
          <w:b/>
          <w:sz w:val="24"/>
          <w:szCs w:val="24"/>
          <w:highlight w:val="none"/>
        </w:rPr>
      </w:pPr>
      <w:r>
        <w:rPr>
          <w:rFonts w:hint="eastAsia" w:ascii="仿宋" w:hAnsi="仿宋" w:eastAsia="仿宋" w:cs="仿宋"/>
          <w:b/>
          <w:color w:val="000000"/>
          <w:sz w:val="24"/>
          <w:szCs w:val="24"/>
          <w:highlight w:val="none"/>
        </w:rPr>
        <w:t>十二、补充协议</w:t>
      </w:r>
    </w:p>
    <w:p w14:paraId="38C32E8B">
      <w:pPr>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合同未尽事宜，参照《建设工程施工合同（示范文本）》（GF-2017-0201），合同当事人另行签订补充协议，补充协议是合同的组成部分。</w:t>
      </w:r>
    </w:p>
    <w:p w14:paraId="11FE163B">
      <w:pPr>
        <w:spacing w:before="120" w:after="120" w:line="360" w:lineRule="auto"/>
        <w:rPr>
          <w:rFonts w:hint="eastAsia" w:ascii="仿宋" w:hAnsi="仿宋" w:eastAsia="仿宋" w:cs="仿宋"/>
          <w:bCs/>
          <w:sz w:val="24"/>
          <w:szCs w:val="24"/>
          <w:highlight w:val="none"/>
        </w:rPr>
      </w:pPr>
      <w:r>
        <w:rPr>
          <w:rFonts w:hint="eastAsia" w:ascii="仿宋" w:hAnsi="仿宋" w:eastAsia="仿宋" w:cs="仿宋"/>
          <w:b/>
          <w:sz w:val="24"/>
          <w:szCs w:val="24"/>
          <w:highlight w:val="none"/>
        </w:rPr>
        <w:t>十三、合同生效：</w:t>
      </w:r>
      <w:r>
        <w:rPr>
          <w:rFonts w:hint="eastAsia" w:ascii="仿宋" w:hAnsi="仿宋" w:eastAsia="仿宋" w:cs="仿宋"/>
          <w:bCs/>
          <w:sz w:val="24"/>
          <w:szCs w:val="24"/>
          <w:highlight w:val="none"/>
        </w:rPr>
        <w:t>本合同自</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生效。</w:t>
      </w:r>
    </w:p>
    <w:p w14:paraId="63BDECA6">
      <w:pPr>
        <w:spacing w:before="120" w:after="120" w:line="360" w:lineRule="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十四、合同份数</w:t>
      </w:r>
    </w:p>
    <w:p w14:paraId="7D62A4DB">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本合同一式</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份，均具有同等法律效力，发包人执</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份，承包人执</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份。</w:t>
      </w:r>
    </w:p>
    <w:p w14:paraId="4F278D32">
      <w:pPr>
        <w:spacing w:line="360" w:lineRule="auto"/>
        <w:ind w:firstLine="480" w:firstLineChars="200"/>
        <w:rPr>
          <w:rFonts w:hint="eastAsia" w:ascii="仿宋" w:hAnsi="仿宋" w:eastAsia="仿宋" w:cs="仿宋"/>
          <w:color w:val="000000"/>
          <w:sz w:val="24"/>
          <w:szCs w:val="24"/>
          <w:highlight w:val="none"/>
        </w:rPr>
      </w:pPr>
    </w:p>
    <w:p w14:paraId="28D1726D">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  (公章)                承包人：  (公章)</w:t>
      </w:r>
    </w:p>
    <w:p w14:paraId="3609EAA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法定代表人或其委托代理人：     法定代表人或其委托代理人：</w:t>
      </w:r>
    </w:p>
    <w:p w14:paraId="31305AB5">
      <w:pPr>
        <w:tabs>
          <w:tab w:val="left" w:pos="4410"/>
        </w:tabs>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组织机构代码：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组织机构代码：</w:t>
      </w:r>
      <w:r>
        <w:rPr>
          <w:rFonts w:hint="eastAsia" w:ascii="仿宋" w:hAnsi="仿宋" w:eastAsia="仿宋" w:cs="仿宋"/>
          <w:color w:val="000000"/>
          <w:sz w:val="24"/>
          <w:szCs w:val="24"/>
          <w:highlight w:val="none"/>
          <w:u w:val="single"/>
        </w:rPr>
        <w:t xml:space="preserve">                </w:t>
      </w:r>
    </w:p>
    <w:p w14:paraId="595A19C9">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6406714F">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   </w:t>
      </w:r>
    </w:p>
    <w:p w14:paraId="640C73FB">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法定代表人：</w:t>
      </w:r>
      <w:r>
        <w:rPr>
          <w:rFonts w:hint="eastAsia" w:ascii="仿宋" w:hAnsi="仿宋" w:eastAsia="仿宋" w:cs="仿宋"/>
          <w:color w:val="000000"/>
          <w:sz w:val="24"/>
          <w:szCs w:val="24"/>
          <w:highlight w:val="none"/>
          <w:u w:val="single"/>
        </w:rPr>
        <w:t xml:space="preserve">                    </w:t>
      </w:r>
    </w:p>
    <w:p w14:paraId="4522A872">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w:t>
      </w:r>
      <w:r>
        <w:rPr>
          <w:rFonts w:hint="eastAsia" w:ascii="仿宋" w:hAnsi="仿宋" w:eastAsia="仿宋" w:cs="仿宋"/>
          <w:color w:val="000000"/>
          <w:sz w:val="24"/>
          <w:szCs w:val="24"/>
          <w:highlight w:val="none"/>
          <w:u w:val="single"/>
        </w:rPr>
        <w:t xml:space="preserve">                    </w:t>
      </w:r>
    </w:p>
    <w:p w14:paraId="1FF2BDF8">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      </w:t>
      </w:r>
    </w:p>
    <w:p w14:paraId="331E7C50">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1C7FF443">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电子信箱：</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电子信箱：</w:t>
      </w:r>
      <w:r>
        <w:rPr>
          <w:rFonts w:hint="eastAsia" w:ascii="仿宋" w:hAnsi="仿宋" w:eastAsia="仿宋" w:cs="仿宋"/>
          <w:color w:val="000000"/>
          <w:sz w:val="24"/>
          <w:szCs w:val="24"/>
          <w:highlight w:val="none"/>
          <w:u w:val="single"/>
        </w:rPr>
        <w:t xml:space="preserve">                      </w:t>
      </w:r>
    </w:p>
    <w:p w14:paraId="05BA56FC">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      </w:t>
      </w:r>
    </w:p>
    <w:p w14:paraId="050806C4">
      <w:pPr>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      </w:t>
      </w:r>
    </w:p>
    <w:p w14:paraId="74722D24"/>
    <w:p w14:paraId="164B5DB7"/>
    <w:p w14:paraId="29DCBAD6"/>
    <w:p w14:paraId="7D04ED95"/>
    <w:p w14:paraId="543F661F"/>
    <w:p w14:paraId="0013A9B6"/>
    <w:p w14:paraId="135C8362"/>
    <w:p w14:paraId="79D74732"/>
    <w:p w14:paraId="2EF237E0"/>
    <w:p w14:paraId="203ECB12">
      <w:pPr>
        <w:jc w:val="center"/>
        <w:rPr>
          <w:rFonts w:hint="default" w:ascii="仿宋" w:hAnsi="仿宋" w:eastAsia="仿宋" w:cs="仿宋"/>
          <w:b/>
          <w:bCs/>
          <w:sz w:val="48"/>
          <w:szCs w:val="52"/>
          <w:highlight w:val="none"/>
          <w:lang w:val="en-US" w:eastAsia="zh-CN"/>
        </w:rPr>
      </w:pPr>
      <w:r>
        <w:rPr>
          <w:rFonts w:hint="eastAsia" w:ascii="仿宋" w:hAnsi="仿宋" w:eastAsia="仿宋" w:cs="仿宋"/>
          <w:b/>
          <w:bCs/>
          <w:sz w:val="48"/>
          <w:szCs w:val="52"/>
          <w:highlight w:val="none"/>
          <w:lang w:val="en-US" w:eastAsia="zh-CN"/>
        </w:rPr>
        <w:t>合同包2/3</w:t>
      </w:r>
    </w:p>
    <w:p w14:paraId="1478598D">
      <w:pPr>
        <w:jc w:val="center"/>
        <w:textAlignment w:val="baseline"/>
        <w:rPr>
          <w:rStyle w:val="16"/>
          <w:rFonts w:hint="eastAsia" w:ascii="仿宋" w:hAnsi="仿宋" w:eastAsia="仿宋" w:cs="仿宋"/>
          <w:b/>
          <w:bCs/>
          <w:color w:val="000000"/>
          <w:sz w:val="48"/>
          <w:szCs w:val="36"/>
          <w:highlight w:val="none"/>
          <w:lang w:bidi="ar-SA"/>
        </w:rPr>
      </w:pPr>
      <w:r>
        <w:rPr>
          <w:rStyle w:val="16"/>
          <w:rFonts w:hint="eastAsia" w:ascii="仿宋" w:hAnsi="仿宋" w:eastAsia="仿宋" w:cs="仿宋"/>
          <w:b/>
          <w:bCs/>
          <w:color w:val="000000"/>
          <w:sz w:val="48"/>
          <w:szCs w:val="36"/>
          <w:highlight w:val="none"/>
          <w:lang w:bidi="ar-SA"/>
        </w:rPr>
        <w:t xml:space="preserve"> </w:t>
      </w:r>
    </w:p>
    <w:p w14:paraId="1EBC15B0">
      <w:pPr>
        <w:jc w:val="center"/>
        <w:textAlignment w:val="baseline"/>
        <w:rPr>
          <w:rStyle w:val="16"/>
          <w:rFonts w:hint="eastAsia" w:ascii="仿宋" w:hAnsi="仿宋" w:eastAsia="仿宋" w:cs="仿宋"/>
          <w:color w:val="000000"/>
          <w:highlight w:val="none"/>
          <w:lang w:bidi="ar-SA"/>
        </w:rPr>
      </w:pPr>
      <w:r>
        <w:rPr>
          <w:rFonts w:hint="eastAsia" w:ascii="仿宋" w:hAnsi="仿宋" w:eastAsia="仿宋" w:cs="仿宋"/>
          <w:b/>
          <w:bCs/>
          <w:sz w:val="48"/>
          <w:szCs w:val="52"/>
          <w:highlight w:val="none"/>
          <w:lang w:eastAsia="zh-CN"/>
        </w:rPr>
        <w:t>渭南高新区政务服务大厅搬迁工程</w:t>
      </w:r>
      <w:r>
        <w:rPr>
          <w:rStyle w:val="16"/>
          <w:rFonts w:hint="eastAsia" w:ascii="仿宋" w:hAnsi="仿宋" w:eastAsia="仿宋" w:cs="仿宋"/>
          <w:b/>
          <w:bCs/>
          <w:color w:val="000000"/>
          <w:sz w:val="56"/>
          <w:szCs w:val="44"/>
          <w:highlight w:val="none"/>
          <w:lang w:bidi="ar-SA"/>
        </w:rPr>
        <w:t xml:space="preserve"> </w:t>
      </w:r>
    </w:p>
    <w:p w14:paraId="67B22A26">
      <w:pPr>
        <w:jc w:val="center"/>
        <w:textAlignment w:val="baseline"/>
        <w:rPr>
          <w:rStyle w:val="16"/>
          <w:rFonts w:hint="eastAsia" w:ascii="仿宋" w:hAnsi="仿宋" w:eastAsia="仿宋" w:cs="仿宋"/>
          <w:b/>
          <w:color w:val="000000"/>
          <w:sz w:val="36"/>
          <w:szCs w:val="36"/>
          <w:highlight w:val="none"/>
          <w:lang w:bidi="ar-SA"/>
        </w:rPr>
      </w:pPr>
    </w:p>
    <w:p w14:paraId="473411D2">
      <w:pPr>
        <w:pStyle w:val="8"/>
        <w:rPr>
          <w:rStyle w:val="16"/>
          <w:rFonts w:hint="eastAsia" w:ascii="仿宋" w:hAnsi="仿宋" w:eastAsia="仿宋" w:cs="仿宋"/>
          <w:b/>
          <w:color w:val="000000"/>
          <w:sz w:val="36"/>
          <w:szCs w:val="36"/>
          <w:highlight w:val="none"/>
          <w:lang w:bidi="ar-SA"/>
        </w:rPr>
      </w:pPr>
    </w:p>
    <w:p w14:paraId="53D6E1E5">
      <w:pPr>
        <w:pStyle w:val="8"/>
        <w:jc w:val="center"/>
        <w:rPr>
          <w:rStyle w:val="16"/>
          <w:rFonts w:hint="default" w:ascii="仿宋" w:hAnsi="仿宋" w:eastAsia="仿宋" w:cs="仿宋"/>
          <w:b/>
          <w:color w:val="000000"/>
          <w:sz w:val="36"/>
          <w:szCs w:val="36"/>
          <w:highlight w:val="none"/>
          <w:u w:val="none"/>
          <w:lang w:val="en-US" w:bidi="ar-SA"/>
        </w:rPr>
      </w:pPr>
      <w:r>
        <w:rPr>
          <w:rStyle w:val="16"/>
          <w:rFonts w:hint="eastAsia" w:ascii="仿宋" w:hAnsi="仿宋" w:eastAsia="仿宋" w:cs="仿宋"/>
          <w:b/>
          <w:color w:val="000000"/>
          <w:sz w:val="36"/>
          <w:szCs w:val="36"/>
          <w:highlight w:val="none"/>
          <w:lang w:bidi="ar-SA"/>
        </w:rPr>
        <w:t>第</w:t>
      </w:r>
      <w:r>
        <w:rPr>
          <w:rStyle w:val="16"/>
          <w:rFonts w:hint="eastAsia" w:ascii="仿宋" w:hAnsi="仿宋" w:eastAsia="仿宋" w:cs="仿宋"/>
          <w:b/>
          <w:color w:val="000000"/>
          <w:sz w:val="36"/>
          <w:szCs w:val="36"/>
          <w:highlight w:val="none"/>
          <w:u w:val="single"/>
          <w:lang w:val="en-US" w:bidi="ar-SA"/>
        </w:rPr>
        <w:t xml:space="preserve">   </w:t>
      </w:r>
      <w:r>
        <w:rPr>
          <w:rStyle w:val="16"/>
          <w:rFonts w:hint="eastAsia" w:ascii="仿宋" w:hAnsi="仿宋" w:eastAsia="仿宋" w:cs="仿宋"/>
          <w:b/>
          <w:color w:val="000000"/>
          <w:sz w:val="36"/>
          <w:szCs w:val="36"/>
          <w:highlight w:val="none"/>
          <w:u w:val="none"/>
          <w:lang w:val="en-US" w:bidi="ar-SA"/>
        </w:rPr>
        <w:t>包</w:t>
      </w:r>
    </w:p>
    <w:p w14:paraId="3C73F5AA">
      <w:pPr>
        <w:pStyle w:val="8"/>
        <w:rPr>
          <w:rStyle w:val="16"/>
          <w:rFonts w:hint="eastAsia" w:ascii="仿宋" w:hAnsi="仿宋" w:eastAsia="仿宋" w:cs="仿宋"/>
          <w:b/>
          <w:color w:val="000000"/>
          <w:sz w:val="36"/>
          <w:szCs w:val="36"/>
          <w:highlight w:val="none"/>
          <w:lang w:bidi="ar-SA"/>
        </w:rPr>
      </w:pPr>
    </w:p>
    <w:p w14:paraId="290E418D">
      <w:pPr>
        <w:jc w:val="center"/>
        <w:textAlignment w:val="baseline"/>
        <w:rPr>
          <w:rStyle w:val="16"/>
          <w:rFonts w:hint="eastAsia" w:ascii="仿宋" w:hAnsi="仿宋" w:eastAsia="仿宋" w:cs="仿宋"/>
          <w:b/>
          <w:color w:val="000000"/>
          <w:sz w:val="36"/>
          <w:szCs w:val="36"/>
          <w:highlight w:val="none"/>
          <w:lang w:bidi="ar-SA"/>
        </w:rPr>
      </w:pPr>
      <w:r>
        <w:rPr>
          <w:rFonts w:hint="eastAsia" w:ascii="仿宋" w:hAnsi="仿宋" w:eastAsia="仿宋" w:cs="仿宋"/>
          <w:b w:val="0"/>
          <w:bCs/>
          <w:sz w:val="24"/>
          <w:szCs w:val="20"/>
          <w:highlight w:val="none"/>
        </w:rPr>
        <w:t>（</w:t>
      </w:r>
      <w:r>
        <w:rPr>
          <w:rFonts w:hint="eastAsia" w:ascii="仿宋" w:hAnsi="仿宋" w:eastAsia="仿宋" w:cs="仿宋"/>
          <w:b w:val="0"/>
          <w:bCs/>
          <w:sz w:val="24"/>
          <w:szCs w:val="20"/>
          <w:highlight w:val="none"/>
          <w:lang w:eastAsia="zh-CN"/>
        </w:rPr>
        <w:t>本文本为</w:t>
      </w:r>
      <w:r>
        <w:rPr>
          <w:rFonts w:hint="eastAsia" w:ascii="仿宋" w:hAnsi="仿宋" w:eastAsia="仿宋" w:cs="仿宋"/>
          <w:b w:val="0"/>
          <w:bCs/>
          <w:sz w:val="24"/>
          <w:szCs w:val="20"/>
          <w:highlight w:val="none"/>
        </w:rPr>
        <w:t>示范文本</w:t>
      </w:r>
      <w:r>
        <w:rPr>
          <w:rFonts w:hint="eastAsia" w:ascii="仿宋" w:hAnsi="仿宋" w:eastAsia="仿宋" w:cs="仿宋"/>
          <w:b w:val="0"/>
          <w:bCs/>
          <w:sz w:val="24"/>
          <w:szCs w:val="20"/>
          <w:highlight w:val="none"/>
          <w:lang w:eastAsia="zh-CN"/>
        </w:rPr>
        <w:t>，具体以甲乙双方签订合同为准</w:t>
      </w:r>
      <w:r>
        <w:rPr>
          <w:rFonts w:hint="eastAsia" w:ascii="仿宋" w:hAnsi="仿宋" w:eastAsia="仿宋" w:cs="仿宋"/>
          <w:b w:val="0"/>
          <w:bCs/>
          <w:sz w:val="24"/>
          <w:szCs w:val="20"/>
          <w:highlight w:val="none"/>
        </w:rPr>
        <w:t>）</w:t>
      </w:r>
    </w:p>
    <w:p w14:paraId="24DF3DA8">
      <w:pPr>
        <w:jc w:val="center"/>
        <w:textAlignment w:val="baseline"/>
        <w:rPr>
          <w:rStyle w:val="16"/>
          <w:rFonts w:hint="eastAsia" w:ascii="仿宋" w:hAnsi="仿宋" w:eastAsia="仿宋" w:cs="仿宋"/>
          <w:b/>
          <w:color w:val="000000"/>
          <w:sz w:val="36"/>
          <w:szCs w:val="36"/>
          <w:highlight w:val="none"/>
          <w:lang w:bidi="ar-SA"/>
        </w:rPr>
      </w:pPr>
    </w:p>
    <w:p w14:paraId="453ED50C">
      <w:pPr>
        <w:pStyle w:val="8"/>
        <w:jc w:val="center"/>
        <w:rPr>
          <w:rFonts w:hint="eastAsia" w:ascii="仿宋" w:hAnsi="仿宋" w:eastAsia="仿宋" w:cs="仿宋"/>
          <w:b/>
          <w:bCs/>
          <w:color w:val="000000"/>
          <w:sz w:val="24"/>
          <w:szCs w:val="24"/>
          <w:highlight w:val="none"/>
          <w:lang w:bidi="ar-SA"/>
        </w:rPr>
      </w:pPr>
    </w:p>
    <w:p w14:paraId="5B57A77C">
      <w:pPr>
        <w:jc w:val="center"/>
        <w:textAlignment w:val="baseline"/>
        <w:rPr>
          <w:rStyle w:val="16"/>
          <w:rFonts w:hint="eastAsia" w:ascii="仿宋" w:hAnsi="仿宋" w:eastAsia="仿宋" w:cs="仿宋"/>
          <w:b/>
          <w:color w:val="000000"/>
          <w:sz w:val="36"/>
          <w:szCs w:val="36"/>
          <w:highlight w:val="none"/>
          <w:lang w:bidi="ar-SA"/>
        </w:rPr>
      </w:pPr>
    </w:p>
    <w:p w14:paraId="5D1B65EA">
      <w:pPr>
        <w:jc w:val="center"/>
        <w:textAlignment w:val="baseline"/>
        <w:rPr>
          <w:rStyle w:val="16"/>
          <w:rFonts w:hint="eastAsia" w:ascii="仿宋" w:hAnsi="仿宋" w:eastAsia="仿宋" w:cs="仿宋"/>
          <w:b/>
          <w:color w:val="000000"/>
          <w:sz w:val="36"/>
          <w:szCs w:val="36"/>
          <w:highlight w:val="none"/>
          <w:lang w:bidi="ar-SA"/>
        </w:rPr>
      </w:pPr>
    </w:p>
    <w:p w14:paraId="25F6CD38">
      <w:pPr>
        <w:kinsoku w:val="0"/>
        <w:spacing w:line="360" w:lineRule="auto"/>
        <w:ind w:firstLine="600" w:firstLineChars="250"/>
        <w:rPr>
          <w:rFonts w:hint="eastAsia" w:ascii="仿宋" w:hAnsi="仿宋" w:eastAsia="仿宋" w:cs="仿宋"/>
          <w:bCs/>
          <w:color w:val="000000"/>
          <w:sz w:val="24"/>
          <w:szCs w:val="24"/>
          <w:highlight w:val="none"/>
        </w:rPr>
      </w:pPr>
    </w:p>
    <w:p w14:paraId="07CD5966">
      <w:pPr>
        <w:kinsoku w:val="0"/>
        <w:spacing w:line="360" w:lineRule="auto"/>
        <w:ind w:firstLine="600" w:firstLineChars="250"/>
        <w:rPr>
          <w:rFonts w:hint="eastAsia" w:ascii="仿宋" w:hAnsi="仿宋" w:eastAsia="仿宋" w:cs="仿宋"/>
          <w:bCs/>
          <w:color w:val="000000"/>
          <w:sz w:val="24"/>
          <w:szCs w:val="24"/>
          <w:highlight w:val="none"/>
        </w:rPr>
      </w:pPr>
    </w:p>
    <w:p w14:paraId="0A43411E">
      <w:pPr>
        <w:kinsoku w:val="0"/>
        <w:spacing w:line="360" w:lineRule="auto"/>
        <w:ind w:firstLine="600" w:firstLineChars="250"/>
        <w:rPr>
          <w:rFonts w:hint="eastAsia" w:ascii="仿宋" w:hAnsi="仿宋" w:eastAsia="仿宋" w:cs="仿宋"/>
          <w:bCs/>
          <w:color w:val="000000"/>
          <w:sz w:val="24"/>
          <w:szCs w:val="24"/>
          <w:highlight w:val="none"/>
        </w:rPr>
      </w:pPr>
    </w:p>
    <w:p w14:paraId="0361A522">
      <w:pPr>
        <w:kinsoku w:val="0"/>
        <w:spacing w:line="360" w:lineRule="auto"/>
        <w:ind w:firstLine="900" w:firstLineChars="250"/>
        <w:rPr>
          <w:rFonts w:hint="eastAsia" w:ascii="仿宋" w:hAnsi="仿宋" w:eastAsia="仿宋" w:cs="仿宋"/>
          <w:bCs/>
          <w:color w:val="000000"/>
          <w:sz w:val="36"/>
          <w:szCs w:val="36"/>
          <w:highlight w:val="none"/>
          <w:lang w:val="en-US" w:eastAsia="zh-CN"/>
        </w:rPr>
      </w:pPr>
      <w:r>
        <w:rPr>
          <w:rFonts w:hint="eastAsia" w:ascii="仿宋" w:hAnsi="仿宋" w:eastAsia="仿宋" w:cs="仿宋"/>
          <w:bCs/>
          <w:color w:val="000000"/>
          <w:sz w:val="36"/>
          <w:szCs w:val="36"/>
          <w:highlight w:val="none"/>
        </w:rPr>
        <w:t>甲方：</w:t>
      </w:r>
      <w:r>
        <w:rPr>
          <w:rFonts w:hint="eastAsia" w:ascii="仿宋" w:hAnsi="仿宋" w:eastAsia="仿宋" w:cs="仿宋"/>
          <w:bCs/>
          <w:color w:val="000000"/>
          <w:sz w:val="36"/>
          <w:szCs w:val="36"/>
          <w:highlight w:val="none"/>
          <w:u w:val="single"/>
          <w:lang w:val="en-US" w:eastAsia="zh-CN"/>
        </w:rPr>
        <w:t xml:space="preserve">              </w:t>
      </w:r>
    </w:p>
    <w:p w14:paraId="5F2AE12D">
      <w:pPr>
        <w:kinsoku w:val="0"/>
        <w:spacing w:line="360" w:lineRule="auto"/>
        <w:ind w:firstLine="9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36"/>
          <w:szCs w:val="36"/>
          <w:highlight w:val="none"/>
        </w:rPr>
        <w:t>乙方：</w:t>
      </w:r>
      <w:r>
        <w:rPr>
          <w:rFonts w:hint="eastAsia" w:ascii="仿宋" w:hAnsi="仿宋" w:eastAsia="仿宋" w:cs="仿宋"/>
          <w:bCs/>
          <w:color w:val="000000"/>
          <w:sz w:val="36"/>
          <w:szCs w:val="36"/>
          <w:highlight w:val="none"/>
          <w:u w:val="single"/>
        </w:rPr>
        <w:t xml:space="preserve">              </w:t>
      </w:r>
    </w:p>
    <w:p w14:paraId="2FBC780C">
      <w:pPr>
        <w:jc w:val="center"/>
        <w:textAlignment w:val="baseline"/>
        <w:rPr>
          <w:rStyle w:val="16"/>
          <w:rFonts w:hint="eastAsia" w:ascii="仿宋" w:hAnsi="仿宋" w:eastAsia="仿宋" w:cs="仿宋"/>
          <w:b/>
          <w:color w:val="000000"/>
          <w:sz w:val="36"/>
          <w:szCs w:val="36"/>
          <w:highlight w:val="none"/>
          <w:lang w:bidi="ar-SA"/>
        </w:rPr>
      </w:pPr>
    </w:p>
    <w:p w14:paraId="775CD58E">
      <w:pPr>
        <w:jc w:val="both"/>
        <w:textAlignment w:val="baseline"/>
        <w:rPr>
          <w:rStyle w:val="16"/>
          <w:rFonts w:hint="eastAsia" w:ascii="仿宋" w:hAnsi="仿宋" w:eastAsia="仿宋" w:cs="仿宋"/>
          <w:b/>
          <w:color w:val="000000"/>
          <w:sz w:val="36"/>
          <w:szCs w:val="36"/>
          <w:highlight w:val="none"/>
          <w:lang w:bidi="ar-SA"/>
        </w:rPr>
      </w:pPr>
    </w:p>
    <w:p w14:paraId="08FD4EB6">
      <w:pPr>
        <w:kinsoku w:val="0"/>
        <w:spacing w:line="360" w:lineRule="auto"/>
        <w:ind w:firstLine="527" w:firstLineChars="250"/>
        <w:rPr>
          <w:rFonts w:hint="eastAsia" w:ascii="仿宋" w:hAnsi="仿宋" w:eastAsia="仿宋" w:cs="仿宋"/>
          <w:b/>
          <w:color w:val="000000"/>
          <w:highlight w:val="none"/>
          <w:u w:val="single"/>
          <w:lang w:bidi="ar-SA"/>
        </w:rPr>
      </w:pPr>
      <w:r>
        <w:rPr>
          <w:rFonts w:hint="eastAsia" w:ascii="仿宋" w:hAnsi="仿宋" w:eastAsia="仿宋" w:cs="仿宋"/>
          <w:b/>
          <w:color w:val="000000"/>
          <w:highlight w:val="none"/>
          <w:u w:val="single"/>
          <w:lang w:bidi="ar-SA"/>
        </w:rPr>
        <w:br w:type="page"/>
      </w:r>
    </w:p>
    <w:p w14:paraId="00DFC094">
      <w:pPr>
        <w:kinsoku w:val="0"/>
        <w:spacing w:line="360" w:lineRule="auto"/>
        <w:ind w:firstLine="600" w:firstLineChars="25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rPr>
        <w:t>甲方：</w:t>
      </w:r>
      <w:r>
        <w:rPr>
          <w:rFonts w:hint="eastAsia" w:ascii="仿宋" w:hAnsi="仿宋" w:eastAsia="仿宋" w:cs="仿宋"/>
          <w:bCs/>
          <w:color w:val="000000"/>
          <w:sz w:val="24"/>
          <w:szCs w:val="24"/>
          <w:highlight w:val="none"/>
          <w:u w:val="single"/>
          <w:lang w:val="en-US" w:eastAsia="zh-CN"/>
        </w:rPr>
        <w:t xml:space="preserve">              </w:t>
      </w:r>
    </w:p>
    <w:p w14:paraId="00599472">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乙方：</w:t>
      </w:r>
      <w:r>
        <w:rPr>
          <w:rFonts w:hint="eastAsia" w:ascii="仿宋" w:hAnsi="仿宋" w:eastAsia="仿宋" w:cs="仿宋"/>
          <w:bCs/>
          <w:color w:val="000000"/>
          <w:sz w:val="24"/>
          <w:szCs w:val="24"/>
          <w:highlight w:val="none"/>
          <w:u w:val="single"/>
        </w:rPr>
        <w:t xml:space="preserve">              </w:t>
      </w:r>
    </w:p>
    <w:p w14:paraId="4150731E">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根据《中华人民共和国政府采购法》</w:t>
      </w:r>
      <w:r>
        <w:rPr>
          <w:rFonts w:hint="eastAsia" w:ascii="仿宋" w:hAnsi="仿宋" w:eastAsia="仿宋" w:cs="仿宋"/>
          <w:bCs/>
          <w:color w:val="000000"/>
          <w:sz w:val="24"/>
          <w:szCs w:val="24"/>
          <w:highlight w:val="none"/>
          <w:lang w:eastAsia="zh-CN"/>
        </w:rPr>
        <w:t>、《中华人民共和国民法典》</w:t>
      </w:r>
      <w:r>
        <w:rPr>
          <w:rFonts w:hint="eastAsia" w:ascii="仿宋" w:hAnsi="仿宋" w:eastAsia="仿宋" w:cs="仿宋"/>
          <w:bCs/>
          <w:color w:val="000000"/>
          <w:sz w:val="24"/>
          <w:szCs w:val="24"/>
          <w:highlight w:val="none"/>
        </w:rPr>
        <w:t>等法律法规，甲方通过</w:t>
      </w:r>
      <w:r>
        <w:rPr>
          <w:rFonts w:hint="eastAsia" w:ascii="仿宋" w:hAnsi="仿宋" w:eastAsia="仿宋" w:cs="仿宋"/>
          <w:bCs/>
          <w:color w:val="000000"/>
          <w:sz w:val="24"/>
          <w:szCs w:val="24"/>
          <w:highlight w:val="none"/>
          <w:lang w:eastAsia="zh-CN"/>
        </w:rPr>
        <w:t>公开招标</w:t>
      </w:r>
      <w:r>
        <w:rPr>
          <w:rFonts w:hint="eastAsia" w:ascii="仿宋" w:hAnsi="仿宋" w:eastAsia="仿宋" w:cs="仿宋"/>
          <w:bCs/>
          <w:color w:val="000000"/>
          <w:sz w:val="24"/>
          <w:szCs w:val="24"/>
          <w:highlight w:val="none"/>
        </w:rPr>
        <w:t>，选定乙方为成交单位。甲、乙双方在平等基础上协商一致，达成如下合同条款：</w:t>
      </w:r>
    </w:p>
    <w:p w14:paraId="2F1B96D0">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一、合同内容</w:t>
      </w:r>
    </w:p>
    <w:tbl>
      <w:tblPr>
        <w:tblStyle w:val="11"/>
        <w:tblW w:w="87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1"/>
        <w:gridCol w:w="1345"/>
        <w:gridCol w:w="1499"/>
        <w:gridCol w:w="750"/>
        <w:gridCol w:w="1000"/>
        <w:gridCol w:w="900"/>
        <w:gridCol w:w="1267"/>
        <w:gridCol w:w="1150"/>
      </w:tblGrid>
      <w:tr w14:paraId="7594C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auto" w:sz="4" w:space="0"/>
              <w:left w:val="single" w:color="000000" w:sz="8" w:space="0"/>
              <w:bottom w:val="single" w:color="000000" w:sz="8" w:space="0"/>
              <w:right w:val="single" w:color="000000" w:sz="8" w:space="0"/>
            </w:tcBorders>
            <w:noWrap w:val="0"/>
            <w:vAlign w:val="center"/>
          </w:tcPr>
          <w:p w14:paraId="5A1803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7"/>
                <w:color w:val="000000"/>
                <w:lang w:val="en-US" w:eastAsia="zh-CN" w:bidi="ar"/>
              </w:rPr>
              <w:t>序号</w:t>
            </w:r>
          </w:p>
        </w:tc>
        <w:tc>
          <w:tcPr>
            <w:tcW w:w="1345" w:type="dxa"/>
            <w:tcBorders>
              <w:top w:val="single" w:color="auto" w:sz="4" w:space="0"/>
              <w:left w:val="nil"/>
              <w:bottom w:val="single" w:color="000000" w:sz="8" w:space="0"/>
              <w:right w:val="single" w:color="000000" w:sz="8" w:space="0"/>
            </w:tcBorders>
            <w:noWrap w:val="0"/>
            <w:vAlign w:val="center"/>
          </w:tcPr>
          <w:p w14:paraId="58D924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7"/>
                <w:color w:val="000000"/>
                <w:lang w:val="en-US" w:eastAsia="zh-CN" w:bidi="ar"/>
              </w:rPr>
              <w:t>名称</w:t>
            </w:r>
          </w:p>
        </w:tc>
        <w:tc>
          <w:tcPr>
            <w:tcW w:w="1499" w:type="dxa"/>
            <w:tcBorders>
              <w:top w:val="single" w:color="auto" w:sz="4" w:space="0"/>
              <w:left w:val="nil"/>
              <w:bottom w:val="single" w:color="000000" w:sz="8" w:space="0"/>
              <w:right w:val="single" w:color="000000" w:sz="8" w:space="0"/>
            </w:tcBorders>
            <w:noWrap w:val="0"/>
            <w:vAlign w:val="center"/>
          </w:tcPr>
          <w:p w14:paraId="7CC1CC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7"/>
                <w:color w:val="000000"/>
                <w:lang w:val="en-US" w:eastAsia="zh-CN" w:bidi="ar"/>
              </w:rPr>
              <w:t>规格型号</w:t>
            </w:r>
            <w:r>
              <w:rPr>
                <w:rStyle w:val="17"/>
                <w:rFonts w:hint="eastAsia"/>
                <w:color w:val="000000"/>
                <w:lang w:val="en-US" w:eastAsia="zh-CN" w:bidi="ar"/>
              </w:rPr>
              <w:t>/</w:t>
            </w:r>
            <w:r>
              <w:rPr>
                <w:rStyle w:val="17"/>
                <w:color w:val="000000"/>
                <w:lang w:val="en-US" w:eastAsia="zh-CN" w:bidi="ar"/>
              </w:rPr>
              <w:t>参数</w:t>
            </w:r>
          </w:p>
        </w:tc>
        <w:tc>
          <w:tcPr>
            <w:tcW w:w="750" w:type="dxa"/>
            <w:tcBorders>
              <w:top w:val="single" w:color="auto" w:sz="4" w:space="0"/>
              <w:left w:val="nil"/>
              <w:bottom w:val="single" w:color="000000" w:sz="8" w:space="0"/>
              <w:right w:val="single" w:color="auto" w:sz="4" w:space="0"/>
            </w:tcBorders>
            <w:noWrap w:val="0"/>
            <w:vAlign w:val="center"/>
          </w:tcPr>
          <w:p w14:paraId="214530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7"/>
                <w:color w:val="000000"/>
                <w:lang w:val="en-US" w:eastAsia="zh-CN" w:bidi="ar"/>
              </w:rPr>
              <w:t>单位</w:t>
            </w:r>
          </w:p>
        </w:tc>
        <w:tc>
          <w:tcPr>
            <w:tcW w:w="1000" w:type="dxa"/>
            <w:tcBorders>
              <w:top w:val="single" w:color="auto" w:sz="4" w:space="0"/>
              <w:left w:val="single" w:color="auto" w:sz="4" w:space="0"/>
              <w:bottom w:val="single" w:color="000000" w:sz="8" w:space="0"/>
              <w:right w:val="single" w:color="000000" w:sz="8" w:space="0"/>
            </w:tcBorders>
            <w:noWrap w:val="0"/>
            <w:vAlign w:val="center"/>
          </w:tcPr>
          <w:p w14:paraId="6469A27C">
            <w:pPr>
              <w:keepNext w:val="0"/>
              <w:keepLines w:val="0"/>
              <w:widowControl/>
              <w:suppressLineNumbers w:val="0"/>
              <w:jc w:val="center"/>
              <w:textAlignment w:val="center"/>
              <w:rPr>
                <w:rStyle w:val="17"/>
                <w:color w:val="000000"/>
                <w:lang w:val="en-US" w:eastAsia="zh-CN" w:bidi="ar"/>
              </w:rPr>
            </w:pPr>
            <w:r>
              <w:rPr>
                <w:rStyle w:val="17"/>
                <w:color w:val="000000"/>
                <w:lang w:val="en-US" w:eastAsia="zh-CN" w:bidi="ar"/>
              </w:rPr>
              <w:t>品牌或厂家</w:t>
            </w:r>
          </w:p>
        </w:tc>
        <w:tc>
          <w:tcPr>
            <w:tcW w:w="900" w:type="dxa"/>
            <w:tcBorders>
              <w:top w:val="single" w:color="auto" w:sz="4" w:space="0"/>
              <w:left w:val="nil"/>
              <w:bottom w:val="single" w:color="000000" w:sz="8" w:space="0"/>
              <w:right w:val="single" w:color="000000" w:sz="8" w:space="0"/>
            </w:tcBorders>
            <w:noWrap w:val="0"/>
            <w:vAlign w:val="center"/>
          </w:tcPr>
          <w:p w14:paraId="3B55E37F">
            <w:pPr>
              <w:keepNext w:val="0"/>
              <w:keepLines w:val="0"/>
              <w:widowControl/>
              <w:suppressLineNumbers w:val="0"/>
              <w:jc w:val="center"/>
              <w:textAlignment w:val="center"/>
              <w:rPr>
                <w:rStyle w:val="17"/>
                <w:color w:val="000000"/>
                <w:lang w:val="en-US" w:eastAsia="zh-CN" w:bidi="ar"/>
              </w:rPr>
            </w:pPr>
            <w:r>
              <w:rPr>
                <w:rStyle w:val="17"/>
                <w:color w:val="000000"/>
                <w:lang w:val="en-US" w:eastAsia="zh-CN" w:bidi="ar"/>
              </w:rPr>
              <w:t>数量</w:t>
            </w:r>
          </w:p>
        </w:tc>
        <w:tc>
          <w:tcPr>
            <w:tcW w:w="1267" w:type="dxa"/>
            <w:tcBorders>
              <w:top w:val="single" w:color="auto" w:sz="4" w:space="0"/>
              <w:left w:val="nil"/>
              <w:bottom w:val="single" w:color="000000" w:sz="8" w:space="0"/>
              <w:right w:val="single" w:color="000000" w:sz="8" w:space="0"/>
            </w:tcBorders>
            <w:noWrap w:val="0"/>
            <w:vAlign w:val="center"/>
          </w:tcPr>
          <w:p w14:paraId="6415E693">
            <w:pPr>
              <w:keepNext w:val="0"/>
              <w:keepLines w:val="0"/>
              <w:widowControl/>
              <w:suppressLineNumbers w:val="0"/>
              <w:jc w:val="center"/>
              <w:textAlignment w:val="center"/>
              <w:rPr>
                <w:rStyle w:val="17"/>
                <w:color w:val="000000"/>
                <w:lang w:val="en-US" w:eastAsia="zh-CN" w:bidi="ar"/>
              </w:rPr>
            </w:pPr>
            <w:r>
              <w:rPr>
                <w:rStyle w:val="17"/>
                <w:color w:val="000000"/>
                <w:lang w:val="en-US" w:eastAsia="zh-CN" w:bidi="ar"/>
              </w:rPr>
              <w:t>投标单价（元）</w:t>
            </w:r>
          </w:p>
        </w:tc>
        <w:tc>
          <w:tcPr>
            <w:tcW w:w="1150" w:type="dxa"/>
            <w:tcBorders>
              <w:top w:val="single" w:color="auto" w:sz="4" w:space="0"/>
              <w:left w:val="nil"/>
              <w:bottom w:val="single" w:color="000000" w:sz="8" w:space="0"/>
              <w:right w:val="single" w:color="000000" w:sz="8" w:space="0"/>
            </w:tcBorders>
            <w:noWrap w:val="0"/>
            <w:vAlign w:val="center"/>
          </w:tcPr>
          <w:p w14:paraId="43126517">
            <w:pPr>
              <w:keepNext w:val="0"/>
              <w:keepLines w:val="0"/>
              <w:widowControl/>
              <w:suppressLineNumbers w:val="0"/>
              <w:jc w:val="center"/>
              <w:textAlignment w:val="center"/>
              <w:rPr>
                <w:rStyle w:val="17"/>
                <w:color w:val="000000"/>
                <w:lang w:val="en-US" w:eastAsia="zh-CN" w:bidi="ar"/>
              </w:rPr>
            </w:pPr>
            <w:r>
              <w:rPr>
                <w:rStyle w:val="17"/>
                <w:color w:val="000000"/>
                <w:lang w:val="en-US" w:eastAsia="zh-CN" w:bidi="ar"/>
              </w:rPr>
              <w:t>合计（元）</w:t>
            </w:r>
          </w:p>
        </w:tc>
      </w:tr>
      <w:tr w14:paraId="5AFF3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6A215E2C">
            <w:pPr>
              <w:keepNext w:val="0"/>
              <w:keepLines w:val="0"/>
              <w:widowControl/>
              <w:suppressLineNumbers w:val="0"/>
              <w:jc w:val="center"/>
              <w:textAlignment w:val="center"/>
              <w:rPr>
                <w:rStyle w:val="17"/>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30C0EBC0">
            <w:pPr>
              <w:keepNext w:val="0"/>
              <w:keepLines w:val="0"/>
              <w:widowControl/>
              <w:suppressLineNumbers w:val="0"/>
              <w:jc w:val="center"/>
              <w:textAlignment w:val="center"/>
              <w:rPr>
                <w:rStyle w:val="17"/>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479B7C07">
            <w:pPr>
              <w:keepNext w:val="0"/>
              <w:keepLines w:val="0"/>
              <w:widowControl/>
              <w:suppressLineNumbers w:val="0"/>
              <w:jc w:val="center"/>
              <w:textAlignment w:val="center"/>
              <w:rPr>
                <w:rStyle w:val="17"/>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09A03C84">
            <w:pPr>
              <w:keepNext w:val="0"/>
              <w:keepLines w:val="0"/>
              <w:widowControl/>
              <w:suppressLineNumbers w:val="0"/>
              <w:jc w:val="center"/>
              <w:textAlignment w:val="center"/>
              <w:rPr>
                <w:rStyle w:val="17"/>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54D0A4C4">
            <w:pPr>
              <w:keepNext w:val="0"/>
              <w:keepLines w:val="0"/>
              <w:widowControl/>
              <w:suppressLineNumbers w:val="0"/>
              <w:jc w:val="center"/>
              <w:textAlignment w:val="center"/>
              <w:rPr>
                <w:rStyle w:val="17"/>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10D01036">
            <w:pPr>
              <w:keepNext w:val="0"/>
              <w:keepLines w:val="0"/>
              <w:widowControl/>
              <w:suppressLineNumbers w:val="0"/>
              <w:jc w:val="center"/>
              <w:textAlignment w:val="center"/>
              <w:rPr>
                <w:rStyle w:val="17"/>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7AD55D33">
            <w:pPr>
              <w:keepNext w:val="0"/>
              <w:keepLines w:val="0"/>
              <w:widowControl/>
              <w:suppressLineNumbers w:val="0"/>
              <w:jc w:val="center"/>
              <w:textAlignment w:val="center"/>
              <w:rPr>
                <w:rStyle w:val="17"/>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12BD2D93">
            <w:pPr>
              <w:keepNext w:val="0"/>
              <w:keepLines w:val="0"/>
              <w:widowControl/>
              <w:suppressLineNumbers w:val="0"/>
              <w:jc w:val="center"/>
              <w:textAlignment w:val="center"/>
              <w:rPr>
                <w:rStyle w:val="17"/>
                <w:color w:val="000000"/>
                <w:lang w:val="en-US" w:eastAsia="zh-CN" w:bidi="ar"/>
              </w:rPr>
            </w:pPr>
          </w:p>
        </w:tc>
      </w:tr>
      <w:tr w14:paraId="21BFA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347B7FC1">
            <w:pPr>
              <w:keepNext w:val="0"/>
              <w:keepLines w:val="0"/>
              <w:widowControl/>
              <w:suppressLineNumbers w:val="0"/>
              <w:jc w:val="center"/>
              <w:textAlignment w:val="center"/>
              <w:rPr>
                <w:rStyle w:val="17"/>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0A2495CA">
            <w:pPr>
              <w:keepNext w:val="0"/>
              <w:keepLines w:val="0"/>
              <w:widowControl/>
              <w:suppressLineNumbers w:val="0"/>
              <w:jc w:val="center"/>
              <w:textAlignment w:val="center"/>
              <w:rPr>
                <w:rStyle w:val="17"/>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5B66F951">
            <w:pPr>
              <w:keepNext w:val="0"/>
              <w:keepLines w:val="0"/>
              <w:widowControl/>
              <w:suppressLineNumbers w:val="0"/>
              <w:jc w:val="center"/>
              <w:textAlignment w:val="center"/>
              <w:rPr>
                <w:rStyle w:val="17"/>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22B1A1E2">
            <w:pPr>
              <w:keepNext w:val="0"/>
              <w:keepLines w:val="0"/>
              <w:widowControl/>
              <w:suppressLineNumbers w:val="0"/>
              <w:jc w:val="center"/>
              <w:textAlignment w:val="center"/>
              <w:rPr>
                <w:rStyle w:val="17"/>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6F161E66">
            <w:pPr>
              <w:keepNext w:val="0"/>
              <w:keepLines w:val="0"/>
              <w:widowControl/>
              <w:suppressLineNumbers w:val="0"/>
              <w:jc w:val="center"/>
              <w:textAlignment w:val="center"/>
              <w:rPr>
                <w:rStyle w:val="17"/>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642998F6">
            <w:pPr>
              <w:keepNext w:val="0"/>
              <w:keepLines w:val="0"/>
              <w:widowControl/>
              <w:suppressLineNumbers w:val="0"/>
              <w:jc w:val="center"/>
              <w:textAlignment w:val="center"/>
              <w:rPr>
                <w:rStyle w:val="17"/>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00664153">
            <w:pPr>
              <w:keepNext w:val="0"/>
              <w:keepLines w:val="0"/>
              <w:widowControl/>
              <w:suppressLineNumbers w:val="0"/>
              <w:jc w:val="center"/>
              <w:textAlignment w:val="center"/>
              <w:rPr>
                <w:rStyle w:val="17"/>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4B52E6EB">
            <w:pPr>
              <w:keepNext w:val="0"/>
              <w:keepLines w:val="0"/>
              <w:widowControl/>
              <w:suppressLineNumbers w:val="0"/>
              <w:jc w:val="center"/>
              <w:textAlignment w:val="center"/>
              <w:rPr>
                <w:rStyle w:val="17"/>
                <w:color w:val="000000"/>
                <w:lang w:val="en-US" w:eastAsia="zh-CN" w:bidi="ar"/>
              </w:rPr>
            </w:pPr>
          </w:p>
        </w:tc>
      </w:tr>
      <w:tr w14:paraId="6605B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336E3AF7">
            <w:pPr>
              <w:keepNext w:val="0"/>
              <w:keepLines w:val="0"/>
              <w:widowControl/>
              <w:suppressLineNumbers w:val="0"/>
              <w:jc w:val="center"/>
              <w:textAlignment w:val="center"/>
              <w:rPr>
                <w:rStyle w:val="17"/>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48361A6D">
            <w:pPr>
              <w:keepNext w:val="0"/>
              <w:keepLines w:val="0"/>
              <w:widowControl/>
              <w:suppressLineNumbers w:val="0"/>
              <w:jc w:val="center"/>
              <w:textAlignment w:val="center"/>
              <w:rPr>
                <w:rStyle w:val="17"/>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33163DD3">
            <w:pPr>
              <w:keepNext w:val="0"/>
              <w:keepLines w:val="0"/>
              <w:widowControl/>
              <w:suppressLineNumbers w:val="0"/>
              <w:jc w:val="center"/>
              <w:textAlignment w:val="center"/>
              <w:rPr>
                <w:rStyle w:val="17"/>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4321D82F">
            <w:pPr>
              <w:keepNext w:val="0"/>
              <w:keepLines w:val="0"/>
              <w:widowControl/>
              <w:suppressLineNumbers w:val="0"/>
              <w:jc w:val="center"/>
              <w:textAlignment w:val="center"/>
              <w:rPr>
                <w:rStyle w:val="17"/>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6B582A5C">
            <w:pPr>
              <w:keepNext w:val="0"/>
              <w:keepLines w:val="0"/>
              <w:widowControl/>
              <w:suppressLineNumbers w:val="0"/>
              <w:jc w:val="center"/>
              <w:textAlignment w:val="center"/>
              <w:rPr>
                <w:rStyle w:val="17"/>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1A993FD0">
            <w:pPr>
              <w:keepNext w:val="0"/>
              <w:keepLines w:val="0"/>
              <w:widowControl/>
              <w:suppressLineNumbers w:val="0"/>
              <w:jc w:val="center"/>
              <w:textAlignment w:val="center"/>
              <w:rPr>
                <w:rStyle w:val="17"/>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7AC7643D">
            <w:pPr>
              <w:keepNext w:val="0"/>
              <w:keepLines w:val="0"/>
              <w:widowControl/>
              <w:suppressLineNumbers w:val="0"/>
              <w:jc w:val="center"/>
              <w:textAlignment w:val="center"/>
              <w:rPr>
                <w:rStyle w:val="17"/>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72F21446">
            <w:pPr>
              <w:keepNext w:val="0"/>
              <w:keepLines w:val="0"/>
              <w:widowControl/>
              <w:suppressLineNumbers w:val="0"/>
              <w:jc w:val="center"/>
              <w:textAlignment w:val="center"/>
              <w:rPr>
                <w:rStyle w:val="17"/>
                <w:color w:val="000000"/>
                <w:lang w:val="en-US" w:eastAsia="zh-CN" w:bidi="ar"/>
              </w:rPr>
            </w:pPr>
          </w:p>
        </w:tc>
      </w:tr>
      <w:tr w14:paraId="79932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6365" w:type="dxa"/>
            <w:gridSpan w:val="6"/>
            <w:tcBorders>
              <w:top w:val="single" w:color="000000" w:sz="8" w:space="0"/>
              <w:left w:val="single" w:color="000000" w:sz="8" w:space="0"/>
              <w:bottom w:val="single" w:color="000000" w:sz="8" w:space="0"/>
              <w:right w:val="single" w:color="000000" w:sz="8" w:space="0"/>
            </w:tcBorders>
            <w:noWrap w:val="0"/>
            <w:vAlign w:val="center"/>
          </w:tcPr>
          <w:p w14:paraId="1127E8B4">
            <w:pPr>
              <w:keepNext w:val="0"/>
              <w:keepLines w:val="0"/>
              <w:widowControl/>
              <w:suppressLineNumbers w:val="0"/>
              <w:jc w:val="center"/>
              <w:textAlignment w:val="center"/>
              <w:rPr>
                <w:rStyle w:val="17"/>
                <w:color w:val="000000"/>
                <w:lang w:val="en-US" w:eastAsia="zh-CN" w:bidi="ar"/>
              </w:rPr>
            </w:pPr>
            <w:r>
              <w:rPr>
                <w:rStyle w:val="17"/>
                <w:color w:val="000000"/>
                <w:lang w:val="en-US" w:eastAsia="zh-CN" w:bidi="ar"/>
              </w:rPr>
              <w:t>总价（元）</w:t>
            </w:r>
          </w:p>
        </w:tc>
        <w:tc>
          <w:tcPr>
            <w:tcW w:w="2417" w:type="dxa"/>
            <w:gridSpan w:val="2"/>
            <w:tcBorders>
              <w:top w:val="single" w:color="000000" w:sz="8" w:space="0"/>
              <w:left w:val="nil"/>
              <w:bottom w:val="single" w:color="000000" w:sz="8" w:space="0"/>
              <w:right w:val="single" w:color="000000" w:sz="8" w:space="0"/>
            </w:tcBorders>
            <w:noWrap w:val="0"/>
            <w:vAlign w:val="center"/>
          </w:tcPr>
          <w:p w14:paraId="1CC51087">
            <w:pPr>
              <w:keepNext w:val="0"/>
              <w:keepLines w:val="0"/>
              <w:widowControl/>
              <w:suppressLineNumbers w:val="0"/>
              <w:jc w:val="center"/>
              <w:textAlignment w:val="center"/>
              <w:rPr>
                <w:rStyle w:val="17"/>
                <w:color w:val="000000"/>
                <w:lang w:val="en-US" w:eastAsia="zh-CN" w:bidi="ar"/>
              </w:rPr>
            </w:pPr>
          </w:p>
        </w:tc>
      </w:tr>
    </w:tbl>
    <w:p w14:paraId="51CAF662">
      <w:pPr>
        <w:kinsoku w:val="0"/>
        <w:spacing w:line="360" w:lineRule="auto"/>
        <w:ind w:left="420" w:leftChars="200" w:firstLine="120" w:firstLineChars="50"/>
        <w:rPr>
          <w:rFonts w:hint="eastAsia" w:ascii="仿宋" w:hAnsi="仿宋" w:eastAsia="仿宋" w:cs="仿宋"/>
          <w:bCs/>
          <w:color w:val="000000"/>
          <w:sz w:val="24"/>
          <w:szCs w:val="24"/>
          <w:highlight w:val="none"/>
          <w:lang w:eastAsia="zh-CN"/>
        </w:rPr>
      </w:pPr>
    </w:p>
    <w:p w14:paraId="53E271DE">
      <w:pPr>
        <w:kinsoku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eastAsia="zh-CN"/>
        </w:rPr>
        <w:t>本</w:t>
      </w:r>
      <w:r>
        <w:rPr>
          <w:rFonts w:hint="eastAsia" w:ascii="仿宋" w:hAnsi="仿宋" w:eastAsia="仿宋" w:cs="仿宋"/>
          <w:bCs/>
          <w:color w:val="000000"/>
          <w:sz w:val="24"/>
          <w:szCs w:val="24"/>
          <w:highlight w:val="none"/>
        </w:rPr>
        <w:t>乙方负责按以上确定的</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规格、型号及配套内容进行供货，及时运到甲方指定交货地点，确保所有</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达到最佳</w:t>
      </w:r>
      <w:r>
        <w:rPr>
          <w:rFonts w:hint="eastAsia" w:ascii="仿宋" w:hAnsi="仿宋" w:eastAsia="仿宋" w:cs="仿宋"/>
          <w:bCs/>
          <w:color w:val="000000"/>
          <w:sz w:val="24"/>
          <w:szCs w:val="24"/>
          <w:highlight w:val="none"/>
          <w:lang w:eastAsia="zh-CN"/>
        </w:rPr>
        <w:t>使用</w:t>
      </w:r>
      <w:r>
        <w:rPr>
          <w:rFonts w:hint="eastAsia" w:ascii="仿宋" w:hAnsi="仿宋" w:eastAsia="仿宋" w:cs="仿宋"/>
          <w:bCs/>
          <w:color w:val="000000"/>
          <w:sz w:val="24"/>
          <w:szCs w:val="24"/>
          <w:highlight w:val="none"/>
        </w:rPr>
        <w:t>状态，做好售后服务工作。</w:t>
      </w:r>
    </w:p>
    <w:p w14:paraId="3FDDC92D">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二、合同价格</w:t>
      </w:r>
    </w:p>
    <w:p w14:paraId="48725D7F">
      <w:pPr>
        <w:kinsoku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合同总价：人民币大写：</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元；¥</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元。</w:t>
      </w:r>
    </w:p>
    <w:p w14:paraId="156ACF86">
      <w:pPr>
        <w:kinsoku w:val="0"/>
        <w:spacing w:line="360" w:lineRule="auto"/>
        <w:ind w:firstLine="480" w:firstLineChars="200"/>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rPr>
        <w:t>合同总价包括：</w:t>
      </w:r>
      <w:r>
        <w:rPr>
          <w:rFonts w:hint="eastAsia" w:ascii="仿宋" w:hAnsi="仿宋" w:eastAsia="仿宋" w:cs="仿宋"/>
          <w:color w:val="000000"/>
          <w:szCs w:val="24"/>
          <w:highlight w:val="none"/>
          <w:lang w:bidi="ar-SA"/>
        </w:rPr>
        <w:t>包括但不限于产品费（含相关配件、附件）</w:t>
      </w:r>
      <w:r>
        <w:rPr>
          <w:rFonts w:hint="eastAsia" w:ascii="仿宋" w:hAnsi="仿宋" w:eastAsia="仿宋" w:cs="仿宋"/>
          <w:color w:val="000000"/>
          <w:szCs w:val="24"/>
          <w:highlight w:val="none"/>
          <w:lang w:eastAsia="zh-CN" w:bidi="ar-SA"/>
        </w:rPr>
        <w:t>、</w:t>
      </w:r>
      <w:r>
        <w:rPr>
          <w:rFonts w:hint="eastAsia" w:ascii="仿宋" w:hAnsi="仿宋" w:eastAsia="仿宋" w:cs="仿宋"/>
          <w:color w:val="000000"/>
          <w:szCs w:val="24"/>
          <w:highlight w:val="none"/>
          <w:lang w:val="en-US" w:eastAsia="zh-CN" w:bidi="ar-SA"/>
        </w:rPr>
        <w:t>运杂费（含保险）、</w:t>
      </w:r>
      <w:r>
        <w:rPr>
          <w:rFonts w:hint="eastAsia" w:ascii="仿宋" w:hAnsi="仿宋" w:eastAsia="仿宋" w:cs="仿宋"/>
          <w:color w:val="000000"/>
          <w:szCs w:val="24"/>
          <w:highlight w:val="none"/>
          <w:lang w:bidi="ar-SA"/>
        </w:rPr>
        <w:t>税金等其他一切相关费用</w:t>
      </w:r>
      <w:r>
        <w:rPr>
          <w:rFonts w:hint="eastAsia" w:ascii="仿宋" w:hAnsi="仿宋" w:eastAsia="仿宋" w:cs="仿宋"/>
          <w:bCs/>
          <w:color w:val="000000"/>
          <w:sz w:val="24"/>
          <w:szCs w:val="24"/>
          <w:highlight w:val="none"/>
        </w:rPr>
        <w:t>。合同总价不可变更，不受市场价变化的影响</w:t>
      </w:r>
      <w:r>
        <w:rPr>
          <w:rFonts w:hint="eastAsia" w:ascii="仿宋" w:hAnsi="仿宋" w:eastAsia="仿宋" w:cs="仿宋"/>
          <w:bCs/>
          <w:color w:val="000000"/>
          <w:sz w:val="24"/>
          <w:szCs w:val="24"/>
          <w:highlight w:val="none"/>
          <w:lang w:eastAsia="zh-CN"/>
        </w:rPr>
        <w:t>。</w:t>
      </w:r>
    </w:p>
    <w:p w14:paraId="336555BA">
      <w:pPr>
        <w:numPr>
          <w:ilvl w:val="0"/>
          <w:numId w:val="2"/>
        </w:num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款项支付</w:t>
      </w:r>
    </w:p>
    <w:p w14:paraId="148A0121">
      <w:pPr>
        <w:kinsoku w:val="0"/>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 xml:space="preserve"> </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highlight w:val="none"/>
          <w:lang w:val="en-US" w:eastAsia="zh-CN"/>
        </w:rPr>
        <w:t>。</w:t>
      </w:r>
    </w:p>
    <w:p w14:paraId="37CB9F12">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四、交货条件</w:t>
      </w:r>
    </w:p>
    <w:p w14:paraId="6E3020F0">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1、交货地点：</w:t>
      </w:r>
      <w:r>
        <w:rPr>
          <w:rFonts w:hint="eastAsia" w:ascii="仿宋" w:hAnsi="仿宋" w:eastAsia="仿宋" w:cs="仿宋"/>
          <w:bCs/>
          <w:color w:val="000000"/>
          <w:sz w:val="24"/>
          <w:szCs w:val="24"/>
          <w:highlight w:val="none"/>
          <w:lang w:val="en-US" w:eastAsia="zh-CN"/>
        </w:rPr>
        <w:t>采购人</w:t>
      </w:r>
      <w:r>
        <w:rPr>
          <w:rFonts w:hint="eastAsia" w:ascii="仿宋" w:hAnsi="仿宋" w:eastAsia="仿宋" w:cs="仿宋"/>
          <w:bCs/>
          <w:color w:val="000000"/>
          <w:sz w:val="24"/>
          <w:szCs w:val="24"/>
          <w:highlight w:val="none"/>
        </w:rPr>
        <w:t>指定地点。</w:t>
      </w:r>
    </w:p>
    <w:p w14:paraId="12B6C494">
      <w:pPr>
        <w:kinsoku w:val="0"/>
        <w:spacing w:line="360" w:lineRule="auto"/>
        <w:ind w:firstLine="600" w:firstLineChars="250"/>
        <w:rPr>
          <w:rFonts w:hint="eastAsia" w:ascii="仿宋" w:hAnsi="仿宋" w:eastAsia="仿宋" w:cs="仿宋"/>
          <w:bCs/>
          <w:color w:val="000000"/>
          <w:sz w:val="24"/>
          <w:szCs w:val="24"/>
          <w:highlight w:val="none"/>
          <w:u w:val="single"/>
          <w:lang w:val="en-US" w:eastAsia="zh-CN"/>
        </w:rPr>
      </w:pPr>
      <w:r>
        <w:rPr>
          <w:rFonts w:hint="eastAsia" w:ascii="仿宋" w:hAnsi="仿宋" w:eastAsia="仿宋" w:cs="仿宋"/>
          <w:bCs/>
          <w:color w:val="000000"/>
          <w:sz w:val="24"/>
          <w:szCs w:val="24"/>
          <w:highlight w:val="none"/>
        </w:rPr>
        <w:t>2、交货期：</w:t>
      </w:r>
      <w:r>
        <w:rPr>
          <w:rFonts w:hint="eastAsia" w:ascii="仿宋" w:hAnsi="仿宋" w:eastAsia="仿宋" w:cs="仿宋"/>
          <w:bCs/>
          <w:color w:val="000000"/>
          <w:sz w:val="24"/>
          <w:szCs w:val="24"/>
          <w:highlight w:val="none"/>
          <w:u w:val="single"/>
          <w:lang w:val="en-US" w:eastAsia="zh-CN"/>
        </w:rPr>
        <w:t xml:space="preserve">         </w:t>
      </w:r>
    </w:p>
    <w:p w14:paraId="0392DC05">
      <w:pPr>
        <w:kinsoku w:val="0"/>
        <w:spacing w:line="360" w:lineRule="auto"/>
        <w:ind w:firstLine="600" w:firstLineChars="250"/>
        <w:rPr>
          <w:rFonts w:hint="default" w:ascii="仿宋" w:hAnsi="仿宋" w:eastAsia="仿宋" w:cs="仿宋"/>
          <w:bCs/>
          <w:color w:val="000000"/>
          <w:sz w:val="24"/>
          <w:szCs w:val="24"/>
          <w:highlight w:val="none"/>
          <w:lang w:val="en-US"/>
        </w:rPr>
      </w:pPr>
      <w:r>
        <w:rPr>
          <w:rFonts w:hint="eastAsia" w:ascii="仿宋" w:hAnsi="仿宋" w:eastAsia="仿宋" w:cs="仿宋"/>
          <w:bCs/>
          <w:color w:val="000000"/>
          <w:sz w:val="24"/>
          <w:szCs w:val="24"/>
          <w:highlight w:val="none"/>
          <w:u w:val="none"/>
          <w:lang w:val="en-US" w:eastAsia="zh-CN"/>
        </w:rPr>
        <w:t>3、质保期：</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lang w:val="en-US" w:eastAsia="zh-CN"/>
        </w:rPr>
        <w:t xml:space="preserve"> </w:t>
      </w:r>
    </w:p>
    <w:p w14:paraId="7F6B34FE">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五、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4D1563D2">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六、质量保证</w:t>
      </w:r>
    </w:p>
    <w:p w14:paraId="31F18A1F">
      <w:pPr>
        <w:adjustRightInd w:val="0"/>
        <w:snapToGrid w:val="0"/>
        <w:spacing w:line="360" w:lineRule="auto"/>
        <w:ind w:firstLine="480" w:firstLineChars="200"/>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rPr>
        <w:t>1、乙方保证所提供的</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质量可靠，进货渠道正常，配置合理，技术性能完全满足</w:t>
      </w:r>
      <w:r>
        <w:rPr>
          <w:rFonts w:hint="eastAsia" w:ascii="仿宋" w:hAnsi="仿宋" w:eastAsia="仿宋" w:cs="仿宋"/>
          <w:bCs/>
          <w:color w:val="000000"/>
          <w:sz w:val="24"/>
          <w:szCs w:val="24"/>
          <w:highlight w:val="none"/>
          <w:lang w:eastAsia="zh-CN"/>
        </w:rPr>
        <w:t>磋商文件</w:t>
      </w:r>
      <w:r>
        <w:rPr>
          <w:rFonts w:hint="eastAsia" w:ascii="仿宋" w:hAnsi="仿宋" w:eastAsia="仿宋" w:cs="仿宋"/>
          <w:bCs/>
          <w:color w:val="000000"/>
          <w:sz w:val="24"/>
          <w:szCs w:val="24"/>
          <w:highlight w:val="none"/>
        </w:rPr>
        <w:t>要求</w:t>
      </w:r>
      <w:r>
        <w:rPr>
          <w:rFonts w:hint="eastAsia" w:ascii="仿宋" w:hAnsi="仿宋" w:eastAsia="仿宋" w:cs="仿宋"/>
          <w:bCs/>
          <w:color w:val="000000"/>
          <w:sz w:val="24"/>
          <w:szCs w:val="24"/>
          <w:highlight w:val="none"/>
          <w:lang w:eastAsia="zh-CN"/>
        </w:rPr>
        <w:t>。</w:t>
      </w:r>
    </w:p>
    <w:p w14:paraId="50AB703A">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2、若</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所用原材料或加工工艺造成的质量和内外观缺陷问题，由乙方负责解决并承担费用。（乙方保证货物是全新的、未曾使用过的、以优质工艺及材料制造，并保证所供</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的完整性</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w:t>
      </w:r>
    </w:p>
    <w:p w14:paraId="5A4B8F39">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3、根据甲方业务需求，乙方有按此合同价格向甲方供应相应商品的义务。</w:t>
      </w:r>
    </w:p>
    <w:p w14:paraId="126BEDAB">
      <w:pPr>
        <w:adjustRightInd w:val="0"/>
        <w:snapToGrid w:val="0"/>
        <w:spacing w:line="360" w:lineRule="auto"/>
        <w:ind w:firstLine="357" w:firstLineChars="149"/>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七、验收及技术服务</w:t>
      </w:r>
    </w:p>
    <w:p w14:paraId="6FB44D99">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1、验收</w:t>
      </w:r>
    </w:p>
    <w:p w14:paraId="5CC9368D">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由采购人和成交供应商共同对项目进行整体验收。</w:t>
      </w:r>
    </w:p>
    <w:p w14:paraId="0601AC0F">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1）产品到货后</w:t>
      </w:r>
      <w:r>
        <w:rPr>
          <w:rFonts w:hint="eastAsia" w:ascii="仿宋" w:hAnsi="仿宋" w:eastAsia="仿宋" w:cs="仿宋"/>
          <w:bCs/>
          <w:color w:val="000000"/>
          <w:sz w:val="24"/>
          <w:szCs w:val="24"/>
          <w:highlight w:val="none"/>
          <w:lang w:eastAsia="zh-CN"/>
        </w:rPr>
        <w:t>，应</w:t>
      </w:r>
      <w:r>
        <w:rPr>
          <w:rFonts w:hint="eastAsia" w:ascii="仿宋" w:hAnsi="仿宋" w:eastAsia="仿宋" w:cs="仿宋"/>
          <w:bCs/>
          <w:color w:val="000000"/>
          <w:sz w:val="24"/>
          <w:szCs w:val="24"/>
          <w:highlight w:val="none"/>
        </w:rPr>
        <w:t>通知甲方</w:t>
      </w:r>
      <w:r>
        <w:rPr>
          <w:rFonts w:hint="eastAsia" w:ascii="仿宋" w:hAnsi="仿宋" w:eastAsia="仿宋" w:cs="仿宋"/>
          <w:bCs/>
          <w:color w:val="000000"/>
          <w:sz w:val="24"/>
          <w:szCs w:val="24"/>
          <w:highlight w:val="none"/>
          <w:lang w:eastAsia="zh-CN"/>
        </w:rPr>
        <w:t>清点</w:t>
      </w:r>
      <w:r>
        <w:rPr>
          <w:rFonts w:hint="eastAsia" w:ascii="仿宋" w:hAnsi="仿宋" w:eastAsia="仿宋" w:cs="仿宋"/>
          <w:bCs/>
          <w:color w:val="000000"/>
          <w:sz w:val="24"/>
          <w:szCs w:val="24"/>
          <w:highlight w:val="none"/>
        </w:rPr>
        <w:t>验收。</w:t>
      </w:r>
    </w:p>
    <w:p w14:paraId="763E834D">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2）甲方根据合同要求对产品进行验收、确认产品的产地、规格、型号和数量。验收依据为本合同文本、</w:t>
      </w:r>
      <w:r>
        <w:rPr>
          <w:rFonts w:hint="eastAsia" w:ascii="仿宋" w:hAnsi="仿宋" w:eastAsia="仿宋" w:cs="仿宋"/>
          <w:bCs/>
          <w:color w:val="000000"/>
          <w:sz w:val="24"/>
          <w:szCs w:val="24"/>
          <w:highlight w:val="none"/>
          <w:lang w:val="en-US" w:eastAsia="zh-CN"/>
        </w:rPr>
        <w:t>磋商文件</w:t>
      </w:r>
      <w:r>
        <w:rPr>
          <w:rFonts w:hint="eastAsia" w:ascii="仿宋" w:hAnsi="仿宋" w:eastAsia="仿宋" w:cs="仿宋"/>
          <w:bCs/>
          <w:color w:val="000000"/>
          <w:sz w:val="24"/>
          <w:szCs w:val="24"/>
          <w:highlight w:val="none"/>
        </w:rPr>
        <w:t>、</w:t>
      </w:r>
      <w:r>
        <w:rPr>
          <w:rFonts w:hint="eastAsia" w:ascii="仿宋" w:hAnsi="仿宋" w:eastAsia="仿宋" w:cs="仿宋"/>
          <w:bCs/>
          <w:color w:val="000000"/>
          <w:sz w:val="24"/>
          <w:szCs w:val="24"/>
          <w:highlight w:val="none"/>
          <w:lang w:eastAsia="zh-CN"/>
        </w:rPr>
        <w:t>响应文件</w:t>
      </w:r>
      <w:r>
        <w:rPr>
          <w:rFonts w:hint="eastAsia" w:ascii="仿宋" w:hAnsi="仿宋" w:eastAsia="仿宋" w:cs="仿宋"/>
          <w:bCs/>
          <w:color w:val="000000"/>
          <w:sz w:val="24"/>
          <w:szCs w:val="24"/>
          <w:highlight w:val="none"/>
        </w:rPr>
        <w:t>和国内相应的标准、规范。</w:t>
      </w:r>
    </w:p>
    <w:p w14:paraId="680ED8B4">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3</w:t>
      </w:r>
      <w:r>
        <w:rPr>
          <w:rFonts w:hint="eastAsia" w:ascii="仿宋" w:hAnsi="仿宋" w:eastAsia="仿宋" w:cs="仿宋"/>
          <w:bCs/>
          <w:color w:val="000000"/>
          <w:sz w:val="24"/>
          <w:szCs w:val="24"/>
          <w:highlight w:val="none"/>
        </w:rPr>
        <w:t>）验收合格后，填写产品验收单，并向甲方提交产品所包含的所有资料，以便使用单位日后管理。</w:t>
      </w:r>
    </w:p>
    <w:p w14:paraId="14A4D0C9">
      <w:pPr>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2</w:t>
      </w:r>
      <w:r>
        <w:rPr>
          <w:rFonts w:hint="eastAsia" w:ascii="仿宋" w:hAnsi="仿宋" w:eastAsia="仿宋" w:cs="仿宋"/>
          <w:bCs/>
          <w:color w:val="000000"/>
          <w:sz w:val="24"/>
          <w:szCs w:val="24"/>
          <w:highlight w:val="none"/>
        </w:rPr>
        <w:t>、服务承诺：按</w:t>
      </w:r>
      <w:r>
        <w:rPr>
          <w:rFonts w:hint="eastAsia" w:ascii="仿宋" w:hAnsi="仿宋" w:eastAsia="仿宋" w:cs="仿宋"/>
          <w:bCs/>
          <w:color w:val="000000"/>
          <w:sz w:val="24"/>
          <w:szCs w:val="24"/>
          <w:highlight w:val="none"/>
          <w:lang w:eastAsia="zh-CN"/>
        </w:rPr>
        <w:t>响应文件</w:t>
      </w:r>
      <w:r>
        <w:rPr>
          <w:rFonts w:hint="eastAsia" w:ascii="仿宋" w:hAnsi="仿宋" w:eastAsia="仿宋" w:cs="仿宋"/>
          <w:bCs/>
          <w:color w:val="000000"/>
          <w:sz w:val="24"/>
          <w:szCs w:val="24"/>
          <w:highlight w:val="none"/>
        </w:rPr>
        <w:t>中的服务承诺执行。</w:t>
      </w:r>
    </w:p>
    <w:p w14:paraId="7F51CD10">
      <w:pPr>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3</w:t>
      </w:r>
      <w:r>
        <w:rPr>
          <w:rFonts w:hint="eastAsia" w:ascii="仿宋" w:hAnsi="仿宋" w:eastAsia="仿宋" w:cs="仿宋"/>
          <w:bCs/>
          <w:color w:val="000000"/>
          <w:sz w:val="24"/>
          <w:szCs w:val="24"/>
          <w:highlight w:val="none"/>
        </w:rPr>
        <w:t>、乙方在</w:t>
      </w:r>
      <w:r>
        <w:rPr>
          <w:rFonts w:hint="eastAsia" w:ascii="仿宋" w:hAnsi="仿宋" w:eastAsia="仿宋" w:cs="仿宋"/>
          <w:bCs/>
          <w:color w:val="000000"/>
          <w:sz w:val="24"/>
          <w:szCs w:val="24"/>
          <w:highlight w:val="none"/>
          <w:lang w:eastAsia="zh-CN"/>
        </w:rPr>
        <w:t>运输</w:t>
      </w:r>
      <w:r>
        <w:rPr>
          <w:rFonts w:hint="eastAsia" w:ascii="仿宋" w:hAnsi="仿宋" w:eastAsia="仿宋" w:cs="仿宋"/>
          <w:bCs/>
          <w:color w:val="000000"/>
          <w:sz w:val="24"/>
          <w:szCs w:val="24"/>
          <w:highlight w:val="none"/>
        </w:rPr>
        <w:t>中发生的任何安全事故与甲方无关，由乙方自行处理，并承担全部责任和经济损失；对于给甲方造成损失的，甲方有权要求乙方按实际损失承担赔偿责任。</w:t>
      </w:r>
    </w:p>
    <w:p w14:paraId="42E34CDB">
      <w:pPr>
        <w:tabs>
          <w:tab w:val="left" w:pos="5355"/>
        </w:tabs>
        <w:spacing w:line="360" w:lineRule="auto"/>
        <w:ind w:firstLine="504" w:firstLineChars="21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八、违约责任：</w:t>
      </w:r>
    </w:p>
    <w:p w14:paraId="5B4DD9CB">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1、按《中华人民共和国政府采购法》</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《中华人民共和国民法典》中的相关条款执行。</w:t>
      </w:r>
    </w:p>
    <w:p w14:paraId="5E924794">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2、未按合同要求提供产品质量不能满足采购的技术要求，甲方有权终止合同，并保留追究乙方违约责任的权利。</w:t>
      </w:r>
    </w:p>
    <w:p w14:paraId="5D872CC9">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3、乙方在接到甲方书面异议后，应在三个工作日内负责处理，否则视为默认甲方提出的异议和处理意见。</w:t>
      </w:r>
    </w:p>
    <w:p w14:paraId="6E41699D">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因乙方原因不能交货的，乙方应向甲方赔偿全部货款的15%作为违约金；乙方不能按期交货的，每延期一天，须支付全部货款的0.5%作为赔偿金。产品质量问题违约的，除了按照迟延时间计算违约金外，另可以采取退货、换货等方式，由乙方承担一切费用。</w:t>
      </w:r>
    </w:p>
    <w:p w14:paraId="169A3E35">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九、合同争议的解决：</w:t>
      </w:r>
    </w:p>
    <w:p w14:paraId="712CA78C">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合同一经签订，不得随意变更、中止或终止。对确需变更、调整或者中止、终止合同的，应按规定履行相应的手续。</w:t>
      </w:r>
    </w:p>
    <w:p w14:paraId="48E93968">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合同执行中发生争议的，甲、乙双方应协商解决，协商达不成一致时，可向甲方所在地人民法院提请诉讼。</w:t>
      </w:r>
    </w:p>
    <w:p w14:paraId="2B278065">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十、其它事项</w:t>
      </w:r>
    </w:p>
    <w:p w14:paraId="406A6253">
      <w:pPr>
        <w:adjustRightInd w:val="0"/>
        <w:snapToGrid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1、甲、乙双方做为合同执行的主体，有义务及时完全履行合同。</w:t>
      </w:r>
    </w:p>
    <w:p w14:paraId="6F12154C">
      <w:pPr>
        <w:adjustRightInd w:val="0"/>
        <w:snapToGrid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2、按照本协议规定应该偿付的违约金、赔偿金和各种经济损失，应当在明确责任十天内，按照银行规定的结算办法付清，否则按逾期付款处理。</w:t>
      </w:r>
    </w:p>
    <w:p w14:paraId="0A413B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3、合同未尽事宜，由甲、乙双方协商，协商方案作为本合同不可分割的组成部分，与本合同具有同等法律效力。</w:t>
      </w:r>
    </w:p>
    <w:p w14:paraId="697931A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w:t>
      </w:r>
      <w:r>
        <w:rPr>
          <w:rFonts w:hint="eastAsia" w:ascii="仿宋" w:hAnsi="仿宋" w:eastAsia="仿宋" w:cs="仿宋"/>
          <w:bCs/>
          <w:color w:val="000000"/>
          <w:sz w:val="24"/>
          <w:szCs w:val="24"/>
          <w:highlight w:val="none"/>
          <w:lang w:eastAsia="zh-CN"/>
        </w:rPr>
        <w:t>磋商文件</w:t>
      </w:r>
      <w:r>
        <w:rPr>
          <w:rFonts w:hint="eastAsia" w:ascii="仿宋" w:hAnsi="仿宋" w:eastAsia="仿宋" w:cs="仿宋"/>
          <w:bCs/>
          <w:color w:val="000000"/>
          <w:sz w:val="24"/>
          <w:szCs w:val="24"/>
          <w:highlight w:val="none"/>
        </w:rPr>
        <w:t>和乙方的</w:t>
      </w:r>
      <w:r>
        <w:rPr>
          <w:rFonts w:hint="eastAsia" w:ascii="仿宋" w:hAnsi="仿宋" w:eastAsia="仿宋" w:cs="仿宋"/>
          <w:bCs/>
          <w:color w:val="000000"/>
          <w:sz w:val="24"/>
          <w:szCs w:val="24"/>
          <w:highlight w:val="none"/>
          <w:lang w:eastAsia="zh-CN"/>
        </w:rPr>
        <w:t>响应文件</w:t>
      </w:r>
      <w:r>
        <w:rPr>
          <w:rFonts w:hint="eastAsia" w:ascii="仿宋" w:hAnsi="仿宋" w:eastAsia="仿宋" w:cs="仿宋"/>
          <w:bCs/>
          <w:color w:val="000000"/>
          <w:sz w:val="24"/>
          <w:szCs w:val="24"/>
          <w:highlight w:val="none"/>
        </w:rPr>
        <w:t>以及合同附件均为合同不可分割的部分。</w:t>
      </w:r>
    </w:p>
    <w:p w14:paraId="17776B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5、合同一式</w:t>
      </w:r>
      <w:r>
        <w:rPr>
          <w:rFonts w:hint="eastAsia" w:ascii="仿宋" w:hAnsi="仿宋" w:eastAsia="仿宋" w:cs="仿宋"/>
          <w:bCs/>
          <w:color w:val="000000"/>
          <w:sz w:val="24"/>
          <w:szCs w:val="24"/>
          <w:highlight w:val="none"/>
          <w:lang w:val="en-US" w:eastAsia="zh-CN"/>
        </w:rPr>
        <w:t>肆</w:t>
      </w:r>
      <w:r>
        <w:rPr>
          <w:rFonts w:hint="eastAsia" w:ascii="仿宋" w:hAnsi="仿宋" w:eastAsia="仿宋" w:cs="仿宋"/>
          <w:bCs/>
          <w:color w:val="000000"/>
          <w:sz w:val="24"/>
          <w:szCs w:val="24"/>
          <w:highlight w:val="none"/>
        </w:rPr>
        <w:t>份，甲方持</w:t>
      </w:r>
      <w:r>
        <w:rPr>
          <w:rFonts w:hint="eastAsia" w:ascii="仿宋" w:hAnsi="仿宋" w:eastAsia="仿宋" w:cs="仿宋"/>
          <w:bCs/>
          <w:color w:val="000000"/>
          <w:sz w:val="24"/>
          <w:szCs w:val="24"/>
          <w:highlight w:val="none"/>
          <w:lang w:val="en-US" w:eastAsia="zh-CN"/>
        </w:rPr>
        <w:t>贰</w:t>
      </w:r>
      <w:r>
        <w:rPr>
          <w:rFonts w:hint="eastAsia" w:ascii="仿宋" w:hAnsi="仿宋" w:eastAsia="仿宋" w:cs="仿宋"/>
          <w:bCs/>
          <w:color w:val="000000"/>
          <w:sz w:val="24"/>
          <w:szCs w:val="24"/>
          <w:highlight w:val="none"/>
        </w:rPr>
        <w:t>份、乙方执</w:t>
      </w:r>
      <w:r>
        <w:rPr>
          <w:rFonts w:hint="eastAsia" w:ascii="仿宋" w:hAnsi="仿宋" w:eastAsia="仿宋" w:cs="仿宋"/>
          <w:bCs/>
          <w:color w:val="000000"/>
          <w:sz w:val="24"/>
          <w:szCs w:val="24"/>
          <w:highlight w:val="none"/>
          <w:lang w:val="en-US" w:eastAsia="zh-CN"/>
        </w:rPr>
        <w:t>贰</w:t>
      </w:r>
      <w:r>
        <w:rPr>
          <w:rFonts w:hint="eastAsia" w:ascii="仿宋" w:hAnsi="仿宋" w:eastAsia="仿宋" w:cs="仿宋"/>
          <w:bCs/>
          <w:color w:val="000000"/>
          <w:sz w:val="24"/>
          <w:szCs w:val="24"/>
          <w:highlight w:val="none"/>
        </w:rPr>
        <w:t>份。各方签字盖章后生效，合同执行完毕自动失效。（合同的服务承诺长期有效）。</w:t>
      </w:r>
    </w:p>
    <w:p w14:paraId="4F03EB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6、因产品质量及售后服务、售后服务质量所造成的</w:t>
      </w:r>
      <w:r>
        <w:rPr>
          <w:rFonts w:hint="eastAsia" w:ascii="仿宋" w:hAnsi="仿宋" w:eastAsia="仿宋" w:cs="仿宋"/>
          <w:bCs/>
          <w:color w:val="000000"/>
          <w:sz w:val="24"/>
          <w:szCs w:val="24"/>
          <w:highlight w:val="none"/>
          <w:lang w:val="en-US" w:eastAsia="zh-CN"/>
        </w:rPr>
        <w:t>责任</w:t>
      </w:r>
      <w:r>
        <w:rPr>
          <w:rFonts w:hint="eastAsia" w:ascii="仿宋" w:hAnsi="仿宋" w:eastAsia="仿宋" w:cs="仿宋"/>
          <w:bCs/>
          <w:color w:val="000000"/>
          <w:sz w:val="24"/>
          <w:szCs w:val="24"/>
          <w:highlight w:val="none"/>
        </w:rPr>
        <w:t>，乙方负全部法律及经济责任。</w:t>
      </w:r>
    </w:p>
    <w:p w14:paraId="3FF76E3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7、本“合同附件”附后：</w:t>
      </w:r>
      <w:r>
        <w:rPr>
          <w:rFonts w:hint="eastAsia" w:ascii="仿宋" w:hAnsi="仿宋" w:eastAsia="仿宋" w:cs="仿宋"/>
          <w:bCs/>
          <w:color w:val="000000"/>
          <w:sz w:val="24"/>
          <w:szCs w:val="24"/>
          <w:highlight w:val="none"/>
          <w:lang w:eastAsia="zh-CN"/>
        </w:rPr>
        <w:t>采购</w:t>
      </w:r>
      <w:r>
        <w:rPr>
          <w:rFonts w:hint="eastAsia" w:ascii="仿宋" w:hAnsi="仿宋" w:eastAsia="仿宋" w:cs="仿宋"/>
          <w:bCs/>
          <w:color w:val="000000"/>
          <w:sz w:val="24"/>
          <w:szCs w:val="24"/>
          <w:highlight w:val="none"/>
        </w:rPr>
        <w:t>清单。</w:t>
      </w:r>
    </w:p>
    <w:p w14:paraId="5B7F8322">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8、使用单位收货、验货人员：____________  电话：_______________</w:t>
      </w:r>
    </w:p>
    <w:p w14:paraId="281B52A0">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lang w:eastAsia="zh-CN"/>
        </w:rPr>
        <w:t>十一、若其他未约定事项，双方签署相关补充协议。</w:t>
      </w:r>
    </w:p>
    <w:p w14:paraId="678C34A7">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default" w:ascii="仿宋" w:hAnsi="仿宋" w:eastAsia="仿宋" w:cs="仿宋"/>
          <w:bCs/>
          <w:color w:val="000000"/>
          <w:sz w:val="24"/>
          <w:szCs w:val="24"/>
          <w:highlight w:val="none"/>
          <w:lang w:val="en-US" w:eastAsia="zh-CN"/>
        </w:rPr>
      </w:pPr>
    </w:p>
    <w:p w14:paraId="0AAA2190">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642FD55F">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0DEB2436">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652D43A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此页无正文</w:t>
      </w:r>
      <w:r>
        <w:rPr>
          <w:rFonts w:hint="eastAsia" w:ascii="宋体" w:hAnsi="宋体" w:eastAsia="宋体" w:cs="宋体"/>
          <w:bCs/>
          <w:color w:val="000000"/>
          <w:sz w:val="24"/>
          <w:szCs w:val="24"/>
          <w:highlight w:val="none"/>
          <w:lang w:val="en-US" w:eastAsia="zh-CN"/>
        </w:rPr>
        <w:t>…</w:t>
      </w:r>
    </w:p>
    <w:p w14:paraId="678F7AB8">
      <w:pPr>
        <w:keepNext w:val="0"/>
        <w:keepLines w:val="0"/>
        <w:pageBreakBefore w:val="0"/>
        <w:widowControl w:val="0"/>
        <w:tabs>
          <w:tab w:val="left" w:pos="5355"/>
        </w:tabs>
        <w:kinsoku/>
        <w:wordWrap/>
        <w:overflowPunct/>
        <w:topLinePunct w:val="0"/>
        <w:autoSpaceDE/>
        <w:autoSpaceDN/>
        <w:bidi w:val="0"/>
        <w:spacing w:line="360" w:lineRule="auto"/>
        <w:jc w:val="left"/>
        <w:textAlignment w:val="auto"/>
        <w:rPr>
          <w:rFonts w:hint="eastAsia" w:ascii="仿宋" w:hAnsi="仿宋" w:eastAsia="仿宋" w:cs="仿宋"/>
          <w:bCs/>
          <w:color w:val="000000"/>
          <w:sz w:val="24"/>
          <w:szCs w:val="24"/>
          <w:highlight w:val="non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0"/>
        <w:gridCol w:w="4410"/>
      </w:tblGrid>
      <w:tr w14:paraId="1DF2E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3C1EEC6C">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甲  方：</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6D8B7DD3">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乙  方：</w:t>
            </w:r>
          </w:p>
        </w:tc>
      </w:tr>
      <w:tr w14:paraId="10C7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2204EB40">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地　址： </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48F3A6C9">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地　址：</w:t>
            </w:r>
          </w:p>
        </w:tc>
      </w:tr>
      <w:tr w14:paraId="215E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3B6674FF">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代理人：　</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3E0108CC">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代理人：</w:t>
            </w:r>
          </w:p>
        </w:tc>
      </w:tr>
      <w:tr w14:paraId="6F07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0779E503">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联系电话：</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37F08A3F">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联系电话：</w:t>
            </w:r>
          </w:p>
        </w:tc>
      </w:tr>
      <w:tr w14:paraId="4898A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6F4B5FAC">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开户行：</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350FAA02">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开户行： </w:t>
            </w:r>
          </w:p>
        </w:tc>
      </w:tr>
      <w:tr w14:paraId="678C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177297D8">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 账号：</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4F1003C6">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账号：</w:t>
            </w:r>
          </w:p>
        </w:tc>
      </w:tr>
      <w:tr w14:paraId="699C8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40CBA6E7">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日期：   年    月   日</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6B61048B">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日期：   年    月   日</w:t>
            </w:r>
          </w:p>
        </w:tc>
      </w:tr>
    </w:tbl>
    <w:p w14:paraId="2E1C2E87">
      <w:pPr>
        <w:shd w:val="clear" w:color="auto" w:fill="auto"/>
        <w:spacing w:line="360" w:lineRule="auto"/>
        <w:rPr>
          <w:rFonts w:hint="eastAsia" w:ascii="仿宋" w:hAnsi="仿宋" w:eastAsia="仿宋" w:cs="仿宋"/>
          <w:color w:val="000000"/>
          <w:highlight w:val="none"/>
        </w:rPr>
      </w:pPr>
    </w:p>
    <w:p w14:paraId="30DBE6C1"/>
    <w:p w14:paraId="11497E2C"/>
    <w:p w14:paraId="4E9C1CD3">
      <w:r>
        <w:br w:type="page"/>
      </w:r>
    </w:p>
    <w:p w14:paraId="34C6CE0C">
      <w:pPr>
        <w:jc w:val="center"/>
        <w:textAlignment w:val="baseline"/>
        <w:rPr>
          <w:rFonts w:hint="eastAsia" w:ascii="仿宋" w:hAnsi="仿宋" w:eastAsia="仿宋" w:cs="仿宋"/>
          <w:b/>
          <w:bCs/>
          <w:color w:val="auto"/>
          <w:sz w:val="36"/>
          <w:szCs w:val="24"/>
          <w:highlight w:val="none"/>
          <w:lang w:val="en-US" w:eastAsia="zh-CN" w:bidi="ar-SA"/>
        </w:rPr>
      </w:pPr>
      <w:r>
        <w:rPr>
          <w:rFonts w:hint="eastAsia" w:ascii="仿宋" w:hAnsi="仿宋" w:eastAsia="仿宋" w:cs="仿宋"/>
          <w:b/>
          <w:bCs/>
          <w:color w:val="auto"/>
          <w:sz w:val="36"/>
          <w:szCs w:val="24"/>
          <w:highlight w:val="none"/>
          <w:lang w:val="en-US" w:eastAsia="zh-CN" w:bidi="ar-SA"/>
        </w:rPr>
        <w:t>合同包4</w:t>
      </w:r>
    </w:p>
    <w:p w14:paraId="27FBD421">
      <w:pPr>
        <w:jc w:val="center"/>
        <w:textAlignment w:val="baseline"/>
        <w:rPr>
          <w:rFonts w:hint="eastAsia" w:ascii="仿宋" w:hAnsi="仿宋" w:eastAsia="仿宋" w:cs="仿宋"/>
          <w:b/>
          <w:bCs/>
          <w:color w:val="auto"/>
          <w:sz w:val="36"/>
          <w:szCs w:val="24"/>
          <w:highlight w:val="none"/>
          <w:lang w:val="en-US" w:eastAsia="zh-CN" w:bidi="ar-SA"/>
        </w:rPr>
      </w:pPr>
    </w:p>
    <w:p w14:paraId="05F98D21">
      <w:pPr>
        <w:jc w:val="center"/>
        <w:textAlignment w:val="baseline"/>
        <w:rPr>
          <w:rStyle w:val="16"/>
          <w:rFonts w:hint="eastAsia" w:ascii="仿宋" w:hAnsi="仿宋" w:eastAsia="仿宋" w:cs="仿宋"/>
          <w:color w:val="auto"/>
          <w:highlight w:val="none"/>
          <w:lang w:bidi="ar-SA"/>
        </w:rPr>
      </w:pPr>
      <w:r>
        <w:rPr>
          <w:rStyle w:val="16"/>
          <w:rFonts w:hint="eastAsia" w:ascii="仿宋" w:hAnsi="仿宋" w:eastAsia="仿宋" w:cs="仿宋"/>
          <w:b/>
          <w:bCs/>
          <w:color w:val="auto"/>
          <w:sz w:val="48"/>
          <w:szCs w:val="36"/>
          <w:highlight w:val="none"/>
          <w:lang w:bidi="ar-SA"/>
        </w:rPr>
        <w:t xml:space="preserve"> </w:t>
      </w:r>
      <w:r>
        <w:rPr>
          <w:rFonts w:hint="eastAsia" w:ascii="仿宋" w:hAnsi="仿宋" w:eastAsia="仿宋" w:cs="仿宋"/>
          <w:b/>
          <w:bCs/>
          <w:sz w:val="48"/>
          <w:szCs w:val="52"/>
          <w:highlight w:val="none"/>
          <w:lang w:eastAsia="zh-CN"/>
        </w:rPr>
        <w:t>渭南高新区政务服务大厅搬迁工程</w:t>
      </w:r>
      <w:r>
        <w:rPr>
          <w:rStyle w:val="16"/>
          <w:rFonts w:hint="eastAsia" w:ascii="仿宋" w:hAnsi="仿宋" w:eastAsia="仿宋" w:cs="仿宋"/>
          <w:b/>
          <w:bCs/>
          <w:color w:val="auto"/>
          <w:sz w:val="56"/>
          <w:szCs w:val="44"/>
          <w:highlight w:val="none"/>
          <w:lang w:bidi="ar-SA"/>
        </w:rPr>
        <w:t xml:space="preserve"> </w:t>
      </w:r>
    </w:p>
    <w:p w14:paraId="59858F46">
      <w:pPr>
        <w:jc w:val="center"/>
        <w:textAlignment w:val="baseline"/>
        <w:rPr>
          <w:rStyle w:val="16"/>
          <w:rFonts w:hint="eastAsia" w:ascii="仿宋" w:hAnsi="仿宋" w:eastAsia="仿宋" w:cs="仿宋"/>
          <w:b/>
          <w:color w:val="auto"/>
          <w:sz w:val="36"/>
          <w:szCs w:val="36"/>
          <w:highlight w:val="none"/>
          <w:lang w:bidi="ar-SA"/>
        </w:rPr>
      </w:pPr>
    </w:p>
    <w:p w14:paraId="77E7B563">
      <w:pPr>
        <w:pStyle w:val="8"/>
        <w:rPr>
          <w:rStyle w:val="16"/>
          <w:rFonts w:hint="eastAsia" w:ascii="仿宋" w:hAnsi="仿宋" w:eastAsia="仿宋" w:cs="仿宋"/>
          <w:b/>
          <w:color w:val="auto"/>
          <w:sz w:val="36"/>
          <w:szCs w:val="36"/>
          <w:highlight w:val="none"/>
          <w:lang w:bidi="ar-SA"/>
        </w:rPr>
      </w:pPr>
    </w:p>
    <w:p w14:paraId="16628167">
      <w:pPr>
        <w:pStyle w:val="8"/>
        <w:rPr>
          <w:rStyle w:val="16"/>
          <w:rFonts w:hint="eastAsia" w:ascii="仿宋" w:hAnsi="仿宋" w:eastAsia="仿宋" w:cs="仿宋"/>
          <w:b/>
          <w:color w:val="auto"/>
          <w:sz w:val="36"/>
          <w:szCs w:val="36"/>
          <w:highlight w:val="none"/>
          <w:lang w:bidi="ar-SA"/>
        </w:rPr>
      </w:pPr>
    </w:p>
    <w:p w14:paraId="21DCD9F8">
      <w:pPr>
        <w:pStyle w:val="8"/>
        <w:rPr>
          <w:rStyle w:val="16"/>
          <w:rFonts w:hint="eastAsia" w:ascii="仿宋" w:hAnsi="仿宋" w:eastAsia="仿宋" w:cs="仿宋"/>
          <w:b/>
          <w:color w:val="auto"/>
          <w:sz w:val="36"/>
          <w:szCs w:val="36"/>
          <w:highlight w:val="none"/>
          <w:lang w:bidi="ar-SA"/>
        </w:rPr>
      </w:pPr>
    </w:p>
    <w:p w14:paraId="7174ACE0">
      <w:pPr>
        <w:jc w:val="center"/>
        <w:textAlignment w:val="baseline"/>
        <w:rPr>
          <w:rStyle w:val="16"/>
          <w:rFonts w:hint="eastAsia" w:ascii="仿宋" w:hAnsi="仿宋" w:eastAsia="仿宋" w:cs="仿宋"/>
          <w:b/>
          <w:color w:val="auto"/>
          <w:sz w:val="36"/>
          <w:szCs w:val="36"/>
          <w:highlight w:val="none"/>
          <w:lang w:bidi="ar-SA"/>
        </w:rPr>
      </w:pPr>
      <w:r>
        <w:rPr>
          <w:rFonts w:hint="eastAsia" w:ascii="仿宋" w:hAnsi="仿宋" w:eastAsia="仿宋" w:cs="仿宋"/>
          <w:b w:val="0"/>
          <w:bCs/>
          <w:sz w:val="24"/>
          <w:szCs w:val="20"/>
          <w:highlight w:val="none"/>
        </w:rPr>
        <w:t>（</w:t>
      </w:r>
      <w:r>
        <w:rPr>
          <w:rFonts w:hint="eastAsia" w:ascii="仿宋" w:hAnsi="仿宋" w:eastAsia="仿宋" w:cs="仿宋"/>
          <w:b w:val="0"/>
          <w:bCs/>
          <w:sz w:val="24"/>
          <w:szCs w:val="20"/>
          <w:highlight w:val="none"/>
          <w:lang w:eastAsia="zh-CN"/>
        </w:rPr>
        <w:t>本文本为</w:t>
      </w:r>
      <w:r>
        <w:rPr>
          <w:rFonts w:hint="eastAsia" w:ascii="仿宋" w:hAnsi="仿宋" w:eastAsia="仿宋" w:cs="仿宋"/>
          <w:b w:val="0"/>
          <w:bCs/>
          <w:sz w:val="24"/>
          <w:szCs w:val="20"/>
          <w:highlight w:val="none"/>
        </w:rPr>
        <w:t>示范文本</w:t>
      </w:r>
      <w:r>
        <w:rPr>
          <w:rFonts w:hint="eastAsia" w:ascii="仿宋" w:hAnsi="仿宋" w:eastAsia="仿宋" w:cs="仿宋"/>
          <w:b w:val="0"/>
          <w:bCs/>
          <w:sz w:val="24"/>
          <w:szCs w:val="20"/>
          <w:highlight w:val="none"/>
          <w:lang w:eastAsia="zh-CN"/>
        </w:rPr>
        <w:t>，具体以甲乙双方签订合同为准</w:t>
      </w:r>
      <w:r>
        <w:rPr>
          <w:rFonts w:hint="eastAsia" w:ascii="仿宋" w:hAnsi="仿宋" w:eastAsia="仿宋" w:cs="仿宋"/>
          <w:b w:val="0"/>
          <w:bCs/>
          <w:sz w:val="24"/>
          <w:szCs w:val="20"/>
          <w:highlight w:val="none"/>
        </w:rPr>
        <w:t>）</w:t>
      </w:r>
    </w:p>
    <w:p w14:paraId="0EA8BEFA">
      <w:pPr>
        <w:jc w:val="center"/>
        <w:textAlignment w:val="baseline"/>
        <w:rPr>
          <w:rStyle w:val="16"/>
          <w:rFonts w:hint="eastAsia" w:ascii="仿宋" w:hAnsi="仿宋" w:eastAsia="仿宋" w:cs="仿宋"/>
          <w:b/>
          <w:color w:val="auto"/>
          <w:sz w:val="36"/>
          <w:szCs w:val="36"/>
          <w:highlight w:val="none"/>
          <w:lang w:bidi="ar-SA"/>
        </w:rPr>
      </w:pPr>
    </w:p>
    <w:p w14:paraId="2B92A72A">
      <w:pPr>
        <w:pStyle w:val="8"/>
        <w:jc w:val="center"/>
        <w:rPr>
          <w:rFonts w:hint="eastAsia" w:ascii="仿宋" w:hAnsi="仿宋" w:eastAsia="仿宋" w:cs="仿宋"/>
          <w:b/>
          <w:bCs/>
          <w:color w:val="auto"/>
          <w:sz w:val="24"/>
          <w:szCs w:val="24"/>
          <w:highlight w:val="none"/>
          <w:lang w:bidi="ar-SA"/>
        </w:rPr>
      </w:pPr>
    </w:p>
    <w:p w14:paraId="4C865DBE">
      <w:pPr>
        <w:jc w:val="center"/>
        <w:textAlignment w:val="baseline"/>
        <w:rPr>
          <w:rStyle w:val="16"/>
          <w:rFonts w:hint="eastAsia" w:ascii="仿宋" w:hAnsi="仿宋" w:eastAsia="仿宋" w:cs="仿宋"/>
          <w:b/>
          <w:color w:val="auto"/>
          <w:sz w:val="36"/>
          <w:szCs w:val="36"/>
          <w:highlight w:val="none"/>
          <w:lang w:bidi="ar-SA"/>
        </w:rPr>
      </w:pPr>
    </w:p>
    <w:p w14:paraId="6A7DF5C0">
      <w:pPr>
        <w:kinsoku w:val="0"/>
        <w:spacing w:line="360" w:lineRule="auto"/>
        <w:rPr>
          <w:rFonts w:hint="eastAsia" w:ascii="仿宋" w:hAnsi="仿宋" w:eastAsia="仿宋" w:cs="仿宋"/>
          <w:bCs/>
          <w:color w:val="000000"/>
          <w:sz w:val="36"/>
          <w:szCs w:val="36"/>
          <w:highlight w:val="none"/>
        </w:rPr>
      </w:pPr>
    </w:p>
    <w:p w14:paraId="3C717219">
      <w:pPr>
        <w:kinsoku w:val="0"/>
        <w:spacing w:line="360" w:lineRule="auto"/>
        <w:rPr>
          <w:rFonts w:hint="eastAsia" w:ascii="仿宋" w:hAnsi="仿宋" w:eastAsia="仿宋" w:cs="仿宋"/>
          <w:bCs/>
          <w:color w:val="000000"/>
          <w:sz w:val="36"/>
          <w:szCs w:val="36"/>
          <w:highlight w:val="none"/>
        </w:rPr>
      </w:pPr>
    </w:p>
    <w:p w14:paraId="11629A2E">
      <w:pPr>
        <w:kinsoku w:val="0"/>
        <w:spacing w:line="360" w:lineRule="auto"/>
        <w:rPr>
          <w:rFonts w:hint="eastAsia" w:ascii="仿宋" w:hAnsi="仿宋" w:eastAsia="仿宋" w:cs="仿宋"/>
          <w:bCs/>
          <w:color w:val="000000"/>
          <w:sz w:val="36"/>
          <w:szCs w:val="36"/>
          <w:highlight w:val="none"/>
        </w:rPr>
      </w:pPr>
    </w:p>
    <w:p w14:paraId="4F0DBA02">
      <w:pPr>
        <w:kinsoku w:val="0"/>
        <w:spacing w:line="360" w:lineRule="auto"/>
        <w:rPr>
          <w:rFonts w:hint="eastAsia" w:ascii="仿宋" w:hAnsi="仿宋" w:eastAsia="仿宋" w:cs="仿宋"/>
          <w:bCs/>
          <w:color w:val="000000"/>
          <w:sz w:val="36"/>
          <w:szCs w:val="36"/>
          <w:highlight w:val="none"/>
        </w:rPr>
      </w:pPr>
    </w:p>
    <w:p w14:paraId="0A2727C8">
      <w:pPr>
        <w:kinsoku w:val="0"/>
        <w:spacing w:line="360" w:lineRule="auto"/>
        <w:rPr>
          <w:rFonts w:hint="eastAsia" w:ascii="仿宋" w:hAnsi="仿宋" w:eastAsia="仿宋" w:cs="仿宋"/>
          <w:bCs/>
          <w:color w:val="000000"/>
          <w:sz w:val="36"/>
          <w:szCs w:val="36"/>
          <w:highlight w:val="none"/>
        </w:rPr>
      </w:pPr>
    </w:p>
    <w:p w14:paraId="516AAC87">
      <w:pPr>
        <w:kinsoku w:val="0"/>
        <w:spacing w:line="360" w:lineRule="auto"/>
        <w:ind w:firstLine="1440" w:firstLineChars="400"/>
        <w:rPr>
          <w:rFonts w:hint="eastAsia" w:ascii="仿宋" w:hAnsi="仿宋" w:eastAsia="仿宋" w:cs="仿宋"/>
          <w:bCs/>
          <w:color w:val="000000"/>
          <w:sz w:val="36"/>
          <w:szCs w:val="36"/>
          <w:highlight w:val="none"/>
          <w:lang w:val="en-US" w:eastAsia="zh-CN"/>
        </w:rPr>
      </w:pPr>
      <w:r>
        <w:rPr>
          <w:rFonts w:hint="eastAsia" w:ascii="仿宋" w:hAnsi="仿宋" w:eastAsia="仿宋" w:cs="仿宋"/>
          <w:bCs/>
          <w:color w:val="000000"/>
          <w:sz w:val="36"/>
          <w:szCs w:val="36"/>
          <w:highlight w:val="none"/>
        </w:rPr>
        <w:t>甲方：</w:t>
      </w:r>
      <w:r>
        <w:rPr>
          <w:rFonts w:hint="eastAsia" w:ascii="仿宋" w:hAnsi="仿宋" w:eastAsia="仿宋" w:cs="仿宋"/>
          <w:bCs/>
          <w:color w:val="000000"/>
          <w:sz w:val="36"/>
          <w:szCs w:val="36"/>
          <w:highlight w:val="none"/>
          <w:u w:val="single"/>
          <w:lang w:val="en-US" w:eastAsia="zh-CN"/>
        </w:rPr>
        <w:t xml:space="preserve">              </w:t>
      </w:r>
    </w:p>
    <w:p w14:paraId="034806A8">
      <w:pPr>
        <w:ind w:firstLine="1440" w:firstLineChars="400"/>
        <w:jc w:val="both"/>
        <w:textAlignment w:val="baseline"/>
        <w:rPr>
          <w:rFonts w:hint="eastAsia" w:ascii="仿宋" w:hAnsi="仿宋" w:eastAsia="仿宋" w:cs="仿宋"/>
          <w:bCs/>
          <w:color w:val="000000"/>
          <w:sz w:val="36"/>
          <w:szCs w:val="36"/>
          <w:highlight w:val="none"/>
          <w:u w:val="single"/>
        </w:rPr>
      </w:pPr>
      <w:r>
        <w:rPr>
          <w:rFonts w:hint="eastAsia" w:ascii="仿宋" w:hAnsi="仿宋" w:eastAsia="仿宋" w:cs="仿宋"/>
          <w:bCs/>
          <w:color w:val="000000"/>
          <w:sz w:val="36"/>
          <w:szCs w:val="36"/>
          <w:highlight w:val="none"/>
        </w:rPr>
        <w:t>乙方：</w:t>
      </w:r>
      <w:r>
        <w:rPr>
          <w:rFonts w:hint="eastAsia" w:ascii="仿宋" w:hAnsi="仿宋" w:eastAsia="仿宋" w:cs="仿宋"/>
          <w:bCs/>
          <w:color w:val="000000"/>
          <w:sz w:val="36"/>
          <w:szCs w:val="36"/>
          <w:highlight w:val="none"/>
          <w:u w:val="single"/>
        </w:rPr>
        <w:t xml:space="preserve">              </w:t>
      </w:r>
    </w:p>
    <w:p w14:paraId="50D026DA">
      <w:pPr>
        <w:jc w:val="center"/>
        <w:textAlignment w:val="baseline"/>
        <w:rPr>
          <w:rFonts w:hint="eastAsia" w:ascii="仿宋" w:hAnsi="仿宋" w:eastAsia="仿宋" w:cs="仿宋"/>
          <w:bCs/>
          <w:color w:val="000000"/>
          <w:sz w:val="36"/>
          <w:szCs w:val="36"/>
          <w:highlight w:val="none"/>
          <w:u w:val="single"/>
        </w:rPr>
      </w:pPr>
    </w:p>
    <w:p w14:paraId="72187D63">
      <w:pPr>
        <w:jc w:val="both"/>
        <w:textAlignment w:val="baseline"/>
        <w:rPr>
          <w:rStyle w:val="16"/>
          <w:rFonts w:hint="eastAsia" w:ascii="仿宋" w:hAnsi="仿宋" w:eastAsia="仿宋" w:cs="仿宋"/>
          <w:b/>
          <w:color w:val="auto"/>
          <w:sz w:val="36"/>
          <w:szCs w:val="36"/>
          <w:highlight w:val="none"/>
          <w:lang w:bidi="ar-SA"/>
        </w:rPr>
      </w:pPr>
    </w:p>
    <w:p w14:paraId="120A0D9E">
      <w:pPr>
        <w:pStyle w:val="3"/>
        <w:numPr>
          <w:ilvl w:val="0"/>
          <w:numId w:val="0"/>
        </w:numPr>
        <w:spacing w:line="360" w:lineRule="auto"/>
        <w:jc w:val="left"/>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color w:val="auto"/>
          <w:highlight w:val="none"/>
          <w:u w:val="single"/>
          <w:lang w:bidi="ar-SA"/>
        </w:rPr>
        <w:br w:type="page"/>
      </w:r>
      <w:r>
        <w:rPr>
          <w:rFonts w:hint="eastAsia" w:ascii="仿宋" w:hAnsi="仿宋" w:eastAsia="仿宋" w:cs="仿宋"/>
          <w:b/>
          <w:color w:val="auto"/>
          <w:highlight w:val="none"/>
          <w:u w:val="none"/>
          <w:lang w:val="en-US" w:eastAsia="zh-CN" w:bidi="ar-SA"/>
        </w:rPr>
        <w:t xml:space="preserve">   </w:t>
      </w:r>
      <w:r>
        <w:rPr>
          <w:rFonts w:hint="eastAsia" w:ascii="仿宋" w:hAnsi="仿宋" w:eastAsia="仿宋" w:cs="仿宋"/>
          <w:b w:val="0"/>
          <w:bCs w:val="0"/>
          <w:color w:val="auto"/>
          <w:sz w:val="24"/>
          <w:szCs w:val="24"/>
          <w:highlight w:val="none"/>
          <w:u w:val="none"/>
          <w:lang w:val="en-US" w:eastAsia="zh-CN" w:bidi="ar-SA"/>
        </w:rPr>
        <w:t>根据《中华人民共和国民法典》及相关法律、法规的规定，甲乙双方经过平等协商，自愿签订本合同，并共同遵守本合同所列条款。</w:t>
      </w:r>
    </w:p>
    <w:p w14:paraId="743CF1B4">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第一条  </w:t>
      </w:r>
      <w:r>
        <w:rPr>
          <w:rFonts w:hint="eastAsia" w:ascii="仿宋" w:hAnsi="仿宋" w:eastAsia="仿宋" w:cs="仿宋"/>
          <w:b/>
          <w:color w:val="auto"/>
          <w:sz w:val="24"/>
          <w:szCs w:val="24"/>
          <w:highlight w:val="none"/>
          <w:lang w:eastAsia="zh-CN"/>
        </w:rPr>
        <w:t>服务</w:t>
      </w:r>
      <w:r>
        <w:rPr>
          <w:rFonts w:hint="eastAsia" w:ascii="仿宋" w:hAnsi="仿宋" w:eastAsia="仿宋" w:cs="仿宋"/>
          <w:b/>
          <w:color w:val="auto"/>
          <w:sz w:val="24"/>
          <w:szCs w:val="24"/>
          <w:highlight w:val="none"/>
        </w:rPr>
        <w:t>项目</w:t>
      </w:r>
    </w:p>
    <w:p w14:paraId="573766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本合同的</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u w:val="none"/>
        </w:rPr>
        <w:t>为</w:t>
      </w:r>
      <w:r>
        <w:rPr>
          <w:rFonts w:hint="eastAsia" w:ascii="仿宋" w:hAnsi="仿宋" w:eastAsia="仿宋" w:cs="仿宋"/>
          <w:color w:val="auto"/>
          <w:sz w:val="24"/>
          <w:szCs w:val="24"/>
          <w:highlight w:val="none"/>
          <w:u w:val="none"/>
          <w:lang w:eastAsia="zh-CN"/>
        </w:rPr>
        <w:t>渭南高新区政务服务大厅搬迁工程政务服务平台迁移及配套技术服务</w:t>
      </w:r>
    </w:p>
    <w:p w14:paraId="5F4FDB91">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3C61CCC2">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本合同的履行期限：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306A29C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560" w:lef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bCs/>
          <w:color w:val="auto"/>
          <w:sz w:val="24"/>
          <w:szCs w:val="24"/>
          <w:highlight w:val="none"/>
        </w:rPr>
        <w:t>项目目标及内容</w:t>
      </w:r>
    </w:p>
    <w:p w14:paraId="4D5C2353">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0F90C517">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第四条  </w:t>
      </w:r>
      <w:r>
        <w:rPr>
          <w:rFonts w:hint="eastAsia" w:ascii="仿宋" w:hAnsi="仿宋" w:eastAsia="仿宋" w:cs="仿宋"/>
          <w:b/>
          <w:bCs/>
          <w:color w:val="auto"/>
          <w:sz w:val="24"/>
          <w:szCs w:val="24"/>
          <w:highlight w:val="none"/>
        </w:rPr>
        <w:t>项目组织实施</w:t>
      </w:r>
    </w:p>
    <w:p w14:paraId="743DAE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甲方应指定专人负责配合乙方实施项目，并为乙方实施项目提供所需的支持，包括但不限于为乙方提供与本项目相关的资料文件、按合同约定支付项目经费。甲方可根据项目宗旨对项目实施进行指导并提出修改意见，并组织项目验收。</w:t>
      </w:r>
    </w:p>
    <w:p w14:paraId="48EC48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（2） 乙方应指定专人负责项目组织实施，组建项目工作组；应按照本合同内容和计划进度实施项目，组织开展本项目；并根据甲方要求，及时通报项目实施情况。</w:t>
      </w:r>
    </w:p>
    <w:p w14:paraId="42B98030">
      <w:pPr>
        <w:keepNext w:val="0"/>
        <w:keepLines w:val="0"/>
        <w:pageBreakBefore w:val="0"/>
        <w:widowControl w:val="0"/>
        <w:kinsoku/>
        <w:wordWrap/>
        <w:overflowPunct/>
        <w:topLinePunct w:val="0"/>
        <w:autoSpaceDE/>
        <w:autoSpaceDN/>
        <w:bidi w:val="0"/>
        <w:adjustRightInd/>
        <w:snapToGrid/>
        <w:spacing w:before="120" w:line="360" w:lineRule="auto"/>
        <w:ind w:firstLine="361" w:firstLineChars="15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验收</w:t>
      </w:r>
    </w:p>
    <w:p w14:paraId="411BA1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rPr>
        <w:t>服务商将</w:t>
      </w:r>
      <w:r>
        <w:rPr>
          <w:rFonts w:hint="eastAsia" w:ascii="仿宋" w:hAnsi="仿宋" w:eastAsia="仿宋" w:cs="仿宋"/>
          <w:color w:val="auto"/>
          <w:sz w:val="24"/>
          <w:szCs w:val="24"/>
          <w:highlight w:val="none"/>
          <w:lang w:eastAsia="zh-CN"/>
        </w:rPr>
        <w:t>检测任务</w:t>
      </w:r>
      <w:r>
        <w:rPr>
          <w:rFonts w:hint="eastAsia" w:ascii="仿宋" w:hAnsi="仿宋" w:eastAsia="仿宋" w:cs="仿宋"/>
          <w:color w:val="auto"/>
          <w:sz w:val="24"/>
          <w:szCs w:val="24"/>
          <w:highlight w:val="none"/>
        </w:rPr>
        <w:t>完成后，书面通知采购人验收。</w:t>
      </w:r>
    </w:p>
    <w:p w14:paraId="2387AC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rPr>
        <w:t>采购人组织服务商（必要时可请有关专家）进行验收，验收合格后，填写政府采购项目验收单（一式伍份）。</w:t>
      </w:r>
    </w:p>
    <w:p w14:paraId="1BD827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验收依据</w:t>
      </w:r>
    </w:p>
    <w:p w14:paraId="21DCB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响应文件</w:t>
      </w:r>
    </w:p>
    <w:p w14:paraId="4E2DEC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2本合同及附件文本；</w:t>
      </w:r>
    </w:p>
    <w:p w14:paraId="58B864EC">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条  </w:t>
      </w:r>
      <w:r>
        <w:rPr>
          <w:rFonts w:hint="eastAsia" w:ascii="仿宋" w:hAnsi="仿宋" w:eastAsia="仿宋" w:cs="仿宋"/>
          <w:b/>
          <w:bCs/>
          <w:color w:val="auto"/>
          <w:sz w:val="24"/>
          <w:szCs w:val="24"/>
          <w:highlight w:val="none"/>
        </w:rPr>
        <w:t>经费及支付方式</w:t>
      </w:r>
    </w:p>
    <w:p w14:paraId="31CB9D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6.1本项目提供的经费总额为人民币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元整。</w:t>
      </w:r>
    </w:p>
    <w:p w14:paraId="02CFC45B">
      <w:pPr>
        <w:kinsoku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6.2</w:t>
      </w:r>
      <w:r>
        <w:rPr>
          <w:rFonts w:hint="eastAsia" w:ascii="仿宋" w:hAnsi="仿宋" w:eastAsia="仿宋" w:cs="仿宋"/>
          <w:color w:val="auto"/>
          <w:sz w:val="24"/>
          <w:szCs w:val="24"/>
          <w:highlight w:val="none"/>
        </w:rPr>
        <w:t>付款方式：</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highlight w:val="none"/>
          <w:lang w:val="en-US" w:eastAsia="zh-CN"/>
        </w:rPr>
        <w:t>。</w:t>
      </w:r>
    </w:p>
    <w:p w14:paraId="2EC03F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结算方式：验收合格后填写政府采购项目验收单（一式伍份）,发票（按合同总价直开采购人），供货合同、政府采购项目验收单与采购人结算。</w:t>
      </w:r>
    </w:p>
    <w:p w14:paraId="20C73DDE">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第八条  违约责任</w:t>
      </w:r>
    </w:p>
    <w:p w14:paraId="635C7A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服务商未按</w:t>
      </w:r>
      <w:r>
        <w:rPr>
          <w:rFonts w:hint="eastAsia" w:ascii="仿宋" w:hAnsi="仿宋" w:eastAsia="仿宋" w:cs="仿宋"/>
          <w:color w:val="auto"/>
          <w:sz w:val="24"/>
          <w:szCs w:val="24"/>
          <w:highlight w:val="none"/>
          <w:lang w:eastAsia="zh-CN"/>
        </w:rPr>
        <w:t>要求</w:t>
      </w:r>
      <w:r>
        <w:rPr>
          <w:rFonts w:hint="eastAsia" w:ascii="仿宋" w:hAnsi="仿宋" w:eastAsia="仿宋" w:cs="仿宋"/>
          <w:color w:val="auto"/>
          <w:sz w:val="24"/>
          <w:szCs w:val="24"/>
          <w:highlight w:val="none"/>
        </w:rPr>
        <w:t>提供服务，采购人会同集中采购机构有权终止合同和对服务商的违约行为进行追究，同时按《政府采购法》有关处罚条款报监管机构进行相应的处罚。</w:t>
      </w:r>
    </w:p>
    <w:p w14:paraId="6FE9BCE6">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第九条  争议解决方式</w:t>
      </w:r>
    </w:p>
    <w:p w14:paraId="68F727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9.1  甲乙双方履行合同过程中发生争议的，应当友好协商解决。</w:t>
      </w:r>
    </w:p>
    <w:p w14:paraId="61AC4276">
      <w:pPr>
        <w:keepNext w:val="0"/>
        <w:keepLines w:val="0"/>
        <w:pageBreakBefore w:val="0"/>
        <w:widowControl w:val="0"/>
        <w:kinsoku/>
        <w:wordWrap/>
        <w:overflowPunct/>
        <w:topLinePunct w:val="0"/>
        <w:autoSpaceDE/>
        <w:autoSpaceDN/>
        <w:bidi w:val="0"/>
        <w:adjustRightInd/>
        <w:snapToGrid/>
        <w:spacing w:line="360" w:lineRule="auto"/>
        <w:ind w:left="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甲乙双方协商不成的，向</w:t>
      </w:r>
      <w:r>
        <w:rPr>
          <w:rFonts w:hint="eastAsia" w:ascii="仿宋" w:hAnsi="仿宋" w:eastAsia="仿宋" w:cs="仿宋"/>
          <w:color w:val="auto"/>
          <w:sz w:val="24"/>
          <w:szCs w:val="24"/>
          <w:highlight w:val="none"/>
          <w:lang w:val="en-US" w:eastAsia="zh-CN"/>
        </w:rPr>
        <w:t>渭南市</w:t>
      </w:r>
      <w:r>
        <w:rPr>
          <w:rFonts w:hint="eastAsia" w:ascii="仿宋" w:hAnsi="仿宋" w:eastAsia="仿宋" w:cs="仿宋"/>
          <w:color w:val="auto"/>
          <w:sz w:val="24"/>
          <w:szCs w:val="24"/>
          <w:highlight w:val="none"/>
        </w:rPr>
        <w:t>人民法院提起诉讼。</w:t>
      </w:r>
    </w:p>
    <w:p w14:paraId="75A9AF40">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第十条  合同的变更和解除</w:t>
      </w:r>
    </w:p>
    <w:p w14:paraId="396494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  合同的变更</w:t>
      </w:r>
    </w:p>
    <w:p w14:paraId="6669C9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10.1.1  订立本合同所依据的法律、法规或者客观情况发生变化的，应变更本合同相关内容。</w:t>
      </w:r>
    </w:p>
    <w:p w14:paraId="2B109C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10.1.2  本合同的变更由双方另行协商，并书面约定，作为本合同的变更文本。</w:t>
      </w:r>
    </w:p>
    <w:p w14:paraId="5015E3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10.1.3  本合同的一方向另一方提出变更合同请求的，另一方应在15天内予以答复，逾期不予答复的，视为同意。</w:t>
      </w:r>
    </w:p>
    <w:p w14:paraId="2D091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10.2  合同的解除 </w:t>
      </w:r>
    </w:p>
    <w:p w14:paraId="62B179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10.2.1  经甲乙双方协商，可以解除本合同。</w:t>
      </w:r>
    </w:p>
    <w:p w14:paraId="041C3B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10.2.2  因一方违约，致使合同不能继续履行或没有必要继续履行的，另一方可以通知其解除本合同</w:t>
      </w:r>
    </w:p>
    <w:p w14:paraId="5E0E86A3">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第十一条  附文</w:t>
      </w:r>
    </w:p>
    <w:p w14:paraId="53E386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11.1  本合同适用中华人民共和国法律，未尽事宜，由双方协商解决。</w:t>
      </w:r>
    </w:p>
    <w:p w14:paraId="4DBFC0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甲乙双方履行合同过程中发生争议的，应当友好协商解决。</w:t>
      </w:r>
    </w:p>
    <w:p w14:paraId="192532EF">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本合同经双方签字、盖章后生效。</w:t>
      </w:r>
    </w:p>
    <w:p w14:paraId="3A14C5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代理机构</w:t>
      </w:r>
      <w:r>
        <w:rPr>
          <w:rFonts w:hint="eastAsia" w:ascii="仿宋" w:hAnsi="仿宋" w:eastAsia="仿宋" w:cs="仿宋"/>
          <w:color w:val="auto"/>
          <w:sz w:val="24"/>
          <w:szCs w:val="24"/>
          <w:highlight w:val="none"/>
          <w:lang w:val="en-US" w:eastAsia="zh-CN"/>
        </w:rPr>
        <w:t>1份，</w:t>
      </w:r>
      <w:r>
        <w:rPr>
          <w:rFonts w:hint="eastAsia" w:ascii="仿宋" w:hAnsi="仿宋" w:eastAsia="仿宋" w:cs="仿宋"/>
          <w:color w:val="auto"/>
          <w:sz w:val="24"/>
          <w:szCs w:val="24"/>
          <w:highlight w:val="none"/>
        </w:rPr>
        <w:t>具有同等法律效力。</w:t>
      </w:r>
    </w:p>
    <w:p w14:paraId="21C0B858">
      <w:pPr>
        <w:ind w:left="570"/>
        <w:rPr>
          <w:rFonts w:hint="eastAsia" w:ascii="仿宋" w:hAnsi="仿宋" w:eastAsia="仿宋" w:cs="仿宋"/>
          <w:color w:val="auto"/>
          <w:sz w:val="24"/>
          <w:szCs w:val="24"/>
          <w:highlight w:val="none"/>
        </w:rPr>
      </w:pPr>
    </w:p>
    <w:p w14:paraId="5F17845E">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本页无内容</w:t>
      </w:r>
    </w:p>
    <w:p w14:paraId="7D8D223B">
      <w:pPr>
        <w:pStyle w:val="5"/>
        <w:numPr>
          <w:ilvl w:val="0"/>
          <w:numId w:val="0"/>
        </w:numPr>
        <w:ind w:leftChars="0"/>
        <w:rPr>
          <w:rFonts w:hint="eastAsia" w:ascii="仿宋" w:hAnsi="仿宋" w:eastAsia="仿宋" w:cs="仿宋"/>
          <w:color w:val="auto"/>
          <w:highlight w:val="none"/>
        </w:rPr>
      </w:pPr>
    </w:p>
    <w:p w14:paraId="734C7135">
      <w:pPr>
        <w:rPr>
          <w:rFonts w:hint="eastAsia"/>
          <w:color w:val="auto"/>
        </w:rPr>
      </w:pPr>
    </w:p>
    <w:tbl>
      <w:tblPr>
        <w:tblStyle w:val="11"/>
        <w:tblW w:w="9108" w:type="dxa"/>
        <w:tblInd w:w="0" w:type="dxa"/>
        <w:tblLayout w:type="fixed"/>
        <w:tblCellMar>
          <w:top w:w="0" w:type="dxa"/>
          <w:left w:w="108" w:type="dxa"/>
          <w:bottom w:w="0" w:type="dxa"/>
          <w:right w:w="108" w:type="dxa"/>
        </w:tblCellMar>
      </w:tblPr>
      <w:tblGrid>
        <w:gridCol w:w="4554"/>
        <w:gridCol w:w="4554"/>
      </w:tblGrid>
      <w:tr w14:paraId="2B429D41">
        <w:tc>
          <w:tcPr>
            <w:tcW w:w="4554" w:type="dxa"/>
            <w:noWrap w:val="0"/>
            <w:vAlign w:val="top"/>
          </w:tcPr>
          <w:p w14:paraId="64ACDCFA">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w:t>
            </w:r>
          </w:p>
          <w:p w14:paraId="7CA698B7">
            <w:pPr>
              <w:spacing w:line="500" w:lineRule="atLeast"/>
              <w:rPr>
                <w:rFonts w:hint="eastAsia" w:ascii="仿宋" w:hAnsi="仿宋" w:eastAsia="仿宋" w:cs="仿宋"/>
                <w:color w:val="auto"/>
                <w:sz w:val="24"/>
                <w:szCs w:val="24"/>
                <w:highlight w:val="none"/>
              </w:rPr>
            </w:pPr>
          </w:p>
          <w:p w14:paraId="2D7E4B46">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3B2D5379">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34F05493">
            <w:pPr>
              <w:spacing w:line="500" w:lineRule="atLeast"/>
              <w:rPr>
                <w:rFonts w:hint="eastAsia" w:ascii="仿宋" w:hAnsi="仿宋" w:eastAsia="仿宋" w:cs="仿宋"/>
                <w:color w:val="auto"/>
                <w:sz w:val="24"/>
                <w:szCs w:val="24"/>
                <w:highlight w:val="none"/>
              </w:rPr>
            </w:pPr>
          </w:p>
          <w:p w14:paraId="23EB1496">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c>
          <w:tcPr>
            <w:tcW w:w="4554" w:type="dxa"/>
            <w:noWrap w:val="0"/>
            <w:vAlign w:val="top"/>
          </w:tcPr>
          <w:p w14:paraId="2F4C267B">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乙方（盖章）</w:t>
            </w:r>
          </w:p>
          <w:p w14:paraId="0C1455FC">
            <w:pPr>
              <w:spacing w:line="500" w:lineRule="atLeast"/>
              <w:rPr>
                <w:rFonts w:hint="eastAsia" w:ascii="仿宋" w:hAnsi="仿宋" w:eastAsia="仿宋" w:cs="仿宋"/>
                <w:color w:val="auto"/>
                <w:sz w:val="24"/>
                <w:szCs w:val="24"/>
                <w:highlight w:val="none"/>
              </w:rPr>
            </w:pPr>
          </w:p>
          <w:p w14:paraId="08D4C637">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0D28EBE5">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0F409E2C">
            <w:pPr>
              <w:spacing w:line="500" w:lineRule="atLeast"/>
              <w:rPr>
                <w:rFonts w:hint="eastAsia" w:ascii="仿宋" w:hAnsi="仿宋" w:eastAsia="仿宋" w:cs="仿宋"/>
                <w:color w:val="auto"/>
                <w:sz w:val="24"/>
                <w:szCs w:val="24"/>
                <w:highlight w:val="none"/>
              </w:rPr>
            </w:pPr>
          </w:p>
          <w:p w14:paraId="35E5B564">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291B69DB"/>
    <w:p w14:paraId="4803EBA0">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C4D70"/>
    <w:multiLevelType w:val="singleLevel"/>
    <w:tmpl w:val="ED5C4D70"/>
    <w:lvl w:ilvl="0" w:tentative="0">
      <w:start w:val="3"/>
      <w:numFmt w:val="chineseCounting"/>
      <w:suff w:val="space"/>
      <w:lvlText w:val="第%1条"/>
      <w:lvlJc w:val="left"/>
      <w:pPr>
        <w:ind w:left="560" w:firstLine="0"/>
      </w:pPr>
      <w:rPr>
        <w:rFonts w:hint="eastAsia"/>
      </w:rPr>
    </w:lvl>
  </w:abstractNum>
  <w:abstractNum w:abstractNumId="1">
    <w:nsid w:val="00000008"/>
    <w:multiLevelType w:val="singleLevel"/>
    <w:tmpl w:val="00000008"/>
    <w:lvl w:ilvl="0" w:tentative="0">
      <w:start w:val="3"/>
      <w:numFmt w:val="chineseCounting"/>
      <w:suff w:val="nothing"/>
      <w:lvlText w:val="%1、"/>
      <w:lvlJc w:val="left"/>
    </w:lvl>
  </w:abstractNum>
  <w:abstractNum w:abstractNumId="2">
    <w:nsid w:val="450C0BE6"/>
    <w:multiLevelType w:val="multilevel"/>
    <w:tmpl w:val="450C0BE6"/>
    <w:lvl w:ilvl="0" w:tentative="0">
      <w:start w:val="1"/>
      <w:numFmt w:val="chineseCounting"/>
      <w:pStyle w:val="2"/>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pStyle w:val="4"/>
      <w:isLgl/>
      <w:lvlText w:val="%1.%2.%3."/>
      <w:lvlJc w:val="left"/>
      <w:pPr>
        <w:ind w:left="709" w:hanging="709"/>
      </w:pPr>
      <w:rPr>
        <w:rFonts w:hint="eastAsia"/>
      </w:rPr>
    </w:lvl>
    <w:lvl w:ilvl="3" w:tentative="0">
      <w:start w:val="1"/>
      <w:numFmt w:val="decimal"/>
      <w:pStyle w:val="5"/>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3261D9"/>
    <w:rsid w:val="149803FF"/>
    <w:rsid w:val="181F765F"/>
    <w:rsid w:val="254820D7"/>
    <w:rsid w:val="280430C8"/>
    <w:rsid w:val="2F673A0C"/>
    <w:rsid w:val="51B84A56"/>
    <w:rsid w:val="577D0987"/>
    <w:rsid w:val="58237526"/>
    <w:rsid w:val="5A7A2F5C"/>
    <w:rsid w:val="65876813"/>
    <w:rsid w:val="66CD24A8"/>
    <w:rsid w:val="67022282"/>
    <w:rsid w:val="6E7A77B9"/>
    <w:rsid w:val="6ED23C3F"/>
    <w:rsid w:val="6F0313FC"/>
    <w:rsid w:val="7D2B3835"/>
    <w:rsid w:val="7F401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keepLines/>
      <w:numPr>
        <w:ilvl w:val="0"/>
        <w:numId w:val="1"/>
      </w:numPr>
      <w:spacing w:before="340" w:beforeLines="0" w:after="330" w:afterLines="0" w:line="576" w:lineRule="auto"/>
      <w:ind w:left="425" w:hanging="425" w:firstLineChars="0"/>
      <w:jc w:val="center"/>
      <w:outlineLvl w:val="0"/>
    </w:pPr>
    <w:rPr>
      <w:rFonts w:ascii="Times New Roman" w:hAnsi="Times New Roman" w:eastAsia="宋体" w:cs="Times New Roman"/>
      <w:b/>
      <w:kern w:val="44"/>
      <w:sz w:val="44"/>
      <w:szCs w:val="22"/>
    </w:rPr>
  </w:style>
  <w:style w:type="paragraph" w:styleId="3">
    <w:name w:val="heading 2"/>
    <w:basedOn w:val="1"/>
    <w:next w:val="1"/>
    <w:link w:val="13"/>
    <w:semiHidden/>
    <w:unhideWhenUsed/>
    <w:qFormat/>
    <w:uiPriority w:val="0"/>
    <w:pPr>
      <w:keepNext/>
      <w:keepLines/>
      <w:spacing w:line="360" w:lineRule="auto"/>
      <w:ind w:firstLine="0" w:firstLineChars="0"/>
      <w:jc w:val="center"/>
      <w:outlineLvl w:val="1"/>
    </w:pPr>
    <w:rPr>
      <w:rFonts w:ascii="Arial" w:hAnsi="Arial" w:eastAsia="仿宋"/>
      <w:b/>
      <w:bCs/>
      <w:sz w:val="28"/>
      <w:szCs w:val="32"/>
    </w:rPr>
  </w:style>
  <w:style w:type="paragraph" w:styleId="4">
    <w:name w:val="heading 3"/>
    <w:basedOn w:val="1"/>
    <w:next w:val="1"/>
    <w:link w:val="14"/>
    <w:semiHidden/>
    <w:unhideWhenUsed/>
    <w:qFormat/>
    <w:uiPriority w:val="0"/>
    <w:pPr>
      <w:keepNext/>
      <w:keepLines/>
      <w:numPr>
        <w:ilvl w:val="2"/>
        <w:numId w:val="1"/>
      </w:numPr>
      <w:autoSpaceDE w:val="0"/>
      <w:autoSpaceDN w:val="0"/>
      <w:spacing w:before="120" w:beforeLines="0" w:beforeAutospacing="0" w:after="120" w:afterLines="0" w:afterAutospacing="0" w:line="240" w:lineRule="auto"/>
      <w:ind w:left="709" w:hanging="709" w:firstLineChars="0"/>
      <w:jc w:val="center"/>
      <w:outlineLvl w:val="2"/>
    </w:pPr>
    <w:rPr>
      <w:rFonts w:ascii="Times New Roman" w:hAnsi="Times New Roman" w:eastAsia="宋体" w:cs="Times New Roman"/>
      <w:b/>
      <w:sz w:val="24"/>
      <w:szCs w:val="20"/>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Normal Indent"/>
    <w:basedOn w:val="1"/>
    <w:next w:val="7"/>
    <w:qFormat/>
    <w:uiPriority w:val="0"/>
    <w:pPr>
      <w:ind w:firstLine="420"/>
    </w:pPr>
    <w:rPr>
      <w:rFonts w:ascii="Times New Roman" w:hAnsi="Times New Roman" w:eastAsia="宋体" w:cs="Times New Roman"/>
      <w:szCs w:val="20"/>
    </w:rPr>
  </w:style>
  <w:style w:type="paragraph" w:styleId="7">
    <w:name w:val="Body Text"/>
    <w:basedOn w:val="1"/>
    <w:qFormat/>
    <w:uiPriority w:val="0"/>
    <w:pPr>
      <w:spacing w:after="120" w:afterLines="0" w:afterAutospacing="0"/>
    </w:pPr>
  </w:style>
  <w:style w:type="paragraph" w:styleId="8">
    <w:name w:val="footer"/>
    <w:basedOn w:val="1"/>
    <w:qFormat/>
    <w:uiPriority w:val="0"/>
    <w:pPr>
      <w:tabs>
        <w:tab w:val="center" w:pos="4153"/>
        <w:tab w:val="right" w:pos="8306"/>
      </w:tabs>
      <w:snapToGrid w:val="0"/>
      <w:jc w:val="left"/>
    </w:pPr>
    <w:rPr>
      <w:rFonts w:ascii="Times New Roman" w:hAnsi="Times New Roman" w:eastAsia="宋体" w:cs="Times New Roman"/>
      <w:kern w:val="2"/>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1"/>
    <w:next w:val="7"/>
    <w:qFormat/>
    <w:uiPriority w:val="0"/>
    <w:pPr>
      <w:widowControl/>
      <w:ind w:firstLine="420" w:firstLineChars="200"/>
      <w:jc w:val="left"/>
    </w:pPr>
    <w:rPr>
      <w:rFonts w:ascii="宋体" w:hAnsi="宋体" w:eastAsia="宋体" w:cs="Times New Roman"/>
      <w:sz w:val="20"/>
    </w:rPr>
  </w:style>
  <w:style w:type="character" w:customStyle="1" w:styleId="13">
    <w:name w:val="标题 2 字符"/>
    <w:link w:val="3"/>
    <w:qFormat/>
    <w:uiPriority w:val="9"/>
    <w:rPr>
      <w:rFonts w:ascii="Arial" w:hAnsi="Arial" w:eastAsia="仿宋"/>
      <w:b/>
      <w:bCs/>
      <w:kern w:val="2"/>
      <w:sz w:val="28"/>
      <w:szCs w:val="32"/>
      <w:lang w:bidi="ar-SA"/>
    </w:rPr>
  </w:style>
  <w:style w:type="character" w:customStyle="1" w:styleId="14">
    <w:name w:val="标题 3 字符"/>
    <w:link w:val="4"/>
    <w:qFormat/>
    <w:uiPriority w:val="0"/>
    <w:rPr>
      <w:rFonts w:ascii="Times New Roman" w:hAnsi="Times New Roman" w:eastAsia="宋体" w:cs="Times New Roman"/>
      <w:b/>
      <w:sz w:val="24"/>
      <w:szCs w:val="20"/>
    </w:rPr>
  </w:style>
  <w:style w:type="character" w:customStyle="1" w:styleId="15">
    <w:name w:val="标题 1 字符"/>
    <w:link w:val="2"/>
    <w:qFormat/>
    <w:uiPriority w:val="0"/>
    <w:rPr>
      <w:rFonts w:ascii="Times New Roman" w:hAnsi="Times New Roman" w:eastAsia="宋体" w:cs="Times New Roman"/>
      <w:b/>
      <w:bCs/>
      <w:kern w:val="44"/>
      <w:sz w:val="30"/>
      <w:szCs w:val="22"/>
      <w:lang w:bidi="ar-SA"/>
    </w:rPr>
  </w:style>
  <w:style w:type="character" w:customStyle="1" w:styleId="16">
    <w:name w:val="NormalCharacter"/>
    <w:qFormat/>
    <w:uiPriority w:val="0"/>
    <w:rPr>
      <w:rFonts w:ascii="宋体" w:hAnsi="Times New Roman" w:eastAsia="宋体" w:cs="Times New Roman"/>
      <w:sz w:val="24"/>
      <w:lang w:val="en-US" w:eastAsia="zh-CN" w:bidi="ar-SA"/>
    </w:rPr>
  </w:style>
  <w:style w:type="character" w:customStyle="1" w:styleId="17">
    <w:name w:val="font11"/>
    <w:basedOn w:val="12"/>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2023-09-09T23:42:00Z</dcterms:created>
  <dc:creator>Administrator</dc:creator>
  <cp:lastModifiedBy>11</cp:lastModifiedBy>
  <dcterms:modified xsi:type="dcterms:W3CDTF">2025-12-20T05:58:10Z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27BAD507C0B046979146846F9AB0994B_12</vt:lpwstr>
  </property>
  <property fmtid="{D5CDD505-2E9C-101B-9397-08002B2CF9AE}" pid="4" name="KSOTemplateDocerSaveRecord">
    <vt:lpwstr>eyJoZGlkIjoiZjZhY2FlNGJmMGE5MzJkOTcwYTBiNzNkZTYzOTU4NmUiLCJ1c2VySWQiOiI0NDE2MjE4NTYifQ==</vt:lpwstr>
  </property>
</Properties>
</file>