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版本号：JJX-2026-01020260313001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教学楼维修改造项目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JJX-2026-010</w:t>
      </w:r>
      <w:r>
        <w:br/>
      </w:r>
      <w:r>
        <w:br/>
      </w:r>
      <w:r>
        <w:br/>
      </w:r>
    </w:p>
    <w:p>
      <w:pPr>
        <w:pStyle w:val="null3"/>
        <w:jc w:val="center"/>
        <w:outlineLvl w:val="2"/>
      </w:pPr>
      <w:r>
        <w:rPr>
          <w:rFonts w:ascii="仿宋_GB2312" w:hAnsi="仿宋_GB2312" w:cs="仿宋_GB2312" w:eastAsia="仿宋_GB2312"/>
          <w:sz w:val="28"/>
          <w:b/>
        </w:rPr>
        <w:t>渭南高新区第三小学</w:t>
      </w:r>
    </w:p>
    <w:p>
      <w:pPr>
        <w:pStyle w:val="null3"/>
        <w:jc w:val="center"/>
        <w:outlineLvl w:val="2"/>
      </w:pPr>
      <w:r>
        <w:rPr>
          <w:rFonts w:ascii="仿宋_GB2312" w:hAnsi="仿宋_GB2312" w:cs="仿宋_GB2312" w:eastAsia="仿宋_GB2312"/>
          <w:sz w:val="28"/>
          <w:b/>
        </w:rPr>
        <w:t>陕西金吉翔项目管理有限公司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陕西金吉翔项目管理有限公司</w:t>
      </w:r>
      <w:r>
        <w:rPr>
          <w:rFonts w:ascii="仿宋_GB2312" w:hAnsi="仿宋_GB2312" w:cs="仿宋_GB2312" w:eastAsia="仿宋_GB2312"/>
        </w:rPr>
        <w:t>（以下简称“代理机构”）受</w:t>
      </w:r>
      <w:r>
        <w:rPr>
          <w:rFonts w:ascii="仿宋_GB2312" w:hAnsi="仿宋_GB2312" w:cs="仿宋_GB2312" w:eastAsia="仿宋_GB2312"/>
        </w:rPr>
        <w:t>渭南高新区第三小学</w:t>
      </w:r>
      <w:r>
        <w:rPr>
          <w:rFonts w:ascii="仿宋_GB2312" w:hAnsi="仿宋_GB2312" w:cs="仿宋_GB2312" w:eastAsia="仿宋_GB2312"/>
        </w:rPr>
        <w:t>委托，拟对</w:t>
      </w:r>
      <w:r>
        <w:rPr>
          <w:rFonts w:ascii="仿宋_GB2312" w:hAnsi="仿宋_GB2312" w:cs="仿宋_GB2312" w:eastAsia="仿宋_GB2312"/>
        </w:rPr>
        <w:t>教学楼维修改造项目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JJX-2026-010</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教学楼维修改造项目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渭南高新区第三小学教学楼维修改造项目，具体详见工程量清单。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采购包1（教学楼维修改造项目）：属于专门面向中小企业采购。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用中国网、中国执行公开网和中国政府采购网查询情况：供应商未被《信用中国》（网站：www.creditchina.gov.cn)列入重大税收违法失信主体、未被《中国执行信息公开网》（网站：http://zxgk.court.gov.cn/shixin/)列入失信被执行人及未被《中国政府采购网》（网站：www.ccgp.gov.cn）列入政府采购严重违法失信行为记录名单。</w:t>
      </w:r>
    </w:p>
    <w:p>
      <w:pPr>
        <w:pStyle w:val="null3"/>
      </w:pPr>
      <w:r>
        <w:rPr>
          <w:rFonts w:ascii="仿宋_GB2312" w:hAnsi="仿宋_GB2312" w:cs="仿宋_GB2312" w:eastAsia="仿宋_GB2312"/>
        </w:rPr>
        <w:t>2、法人证明或法人授权委托书：法定代表人资格证明或法定代表人授权委托书原件、授权代表身份证复印件。</w:t>
      </w:r>
    </w:p>
    <w:p>
      <w:pPr>
        <w:pStyle w:val="null3"/>
      </w:pPr>
      <w:r>
        <w:rPr>
          <w:rFonts w:ascii="仿宋_GB2312" w:hAnsi="仿宋_GB2312" w:cs="仿宋_GB2312" w:eastAsia="仿宋_GB2312"/>
        </w:rPr>
        <w:t>3、企业资质：供应商须具备建筑工程施工总承包三级及以上资质且具有有效的安全生产许可证。</w:t>
      </w:r>
    </w:p>
    <w:p>
      <w:pPr>
        <w:pStyle w:val="null3"/>
      </w:pPr>
      <w:r>
        <w:rPr>
          <w:rFonts w:ascii="仿宋_GB2312" w:hAnsi="仿宋_GB2312" w:cs="仿宋_GB2312" w:eastAsia="仿宋_GB2312"/>
        </w:rPr>
        <w:t>4、供应商及项目经理在陕西省建设厅备案情况：供应商及项目经理基本信息在“陕西省建筑市场监管与诚信信息发布平台”可查询。</w:t>
      </w:r>
    </w:p>
    <w:p>
      <w:pPr>
        <w:pStyle w:val="null3"/>
      </w:pPr>
      <w:r>
        <w:rPr>
          <w:rFonts w:ascii="仿宋_GB2312" w:hAnsi="仿宋_GB2312" w:cs="仿宋_GB2312" w:eastAsia="仿宋_GB2312"/>
        </w:rPr>
        <w:t>5、拟派项目经理资质和专业要求。：拟派项目经理具有建筑工程专业二级及以上注册建造师，并具有合格有效的安全生产考核合格证（B证），且未担任其他在建项目的项目经理（须提供无在建工程承诺书）。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渭南高新区第三小学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胜利大街与新区东路十字</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黄林鹏</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0913-3109980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陕西金吉翔项目管理有限公司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陕西省渭南市临渭区豪庭家苑南门东临商铺四层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尹福瑛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0913-2529777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高新区政府采购管理股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贺老师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0913-2111101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采购包1：2,620,000.00元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国家发展改革委关于进一步放开建设项目专业服务价格的通知》（发改价格﹝2015﹞299号）的要求，参照国家计委关于印发《招标代理服务收费管理暂行办法》的通知（计价格〔2002〕1980号）以成交价为基数，按照工程类费率收取代理服务费。由成交供应商在成交结果发布后一次性向采购代理机构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渭南高新区第三小学</w:t>
      </w:r>
      <w:r>
        <w:rPr>
          <w:rFonts w:ascii="仿宋_GB2312" w:hAnsi="仿宋_GB2312" w:cs="仿宋_GB2312" w:eastAsia="仿宋_GB2312"/>
        </w:rPr>
        <w:t>和</w:t>
      </w:r>
      <w:r>
        <w:rPr>
          <w:rFonts w:ascii="仿宋_GB2312" w:hAnsi="仿宋_GB2312" w:cs="仿宋_GB2312" w:eastAsia="仿宋_GB2312"/>
        </w:rPr>
        <w:t>陕西金吉翔项目管理有限公司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渭南高新区第三小学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陕西金吉翔项目管理有限公司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渭南高新区第三小学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陕西金吉翔项目管理有限公司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1、本工程应按工程量清单及磋商文件全部内容完成。 2、本工程验收标准应符合国家相关工程管理规定及行业标准。 3、依据磋商文件及成交人响应文件及签证单等文件内容进行验收。</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陕西金吉翔项目管理有限公司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陕西金吉翔项目管理有限公司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陕西金吉翔项目管理有限公司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联系人：尹福瑛</w:t>
      </w:r>
    </w:p>
    <w:p>
      <w:pPr>
        <w:pStyle w:val="null3"/>
      </w:pPr>
      <w:r>
        <w:rPr>
          <w:rFonts w:ascii="仿宋_GB2312" w:hAnsi="仿宋_GB2312" w:cs="仿宋_GB2312" w:eastAsia="仿宋_GB2312"/>
        </w:rPr>
        <w:t>联系电话：0913-2529777</w:t>
      </w:r>
    </w:p>
    <w:p>
      <w:pPr>
        <w:pStyle w:val="null3"/>
      </w:pPr>
      <w:r>
        <w:rPr>
          <w:rFonts w:ascii="仿宋_GB2312" w:hAnsi="仿宋_GB2312" w:cs="仿宋_GB2312" w:eastAsia="仿宋_GB2312"/>
        </w:rPr>
        <w:t>地址：陕西省渭南市临渭区豪庭家苑南门东临商铺四层</w:t>
      </w:r>
    </w:p>
    <w:p>
      <w:pPr>
        <w:pStyle w:val="null3"/>
      </w:pPr>
      <w:r>
        <w:rPr>
          <w:rFonts w:ascii="仿宋_GB2312" w:hAnsi="仿宋_GB2312" w:cs="仿宋_GB2312" w:eastAsia="仿宋_GB2312"/>
        </w:rPr>
        <w:t>邮编：/</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2,620,000.00</w:t>
      </w:r>
    </w:p>
    <w:p>
      <w:pPr>
        <w:pStyle w:val="null3"/>
      </w:pPr>
      <w:r>
        <w:rPr>
          <w:rFonts w:ascii="仿宋_GB2312" w:hAnsi="仿宋_GB2312" w:cs="仿宋_GB2312" w:eastAsia="仿宋_GB2312"/>
        </w:rPr>
        <w:t>采购包最高限价（元）: 2,476,010.01</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渭南高新区第三小学教学楼维修改造项目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2,620,000.00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标的名称：渭南高新区第三小学教学楼维修改造项目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4"/>
              </w:rPr>
              <w:t xml:space="preserve">   一、工程概况：</w:t>
            </w:r>
          </w:p>
          <w:p>
            <w:pPr>
              <w:pStyle w:val="null3"/>
              <w:ind w:firstLine="560"/>
              <w:jc w:val="left"/>
            </w:pPr>
            <w:r>
              <w:rPr>
                <w:rFonts w:ascii="仿宋_GB2312" w:hAnsi="仿宋_GB2312" w:cs="仿宋_GB2312" w:eastAsia="仿宋_GB2312"/>
                <w:sz w:val="24"/>
              </w:rPr>
              <w:t>建设内容为：新建铁艺围墙、防水的铲除及恢复，石材的铲除及恢复、路面的破除及恢复、检查井的拆除</w:t>
            </w:r>
            <w:r>
              <w:rPr>
                <w:rFonts w:ascii="仿宋_GB2312" w:hAnsi="仿宋_GB2312" w:cs="仿宋_GB2312" w:eastAsia="仿宋_GB2312"/>
                <w:sz w:val="24"/>
              </w:rPr>
              <w:t>及新做、车库涂料和自流平铲除及恢复、建筑智能化改造、卫生间改造及室内外零星维修改造等</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 xml:space="preserve">   二、编制依据</w:t>
            </w:r>
          </w:p>
          <w:p>
            <w:pPr>
              <w:pStyle w:val="null3"/>
              <w:ind w:firstLine="560"/>
              <w:jc w:val="both"/>
            </w:pPr>
            <w:r>
              <w:rPr>
                <w:rFonts w:ascii="仿宋_GB2312" w:hAnsi="仿宋_GB2312" w:cs="仿宋_GB2312" w:eastAsia="仿宋_GB2312"/>
                <w:sz w:val="24"/>
              </w:rPr>
              <w:t>1、陕西省建设厅《陕西省建设工程</w:t>
            </w:r>
            <w:r>
              <w:rPr>
                <w:rFonts w:ascii="仿宋_GB2312" w:hAnsi="仿宋_GB2312" w:cs="仿宋_GB2312" w:eastAsia="仿宋_GB2312"/>
                <w:sz w:val="24"/>
              </w:rPr>
              <w:t>费用</w:t>
            </w:r>
            <w:r>
              <w:rPr>
                <w:rFonts w:ascii="仿宋_GB2312" w:hAnsi="仿宋_GB2312" w:cs="仿宋_GB2312" w:eastAsia="仿宋_GB2312"/>
                <w:sz w:val="24"/>
              </w:rPr>
              <w:t>规则（</w:t>
            </w:r>
            <w:r>
              <w:rPr>
                <w:rFonts w:ascii="仿宋_GB2312" w:hAnsi="仿宋_GB2312" w:cs="仿宋_GB2312" w:eastAsia="仿宋_GB2312"/>
                <w:sz w:val="24"/>
              </w:rPr>
              <w:t>20</w:t>
            </w:r>
            <w:r>
              <w:rPr>
                <w:rFonts w:ascii="仿宋_GB2312" w:hAnsi="仿宋_GB2312" w:cs="仿宋_GB2312" w:eastAsia="仿宋_GB2312"/>
                <w:sz w:val="24"/>
              </w:rPr>
              <w:t>25</w:t>
            </w:r>
            <w:r>
              <w:rPr>
                <w:rFonts w:ascii="仿宋_GB2312" w:hAnsi="仿宋_GB2312" w:cs="仿宋_GB2312" w:eastAsia="仿宋_GB2312"/>
                <w:sz w:val="24"/>
              </w:rPr>
              <w:t>）》；</w:t>
            </w:r>
          </w:p>
          <w:p>
            <w:pPr>
              <w:pStyle w:val="null3"/>
              <w:ind w:firstLine="560"/>
              <w:jc w:val="both"/>
            </w:pPr>
            <w:r>
              <w:rPr>
                <w:rFonts w:ascii="仿宋_GB2312" w:hAnsi="仿宋_GB2312" w:cs="仿宋_GB2312" w:eastAsia="仿宋_GB2312"/>
                <w:sz w:val="24"/>
              </w:rPr>
              <w:t>2</w:t>
            </w:r>
            <w:r>
              <w:rPr>
                <w:rFonts w:ascii="仿宋_GB2312" w:hAnsi="仿宋_GB2312" w:cs="仿宋_GB2312" w:eastAsia="仿宋_GB2312"/>
                <w:sz w:val="24"/>
              </w:rPr>
              <w:t>、现行相关的专业工程施工质量验收规范、标准、规定以及正常的施工组织，施工工艺等</w:t>
            </w:r>
            <w:r>
              <w:rPr>
                <w:rFonts w:ascii="仿宋_GB2312" w:hAnsi="仿宋_GB2312" w:cs="仿宋_GB2312" w:eastAsia="仿宋_GB2312"/>
                <w:sz w:val="24"/>
              </w:rPr>
              <w:t>;</w:t>
            </w:r>
          </w:p>
          <w:p>
            <w:pPr>
              <w:pStyle w:val="null3"/>
              <w:ind w:firstLine="560"/>
              <w:jc w:val="both"/>
            </w:pPr>
            <w:r>
              <w:rPr>
                <w:rFonts w:ascii="仿宋_GB2312" w:hAnsi="仿宋_GB2312" w:cs="仿宋_GB2312" w:eastAsia="仿宋_GB2312"/>
                <w:sz w:val="24"/>
              </w:rPr>
              <w:t>3</w:t>
            </w:r>
            <w:r>
              <w:rPr>
                <w:rFonts w:ascii="仿宋_GB2312" w:hAnsi="仿宋_GB2312" w:cs="仿宋_GB2312" w:eastAsia="仿宋_GB2312"/>
                <w:sz w:val="24"/>
              </w:rPr>
              <w:t>、《陕西省</w:t>
            </w:r>
            <w:r>
              <w:rPr>
                <w:rFonts w:ascii="仿宋_GB2312" w:hAnsi="仿宋_GB2312" w:cs="仿宋_GB2312" w:eastAsia="仿宋_GB2312"/>
                <w:sz w:val="24"/>
              </w:rPr>
              <w:t>房屋建筑与装饰</w:t>
            </w:r>
            <w:r>
              <w:rPr>
                <w:rFonts w:ascii="仿宋_GB2312" w:hAnsi="仿宋_GB2312" w:cs="仿宋_GB2312" w:eastAsia="仿宋_GB2312"/>
                <w:sz w:val="24"/>
              </w:rPr>
              <w:t>工程消耗量定额》（</w:t>
            </w:r>
            <w:r>
              <w:rPr>
                <w:rFonts w:ascii="仿宋_GB2312" w:hAnsi="仿宋_GB2312" w:cs="仿宋_GB2312" w:eastAsia="仿宋_GB2312"/>
                <w:sz w:val="24"/>
              </w:rPr>
              <w:t>20</w:t>
            </w:r>
            <w:r>
              <w:rPr>
                <w:rFonts w:ascii="仿宋_GB2312" w:hAnsi="仿宋_GB2312" w:cs="仿宋_GB2312" w:eastAsia="仿宋_GB2312"/>
                <w:sz w:val="24"/>
              </w:rPr>
              <w:t>25</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《陕西省</w:t>
            </w:r>
            <w:r>
              <w:rPr>
                <w:rFonts w:ascii="仿宋_GB2312" w:hAnsi="仿宋_GB2312" w:cs="仿宋_GB2312" w:eastAsia="仿宋_GB2312"/>
                <w:sz w:val="24"/>
              </w:rPr>
              <w:t>通用安装</w:t>
            </w:r>
            <w:r>
              <w:rPr>
                <w:rFonts w:ascii="仿宋_GB2312" w:hAnsi="仿宋_GB2312" w:cs="仿宋_GB2312" w:eastAsia="仿宋_GB2312"/>
                <w:sz w:val="24"/>
              </w:rPr>
              <w:t>工程消耗量定额》（</w:t>
            </w:r>
            <w:r>
              <w:rPr>
                <w:rFonts w:ascii="仿宋_GB2312" w:hAnsi="仿宋_GB2312" w:cs="仿宋_GB2312" w:eastAsia="仿宋_GB2312"/>
                <w:sz w:val="24"/>
              </w:rPr>
              <w:t>20</w:t>
            </w:r>
            <w:r>
              <w:rPr>
                <w:rFonts w:ascii="仿宋_GB2312" w:hAnsi="仿宋_GB2312" w:cs="仿宋_GB2312" w:eastAsia="仿宋_GB2312"/>
                <w:sz w:val="24"/>
              </w:rPr>
              <w:t>25</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《陕西省建设工程施工机械台班费用定额》（</w:t>
            </w:r>
            <w:r>
              <w:rPr>
                <w:rFonts w:ascii="仿宋_GB2312" w:hAnsi="仿宋_GB2312" w:cs="仿宋_GB2312" w:eastAsia="仿宋_GB2312"/>
                <w:sz w:val="24"/>
              </w:rPr>
              <w:t>20</w:t>
            </w:r>
            <w:r>
              <w:rPr>
                <w:rFonts w:ascii="仿宋_GB2312" w:hAnsi="仿宋_GB2312" w:cs="仿宋_GB2312" w:eastAsia="仿宋_GB2312"/>
                <w:sz w:val="24"/>
              </w:rPr>
              <w:t>25</w:t>
            </w:r>
            <w:r>
              <w:rPr>
                <w:rFonts w:ascii="仿宋_GB2312" w:hAnsi="仿宋_GB2312" w:cs="仿宋_GB2312" w:eastAsia="仿宋_GB2312"/>
                <w:sz w:val="24"/>
              </w:rPr>
              <w:t>）；</w:t>
            </w:r>
          </w:p>
          <w:p>
            <w:pPr>
              <w:pStyle w:val="null3"/>
              <w:ind w:firstLine="560"/>
              <w:jc w:val="both"/>
            </w:pPr>
            <w:r>
              <w:rPr>
                <w:rFonts w:ascii="仿宋_GB2312" w:hAnsi="仿宋_GB2312" w:cs="仿宋_GB2312" w:eastAsia="仿宋_GB2312"/>
                <w:sz w:val="24"/>
              </w:rPr>
              <w:t>4</w:t>
            </w:r>
            <w:r>
              <w:rPr>
                <w:rFonts w:ascii="仿宋_GB2312" w:hAnsi="仿宋_GB2312" w:cs="仿宋_GB2312" w:eastAsia="仿宋_GB2312"/>
                <w:sz w:val="24"/>
              </w:rPr>
              <w:t>、《陕西省房屋建筑与装饰工程基价表》（</w:t>
            </w:r>
            <w:r>
              <w:rPr>
                <w:rFonts w:ascii="仿宋_GB2312" w:hAnsi="仿宋_GB2312" w:cs="仿宋_GB2312" w:eastAsia="仿宋_GB2312"/>
                <w:sz w:val="24"/>
              </w:rPr>
              <w:t>20</w:t>
            </w:r>
            <w:r>
              <w:rPr>
                <w:rFonts w:ascii="仿宋_GB2312" w:hAnsi="仿宋_GB2312" w:cs="仿宋_GB2312" w:eastAsia="仿宋_GB2312"/>
                <w:sz w:val="24"/>
              </w:rPr>
              <w:t>25</w:t>
            </w:r>
            <w:r>
              <w:rPr>
                <w:rFonts w:ascii="仿宋_GB2312" w:hAnsi="仿宋_GB2312" w:cs="仿宋_GB2312" w:eastAsia="仿宋_GB2312"/>
                <w:sz w:val="24"/>
              </w:rPr>
              <w:t>）</w:t>
            </w:r>
            <w:r>
              <w:rPr>
                <w:rFonts w:ascii="仿宋_GB2312" w:hAnsi="仿宋_GB2312" w:cs="仿宋_GB2312" w:eastAsia="仿宋_GB2312"/>
                <w:sz w:val="24"/>
              </w:rPr>
              <w:t>、《陕西省通用安装工程基价表》（</w:t>
            </w:r>
            <w:r>
              <w:rPr>
                <w:rFonts w:ascii="仿宋_GB2312" w:hAnsi="仿宋_GB2312" w:cs="仿宋_GB2312" w:eastAsia="仿宋_GB2312"/>
                <w:sz w:val="24"/>
              </w:rPr>
              <w:t>2</w:t>
            </w:r>
            <w:r>
              <w:rPr>
                <w:rFonts w:ascii="仿宋_GB2312" w:hAnsi="仿宋_GB2312" w:cs="仿宋_GB2312" w:eastAsia="仿宋_GB2312"/>
                <w:sz w:val="24"/>
              </w:rPr>
              <w:t>025</w:t>
            </w:r>
            <w:r>
              <w:rPr>
                <w:rFonts w:ascii="仿宋_GB2312" w:hAnsi="仿宋_GB2312" w:cs="仿宋_GB2312" w:eastAsia="仿宋_GB2312"/>
                <w:sz w:val="24"/>
              </w:rPr>
              <w:t>）；</w:t>
            </w:r>
          </w:p>
          <w:p>
            <w:pPr>
              <w:pStyle w:val="null3"/>
              <w:ind w:firstLine="560"/>
              <w:jc w:val="both"/>
            </w:pPr>
            <w:r>
              <w:rPr>
                <w:rFonts w:ascii="仿宋_GB2312" w:hAnsi="仿宋_GB2312" w:cs="仿宋_GB2312" w:eastAsia="仿宋_GB2312"/>
                <w:sz w:val="24"/>
              </w:rPr>
              <w:t>5</w:t>
            </w:r>
            <w:r>
              <w:rPr>
                <w:rFonts w:ascii="仿宋_GB2312" w:hAnsi="仿宋_GB2312" w:cs="仿宋_GB2312" w:eastAsia="仿宋_GB2312"/>
                <w:sz w:val="24"/>
              </w:rPr>
              <w:t>、材料价格依据《</w:t>
            </w:r>
            <w:r>
              <w:rPr>
                <w:rFonts w:ascii="仿宋_GB2312" w:hAnsi="仿宋_GB2312" w:cs="仿宋_GB2312" w:eastAsia="仿宋_GB2312"/>
                <w:sz w:val="24"/>
              </w:rPr>
              <w:t>渭南</w:t>
            </w:r>
            <w:r>
              <w:rPr>
                <w:rFonts w:ascii="仿宋_GB2312" w:hAnsi="仿宋_GB2312" w:cs="仿宋_GB2312" w:eastAsia="仿宋_GB2312"/>
                <w:sz w:val="24"/>
              </w:rPr>
              <w:t>市工程造价信息》</w:t>
            </w:r>
            <w:r>
              <w:rPr>
                <w:rFonts w:ascii="仿宋_GB2312" w:hAnsi="仿宋_GB2312" w:cs="仿宋_GB2312" w:eastAsia="仿宋_GB2312"/>
                <w:sz w:val="24"/>
              </w:rPr>
              <w:t>2025年第五期并结合当地市场价</w:t>
            </w:r>
            <w:r>
              <w:rPr>
                <w:rFonts w:ascii="仿宋_GB2312" w:hAnsi="仿宋_GB2312" w:cs="仿宋_GB2312" w:eastAsia="仿宋_GB2312"/>
                <w:sz w:val="24"/>
              </w:rPr>
              <w:t>；</w:t>
            </w:r>
          </w:p>
          <w:p>
            <w:pPr>
              <w:pStyle w:val="null3"/>
              <w:ind w:firstLine="560"/>
              <w:jc w:val="both"/>
            </w:pPr>
            <w:r>
              <w:rPr>
                <w:rFonts w:ascii="仿宋_GB2312" w:hAnsi="仿宋_GB2312" w:cs="仿宋_GB2312" w:eastAsia="仿宋_GB2312"/>
                <w:sz w:val="24"/>
              </w:rPr>
              <w:t>6</w:t>
            </w:r>
            <w:r>
              <w:rPr>
                <w:rFonts w:ascii="仿宋_GB2312" w:hAnsi="仿宋_GB2312" w:cs="仿宋_GB2312" w:eastAsia="仿宋_GB2312"/>
                <w:sz w:val="24"/>
              </w:rPr>
              <w:t>、</w:t>
            </w:r>
            <w:r>
              <w:rPr>
                <w:rFonts w:ascii="仿宋_GB2312" w:hAnsi="仿宋_GB2312" w:cs="仿宋_GB2312" w:eastAsia="仿宋_GB2312"/>
                <w:sz w:val="24"/>
              </w:rPr>
              <w:t>计税方式为增值税（一般计税方法），税率按</w:t>
            </w:r>
            <w:r>
              <w:rPr>
                <w:rFonts w:ascii="仿宋_GB2312" w:hAnsi="仿宋_GB2312" w:cs="仿宋_GB2312" w:eastAsia="仿宋_GB2312"/>
                <w:sz w:val="24"/>
              </w:rPr>
              <w:t>9%计算。</w:t>
            </w:r>
          </w:p>
          <w:p>
            <w:pPr>
              <w:pStyle w:val="null3"/>
              <w:ind w:firstLine="560"/>
            </w:pPr>
            <w:r>
              <w:rPr>
                <w:rFonts w:ascii="仿宋_GB2312" w:hAnsi="仿宋_GB2312" w:cs="仿宋_GB2312" w:eastAsia="仿宋_GB2312"/>
                <w:sz w:val="24"/>
              </w:rPr>
              <w:t>三、其</w:t>
            </w:r>
            <w:r>
              <w:rPr>
                <w:rFonts w:ascii="仿宋_GB2312" w:hAnsi="仿宋_GB2312" w:cs="仿宋_GB2312" w:eastAsia="仿宋_GB2312"/>
                <w:sz w:val="24"/>
              </w:rPr>
              <w:t>他说明</w:t>
            </w:r>
          </w:p>
          <w:p>
            <w:pPr>
              <w:pStyle w:val="null3"/>
              <w:ind w:firstLine="560"/>
              <w:jc w:val="both"/>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广联达版本采用</w:t>
            </w:r>
            <w:r>
              <w:rPr>
                <w:rFonts w:ascii="仿宋_GB2312" w:hAnsi="仿宋_GB2312" w:cs="仿宋_GB2312" w:eastAsia="仿宋_GB2312"/>
                <w:sz w:val="24"/>
              </w:rPr>
              <w:t>7</w:t>
            </w:r>
            <w:r>
              <w:rPr>
                <w:rFonts w:ascii="仿宋_GB2312" w:hAnsi="仿宋_GB2312" w:cs="仿宋_GB2312" w:eastAsia="仿宋_GB2312"/>
                <w:sz w:val="24"/>
              </w:rPr>
              <w:t>.0版本，版本号为</w:t>
            </w:r>
            <w:r>
              <w:rPr>
                <w:rFonts w:ascii="仿宋_GB2312" w:hAnsi="仿宋_GB2312" w:cs="仿宋_GB2312" w:eastAsia="仿宋_GB2312"/>
                <w:sz w:val="24"/>
              </w:rPr>
              <w:t>7</w:t>
            </w:r>
            <w:r>
              <w:rPr>
                <w:rFonts w:ascii="仿宋_GB2312" w:hAnsi="仿宋_GB2312" w:cs="仿宋_GB2312" w:eastAsia="仿宋_GB2312"/>
                <w:sz w:val="24"/>
              </w:rPr>
              <w:t>.</w:t>
            </w:r>
            <w:r>
              <w:rPr>
                <w:rFonts w:ascii="仿宋_GB2312" w:hAnsi="仿宋_GB2312" w:cs="仿宋_GB2312" w:eastAsia="仿宋_GB2312"/>
                <w:sz w:val="24"/>
              </w:rPr>
              <w:t>50</w:t>
            </w:r>
            <w:r>
              <w:rPr>
                <w:rFonts w:ascii="仿宋_GB2312" w:hAnsi="仿宋_GB2312" w:cs="仿宋_GB2312" w:eastAsia="仿宋_GB2312"/>
                <w:sz w:val="24"/>
              </w:rPr>
              <w:t>00.23.</w:t>
            </w:r>
            <w:r>
              <w:rPr>
                <w:rFonts w:ascii="仿宋_GB2312" w:hAnsi="仿宋_GB2312" w:cs="仿宋_GB2312" w:eastAsia="仿宋_GB2312"/>
                <w:sz w:val="24"/>
              </w:rPr>
              <w:t>2</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四、工程量清单详见附件。</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满足国家及行业现行技术规范标准，符合国家及行业验收合格标准。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满足采购需求及工程量清单。</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工期：60日历天；2、工程地点：渭南高新区第三小学校内；3、已标价工程量清单应按我省最新计划规范要求，在规定位置加盖投标单位公章及投标单位造价师加盖执业资格章并由造价师签字。（如委托具有造价编制能力的咨询单位编制已标价工程量清单的，应按我省最新计价规范要求加盖编制单位造价人员或造价师加盖执业资格章及签字，同时已标价工程量清单封皮加盖投标单位公章，并附双方委托协议或委托书）。</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须具有独立承担民事责任能力的法人，并出具合法有效的营业执照；2、有依法缴纳税收和社会保障资金的良好记录：提供2025年3月1日至今任意一个月依法缴纳税收和社会保障资金的相关材料；3、具备履行合同所必需的设备和专业技术能力的证明材料：提供承诺书；4、提供参加政府采购活动前三年内在经营活动中没有重大违法记录的书面声明。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具有财务审计资质单位出具的2024年度或2025年度财务报告（含附表附注），（成立时间至开标时间不足一年的可提供成立后任意时段的资产负债表）或开标前半年内至今基本账户银行出具的资信证明（附基本账户信息）。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供应商单位负责人为同一人或者存在直接控股、管理关系的不同供应商，不得参加同一合同项下的政府采购活动；供应商需在项目电子化交易系统中按要求填写《响应函》完成承诺并进行电子签章。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供应商资格证明文件.docx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信用中国网、中国执行公开网和中国政府采购网查询情况</w:t>
            </w:r>
          </w:p>
        </w:tc>
        <w:tc>
          <w:tcPr>
            <w:tcW w:type="dxa" w:w="3322"/>
          </w:tcPr>
          <w:p>
            <w:pPr>
              <w:pStyle w:val="null3"/>
            </w:pPr>
            <w:r>
              <w:rPr>
                <w:rFonts w:ascii="仿宋_GB2312" w:hAnsi="仿宋_GB2312" w:cs="仿宋_GB2312" w:eastAsia="仿宋_GB2312"/>
              </w:rPr>
              <w:t>供应商未被《信用中国》（网站：www.creditchina.gov.cn)列入重大税收违法失信主体、未被《中国执行信息公开网》（网站：http://zxgk.court.gov.cn/shixin/)列入失信被执行人及未被《中国政府采购网》（网站：www.ccgp.gov.cn）列入政府采购严重违法失信行为记录名单。</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法人证明或法人授权委托书</w:t>
            </w:r>
          </w:p>
        </w:tc>
        <w:tc>
          <w:tcPr>
            <w:tcW w:type="dxa" w:w="3322"/>
          </w:tcPr>
          <w:p>
            <w:pPr>
              <w:pStyle w:val="null3"/>
            </w:pPr>
            <w:r>
              <w:rPr>
                <w:rFonts w:ascii="仿宋_GB2312" w:hAnsi="仿宋_GB2312" w:cs="仿宋_GB2312" w:eastAsia="仿宋_GB2312"/>
              </w:rPr>
              <w:t>法定代表人资格证明或法定代表人授权委托书原件、授权代表身份证复印件。</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供应商须具备建筑工程施工总承包三级及以上资质且具有有效的安全生产许可证。</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供应商及项目经理在陕西省建设厅备案情况</w:t>
            </w:r>
          </w:p>
        </w:tc>
        <w:tc>
          <w:tcPr>
            <w:tcW w:type="dxa" w:w="3322"/>
          </w:tcPr>
          <w:p>
            <w:pPr>
              <w:pStyle w:val="null3"/>
            </w:pPr>
            <w:r>
              <w:rPr>
                <w:rFonts w:ascii="仿宋_GB2312" w:hAnsi="仿宋_GB2312" w:cs="仿宋_GB2312" w:eastAsia="仿宋_GB2312"/>
              </w:rPr>
              <w:t>供应商及项目经理基本信息在“陕西省建筑市场监管与诚信信息发布平台”可查询。</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拟派项目经理资质和专业要求。</w:t>
            </w:r>
          </w:p>
        </w:tc>
        <w:tc>
          <w:tcPr>
            <w:tcW w:type="dxa" w:w="3322"/>
          </w:tcPr>
          <w:p>
            <w:pPr>
              <w:pStyle w:val="null3"/>
            </w:pPr>
            <w:r>
              <w:rPr>
                <w:rFonts w:ascii="仿宋_GB2312" w:hAnsi="仿宋_GB2312" w:cs="仿宋_GB2312" w:eastAsia="仿宋_GB2312"/>
              </w:rPr>
              <w:t>拟派项目经理具有建筑工程专业二级及以上注册建造师，并具有合格有效的安全生产考核合格证（B证），且未担任其他在建项目的项目经理（须提供无在建工程承诺书）。</w:t>
            </w:r>
          </w:p>
        </w:tc>
        <w:tc>
          <w:tcPr>
            <w:tcW w:type="dxa" w:w="1661"/>
          </w:tcPr>
          <w:p>
            <w:pPr>
              <w:pStyle w:val="null3"/>
            </w:pPr>
            <w:r>
              <w:rPr>
                <w:rFonts w:ascii="仿宋_GB2312" w:hAnsi="仿宋_GB2312" w:cs="仿宋_GB2312" w:eastAsia="仿宋_GB2312"/>
              </w:rPr>
              <w:t>项目管理机构组成表 供应商资格证明文件.docx 主要人员简历表</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供应商名称和公章、营业执照、资质证书的相关资料一致</w:t>
            </w:r>
          </w:p>
        </w:tc>
        <w:tc>
          <w:tcPr>
            <w:tcW w:type="dxa" w:w="1661"/>
          </w:tcPr>
          <w:p>
            <w:pPr>
              <w:pStyle w:val="null3"/>
            </w:pPr>
            <w:r>
              <w:rPr>
                <w:rFonts w:ascii="仿宋_GB2312" w:hAnsi="仿宋_GB2312" w:cs="仿宋_GB2312" w:eastAsia="仿宋_GB2312"/>
              </w:rPr>
              <w:t>响应文件封面 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竞争性磋商响应文件的签署、盖章</w:t>
            </w:r>
          </w:p>
        </w:tc>
        <w:tc>
          <w:tcPr>
            <w:tcW w:type="dxa" w:w="3322"/>
          </w:tcPr>
          <w:p>
            <w:pPr>
              <w:pStyle w:val="null3"/>
            </w:pPr>
            <w:r>
              <w:rPr>
                <w:rFonts w:ascii="仿宋_GB2312" w:hAnsi="仿宋_GB2312" w:cs="仿宋_GB2312" w:eastAsia="仿宋_GB2312"/>
              </w:rPr>
              <w:t>符合磋商文件规定签署盖章要求</w:t>
            </w:r>
          </w:p>
        </w:tc>
        <w:tc>
          <w:tcPr>
            <w:tcW w:type="dxa" w:w="1661"/>
          </w:tcPr>
          <w:p>
            <w:pPr>
              <w:pStyle w:val="null3"/>
            </w:pPr>
            <w:r>
              <w:rPr>
                <w:rFonts w:ascii="仿宋_GB2312" w:hAnsi="仿宋_GB2312" w:cs="仿宋_GB2312" w:eastAsia="仿宋_GB2312"/>
              </w:rPr>
              <w:t>已标价工程量清单 中小企业声明函 商务要求响应表.docx 响应文件封面 项目管理机构组成表 残疾人福利性单位声明函 施工方案.docx 报价函 标的清单 供应商资格证明文件.docx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唯一报价，并未超出最高限价</w:t>
            </w:r>
          </w:p>
        </w:tc>
        <w:tc>
          <w:tcPr>
            <w:tcW w:type="dxa" w:w="1661"/>
          </w:tcPr>
          <w:p>
            <w:pPr>
              <w:pStyle w:val="null3"/>
            </w:pPr>
            <w:r>
              <w:rPr>
                <w:rFonts w:ascii="仿宋_GB2312" w:hAnsi="仿宋_GB2312" w:cs="仿宋_GB2312" w:eastAsia="仿宋_GB2312"/>
              </w:rPr>
              <w:t>已标价工程量清单 报价函 标的清单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从提交首次响应文件截止之日起，不少于90天</w:t>
            </w:r>
          </w:p>
        </w:tc>
        <w:tc>
          <w:tcPr>
            <w:tcW w:type="dxa" w:w="1661"/>
          </w:tcPr>
          <w:p>
            <w:pPr>
              <w:pStyle w:val="null3"/>
            </w:pPr>
            <w:r>
              <w:rPr>
                <w:rFonts w:ascii="仿宋_GB2312" w:hAnsi="仿宋_GB2312" w:cs="仿宋_GB2312" w:eastAsia="仿宋_GB2312"/>
              </w:rPr>
              <w:t>商务要求响应表.docx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60日历天</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对磋商文件的响应程度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响应文件封面 商务要求响应表.docx 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施工部署</w:t>
            </w:r>
          </w:p>
        </w:tc>
        <w:tc>
          <w:tcPr>
            <w:tcW w:type="dxa" w:w="2492"/>
          </w:tcPr>
          <w:p>
            <w:pPr>
              <w:pStyle w:val="null3"/>
            </w:pPr>
            <w:r>
              <w:rPr>
                <w:rFonts w:ascii="仿宋_GB2312" w:hAnsi="仿宋_GB2312" w:cs="仿宋_GB2312" w:eastAsia="仿宋_GB2312"/>
              </w:rPr>
              <w:t>一、评审内容： 针对本项目提供具体可行的施工部署方案，包括但不限于：①施工目标：安全目标、工期目标、质量目标；②资源配备计划：主要施工设备、劳动力等配备计划及主材进场计划等。 二、评审标准： 提供详细、合理、科学可行的方案，方案符合本项目采购需求有针对性，以上2项，内容无缺项、无漏项且无缺陷的得6分，其中每有一项内容存在缺项或漏项的扣3分，每项内容中每有一处存在缺陷的扣1分，该项分值扣完为止，未提供不得分。 三、赋分说明： “缺陷”是指编制内容与项目不吻合、层次未细化；套用其他项目方案内容；或引用的法律法规、标准（方法）或其他规范性文件错误；或前后逻辑错误；或存在与本项目特点、采购需求无关内容的任一情形。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施工方案.docx</w:t>
            </w:r>
          </w:p>
        </w:tc>
      </w:tr>
      <w:tr>
        <w:tc>
          <w:tcPr>
            <w:tcW w:type="dxa" w:w="831"/>
            <w:vMerge/>
          </w:tcPr>
          <w:p/>
        </w:tc>
        <w:tc>
          <w:tcPr>
            <w:tcW w:type="dxa" w:w="1661"/>
          </w:tcPr>
          <w:p>
            <w:pPr>
              <w:pStyle w:val="null3"/>
            </w:pPr>
            <w:r>
              <w:rPr>
                <w:rFonts w:ascii="仿宋_GB2312" w:hAnsi="仿宋_GB2312" w:cs="仿宋_GB2312" w:eastAsia="仿宋_GB2312"/>
              </w:rPr>
              <w:t>施工措施</w:t>
            </w:r>
          </w:p>
        </w:tc>
        <w:tc>
          <w:tcPr>
            <w:tcW w:type="dxa" w:w="2492"/>
          </w:tcPr>
          <w:p>
            <w:pPr>
              <w:pStyle w:val="null3"/>
            </w:pPr>
            <w:r>
              <w:rPr>
                <w:rFonts w:ascii="仿宋_GB2312" w:hAnsi="仿宋_GB2312" w:cs="仿宋_GB2312" w:eastAsia="仿宋_GB2312"/>
              </w:rPr>
              <w:t>一、评审内容： 针对本项目提供具体可行的施工措施，包括但不限于：①工程重难点及解决方案；②施工方法及工艺；③相关技术措施：施工质量通病防治措施、成品保护措施等；④应急措施：突发事件和安全事故等紧急情况的应急措施等。 二、评审标准： 提供详细、合理、科学可行的方案，方案符合本项目采购需求有针对性，以上4项，内容无缺项、无漏项且无缺陷的得8分，其中每有一项内容存在缺项或漏项的扣2分，每项内容中每有一处存在缺陷的扣0.5分，该项分值扣完为止，未提供不得分。 三、赋分说明： “缺陷”是指编制内容与项目不吻合、层次未细化；套用其他项目方案内容；或引用的法律法规、标准（方法）或其他规范性文件错误；或前后逻辑错误；或存在与本项目特点、采购需求无关内容的任一情形。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施工方案.docx</w:t>
            </w:r>
          </w:p>
        </w:tc>
      </w:tr>
      <w:tr>
        <w:tc>
          <w:tcPr>
            <w:tcW w:type="dxa" w:w="831"/>
            <w:vMerge/>
          </w:tcPr>
          <w:p/>
        </w:tc>
        <w:tc>
          <w:tcPr>
            <w:tcW w:type="dxa" w:w="1661"/>
          </w:tcPr>
          <w:p>
            <w:pPr>
              <w:pStyle w:val="null3"/>
            </w:pPr>
            <w:r>
              <w:rPr>
                <w:rFonts w:ascii="仿宋_GB2312" w:hAnsi="仿宋_GB2312" w:cs="仿宋_GB2312" w:eastAsia="仿宋_GB2312"/>
              </w:rPr>
              <w:t>施工进度</w:t>
            </w:r>
          </w:p>
        </w:tc>
        <w:tc>
          <w:tcPr>
            <w:tcW w:type="dxa" w:w="2492"/>
          </w:tcPr>
          <w:p>
            <w:pPr>
              <w:pStyle w:val="null3"/>
            </w:pPr>
            <w:r>
              <w:rPr>
                <w:rFonts w:ascii="仿宋_GB2312" w:hAnsi="仿宋_GB2312" w:cs="仿宋_GB2312" w:eastAsia="仿宋_GB2312"/>
              </w:rPr>
              <w:t>一、评审内容： 针对本项目提供具体可行的施工进度，包括但不限于：①施工计划安排：施工进度目标和施工总进度计划表；②进度保障措施：工期保证措施、特殊情况（夜间、雨季、高低温等其它情况）保证等。 二、评审标准： 提供详细、合理、科学可行的方案，方案符合本项目采购需求有针对性，以上2项，内容无缺项、无漏项且无缺陷的得6分，其中每有一项内容存在缺项或漏项的扣3分，每项内容中每有一处存在缺陷的扣1分，该项分值扣完为止，未提供不得分。 三、赋分说明： “缺陷”是指编制内容与项目不吻合、层次未细化；套用其他项目方案内容；或引用的法律法规、标准（方法）或其他规范性文件错误；或前后逻辑错误；或存在与本项目特点、采购需求无关内容的任一情形。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施工方案.docx</w:t>
            </w:r>
          </w:p>
        </w:tc>
      </w:tr>
      <w:tr>
        <w:tc>
          <w:tcPr>
            <w:tcW w:type="dxa" w:w="831"/>
            <w:vMerge/>
          </w:tcPr>
          <w:p/>
        </w:tc>
        <w:tc>
          <w:tcPr>
            <w:tcW w:type="dxa" w:w="1661"/>
          </w:tcPr>
          <w:p>
            <w:pPr>
              <w:pStyle w:val="null3"/>
            </w:pPr>
            <w:r>
              <w:rPr>
                <w:rFonts w:ascii="仿宋_GB2312" w:hAnsi="仿宋_GB2312" w:cs="仿宋_GB2312" w:eastAsia="仿宋_GB2312"/>
              </w:rPr>
              <w:t>环境保护措施</w:t>
            </w:r>
          </w:p>
        </w:tc>
        <w:tc>
          <w:tcPr>
            <w:tcW w:type="dxa" w:w="2492"/>
          </w:tcPr>
          <w:p>
            <w:pPr>
              <w:pStyle w:val="null3"/>
            </w:pPr>
            <w:r>
              <w:rPr>
                <w:rFonts w:ascii="仿宋_GB2312" w:hAnsi="仿宋_GB2312" w:cs="仿宋_GB2312" w:eastAsia="仿宋_GB2312"/>
              </w:rPr>
              <w:t>一、评审内容： 针对本项目提供具体可行的环境保护措施，包括但不限于：①环境保护管理体系；②环保控制措施：污染物及废弃物处理的排放、噪音控制、防尘及扬尘的控制措施等。 二、评审标准： 提供详细、合理、科学可行的方案，方案符合本项目采购需求有针对性，以上2项，内容无缺项、无漏项且无缺陷的得6分，其中每有一项内容存在缺项或漏项的扣3分，每项内容中每有一处存在缺陷的扣1分，该项分值扣完为止，未提供不得分。 三、赋分说明： “缺陷”是指编制内容与项目不吻合、层次未细化；套用其他项目方案内容；或引用的法律法规、标准（方法）或其他规范性文件错误；或前后逻辑错误；或存在与本项目特点、采购需求无关内容的任一情形。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施工方案.docx</w:t>
            </w:r>
          </w:p>
        </w:tc>
      </w:tr>
      <w:tr>
        <w:tc>
          <w:tcPr>
            <w:tcW w:type="dxa" w:w="831"/>
            <w:vMerge/>
          </w:tcPr>
          <w:p/>
        </w:tc>
        <w:tc>
          <w:tcPr>
            <w:tcW w:type="dxa" w:w="1661"/>
          </w:tcPr>
          <w:p>
            <w:pPr>
              <w:pStyle w:val="null3"/>
            </w:pPr>
            <w:r>
              <w:rPr>
                <w:rFonts w:ascii="仿宋_GB2312" w:hAnsi="仿宋_GB2312" w:cs="仿宋_GB2312" w:eastAsia="仿宋_GB2312"/>
              </w:rPr>
              <w:t>质量管理</w:t>
            </w:r>
          </w:p>
        </w:tc>
        <w:tc>
          <w:tcPr>
            <w:tcW w:type="dxa" w:w="2492"/>
          </w:tcPr>
          <w:p>
            <w:pPr>
              <w:pStyle w:val="null3"/>
            </w:pPr>
            <w:r>
              <w:rPr>
                <w:rFonts w:ascii="仿宋_GB2312" w:hAnsi="仿宋_GB2312" w:cs="仿宋_GB2312" w:eastAsia="仿宋_GB2312"/>
              </w:rPr>
              <w:t>一、评审内容： 针对本项目提供具体可行的质量保证管理体系及相关措施，包括但不限于：①质量管理目标；②施工质量保障措施；③施工质量检验制度等。 二、评审标准： 提供详细、合理、科学可行的方案，方案符合本项目采购需求有针对性，以上3项，内容无缺项、无漏项且无缺陷的得6分，其中每有一项内容存在缺项或漏项的扣2分，每项内容中每有一处存在缺陷的扣0.5分，该项分值扣完为止，未提供不得分。 三、赋分说明： “缺陷”是指编制内容与项目不吻合、层次未细化；套用其他项目方案内容；或引用的法律法规、标准（方法）或其他规范性文件错误；或前后逻辑错误；或存在与本项目特点、采购需求无关内容的任一情形。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施工方案.docx</w:t>
            </w:r>
          </w:p>
        </w:tc>
      </w:tr>
      <w:tr>
        <w:tc>
          <w:tcPr>
            <w:tcW w:type="dxa" w:w="831"/>
            <w:vMerge/>
          </w:tcPr>
          <w:p/>
        </w:tc>
        <w:tc>
          <w:tcPr>
            <w:tcW w:type="dxa" w:w="1661"/>
          </w:tcPr>
          <w:p>
            <w:pPr>
              <w:pStyle w:val="null3"/>
            </w:pPr>
            <w:r>
              <w:rPr>
                <w:rFonts w:ascii="仿宋_GB2312" w:hAnsi="仿宋_GB2312" w:cs="仿宋_GB2312" w:eastAsia="仿宋_GB2312"/>
              </w:rPr>
              <w:t>安全管理</w:t>
            </w:r>
          </w:p>
        </w:tc>
        <w:tc>
          <w:tcPr>
            <w:tcW w:type="dxa" w:w="2492"/>
          </w:tcPr>
          <w:p>
            <w:pPr>
              <w:pStyle w:val="null3"/>
            </w:pPr>
            <w:r>
              <w:rPr>
                <w:rFonts w:ascii="仿宋_GB2312" w:hAnsi="仿宋_GB2312" w:cs="仿宋_GB2312" w:eastAsia="仿宋_GB2312"/>
              </w:rPr>
              <w:t>一、评审内容： 针对本项目提供具体可行的安全管理体系与相关措施，包括但不限于：①安全管理体系：安全制度、安全责任划分，标识及安全装备配备、安全教育培训等；②文明施工：施工现场管理、材料及机具堆放、检查措施等。 二、评审标准： 提供详细、合理、科学可行的方案，方案符合本项目采购需求有针对性，以上2项，内容无缺项、无漏项且无缺陷的得6分，其中每有一项内容存在缺项或漏项的扣3分，每项内容中每有一处存在缺陷的扣1分，该项分值扣完为止，未提供不得分。 三、赋分说明： “缺陷”是指编制内容与项目不吻合、层次未细化；套用其他项目方案内容；或引用的法律法规、标准（方法）或其他规范性文件错误；或前后逻辑错误；或存在与本项目特点、采购需求无关内容的任一情形。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施工方案.docx</w:t>
            </w:r>
          </w:p>
        </w:tc>
      </w:tr>
      <w:tr>
        <w:tc>
          <w:tcPr>
            <w:tcW w:type="dxa" w:w="831"/>
            <w:vMerge/>
          </w:tcPr>
          <w:p/>
        </w:tc>
        <w:tc>
          <w:tcPr>
            <w:tcW w:type="dxa" w:w="1661"/>
          </w:tcPr>
          <w:p>
            <w:pPr>
              <w:pStyle w:val="null3"/>
            </w:pPr>
            <w:r>
              <w:rPr>
                <w:rFonts w:ascii="仿宋_GB2312" w:hAnsi="仿宋_GB2312" w:cs="仿宋_GB2312" w:eastAsia="仿宋_GB2312"/>
              </w:rPr>
              <w:t>保修承诺</w:t>
            </w:r>
          </w:p>
        </w:tc>
        <w:tc>
          <w:tcPr>
            <w:tcW w:type="dxa" w:w="2492"/>
          </w:tcPr>
          <w:p>
            <w:pPr>
              <w:pStyle w:val="null3"/>
            </w:pPr>
            <w:r>
              <w:rPr>
                <w:rFonts w:ascii="仿宋_GB2312" w:hAnsi="仿宋_GB2312" w:cs="仿宋_GB2312" w:eastAsia="仿宋_GB2312"/>
              </w:rPr>
              <w:t>一、评审内容： 针对本项目提供具体可行的保修承诺，包括但不限于：①保修措施及承诺：工程维修服务承诺、保修措施和响应时限；②应急维护：紧急情况抢修，发生质量问题后的补救措施等。 二、评审标准： 提供详细、合理、科学可行的方案，方案符合本项目采购需求有针对性，以上2项，内容无缺项、无漏项且无缺陷的得6分，其中每有一项内容存在缺项或漏项的扣3分，每项内容中每有一处存在缺陷的扣1分，该项分值扣完为止，未提供不得分。 三、赋分说明： “缺陷”是指编制内容与项目不吻合、层次未细化；套用其他项目方案内容；或引用的法律法规、标准（方法）或其他规范性文件错误；或前后逻辑错误；或存在与本项目特点、采购需求无关内容的任一情形。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施工方案.docx</w:t>
            </w:r>
          </w:p>
        </w:tc>
      </w:tr>
      <w:tr>
        <w:tc>
          <w:tcPr>
            <w:tcW w:type="dxa" w:w="831"/>
            <w:vMerge/>
          </w:tcPr>
          <w:p/>
        </w:tc>
        <w:tc>
          <w:tcPr>
            <w:tcW w:type="dxa" w:w="1661"/>
          </w:tcPr>
          <w:p>
            <w:pPr>
              <w:pStyle w:val="null3"/>
            </w:pPr>
            <w:r>
              <w:rPr>
                <w:rFonts w:ascii="仿宋_GB2312" w:hAnsi="仿宋_GB2312" w:cs="仿宋_GB2312" w:eastAsia="仿宋_GB2312"/>
              </w:rPr>
              <w:t>项目管理机构配备情况</w:t>
            </w:r>
          </w:p>
        </w:tc>
        <w:tc>
          <w:tcPr>
            <w:tcW w:type="dxa" w:w="2492"/>
          </w:tcPr>
          <w:p>
            <w:pPr>
              <w:pStyle w:val="null3"/>
            </w:pPr>
            <w:r>
              <w:rPr>
                <w:rFonts w:ascii="仿宋_GB2312" w:hAnsi="仿宋_GB2312" w:cs="仿宋_GB2312" w:eastAsia="仿宋_GB2312"/>
              </w:rPr>
              <w:t>人员配备：拟投入的项目管理机构人员结构合理、岗位职责明确，除项目经理外，项目管理机构配备（五大员）得5分，每少1人扣1分，扣完为止。在此基础上每增加1人加1人，最高加1分。本项最高得6分。 注：须提供人员相关证件，不提供或完全背离评审标准得0分。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供应商具有2023年3月1日至今的类似项目业绩证明文件（以合同签订时间为准），提供合同复印件加盖公章，每提供一份得2分，满分10分。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1.满足磋商文件实质性要求且最终报价最低的供应商的价格为磋商基准价，其价格分为满分40分。 2.磋商报价得分=（磋商基准价/最终磋商报价）×40的公式计算得分。 3.磋商报价不完整的，不进入评标标准价的计算，本项得0分。</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详见附件：商务要求响应表.docx</w:t>
      </w:r>
    </w:p>
    <w:p>
      <w:pPr>
        <w:pStyle w:val="null3"/>
        <w:ind w:firstLine="960"/>
      </w:pPr>
      <w:r>
        <w:rPr>
          <w:rFonts w:ascii="仿宋_GB2312" w:hAnsi="仿宋_GB2312" w:cs="仿宋_GB2312" w:eastAsia="仿宋_GB2312"/>
        </w:rPr>
        <w:t>详见附件：施工方案.docx</w:t>
      </w:r>
    </w:p>
    <w:p>
      <w:pPr>
        <w:pStyle w:val="null3"/>
        <w:ind w:firstLine="960"/>
      </w:pPr>
      <w:r>
        <w:rPr>
          <w:rFonts w:ascii="仿宋_GB2312" w:hAnsi="仿宋_GB2312" w:cs="仿宋_GB2312" w:eastAsia="仿宋_GB2312"/>
        </w:rPr>
        <w:t>详见附件：供应商资格证明文件.docx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详见附件：合同范本.docx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