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ABE25">
      <w:pPr>
        <w:pStyle w:val="7"/>
        <w:jc w:val="center"/>
        <w:outlineLvl w:val="1"/>
        <w:rPr>
          <w:rFonts w:hint="eastAsia" w:ascii="仿宋_GB2312" w:hAnsi="仿宋_GB2312" w:eastAsia="仿宋_GB2312" w:cs="仿宋_GB2312"/>
          <w:b/>
          <w:sz w:val="36"/>
          <w:lang w:val="en-US" w:eastAsia="zh-CN"/>
        </w:rPr>
      </w:pPr>
      <w:r>
        <w:rPr>
          <w:rFonts w:ascii="仿宋_GB2312" w:hAnsi="仿宋_GB2312" w:eastAsia="仿宋_GB2312" w:cs="仿宋_GB2312"/>
          <w:b/>
          <w:sz w:val="36"/>
        </w:rPr>
        <w:t>合同</w:t>
      </w:r>
      <w:r>
        <w:rPr>
          <w:rFonts w:hint="eastAsia" w:ascii="仿宋_GB2312" w:hAnsi="仿宋_GB2312" w:eastAsia="仿宋_GB2312" w:cs="仿宋_GB2312"/>
          <w:b/>
          <w:sz w:val="36"/>
          <w:lang w:val="en-US" w:eastAsia="zh-CN"/>
        </w:rPr>
        <w:t>范本</w:t>
      </w:r>
    </w:p>
    <w:p w14:paraId="138A7EB7">
      <w:pPr>
        <w:pStyle w:val="7"/>
        <w:spacing w:line="360" w:lineRule="auto"/>
        <w:jc w:val="center"/>
        <w:outlineLvl w:val="1"/>
        <w:rPr>
          <w:rFonts w:hint="eastAsia" w:ascii="仿宋_GB2312" w:hAnsi="仿宋_GB2312" w:eastAsia="仿宋_GB2312" w:cs="仿宋_GB2312"/>
          <w:b/>
          <w:sz w:val="21"/>
          <w:szCs w:val="21"/>
          <w:lang w:eastAsia="zh-CN"/>
        </w:rPr>
      </w:pPr>
      <w:r>
        <w:rPr>
          <w:rFonts w:hint="eastAsia" w:ascii="仿宋_GB2312" w:hAnsi="仿宋_GB2312" w:eastAsia="仿宋_GB2312" w:cs="仿宋_GB2312"/>
          <w:b/>
          <w:sz w:val="21"/>
          <w:szCs w:val="21"/>
          <w:lang w:eastAsia="zh-CN"/>
        </w:rPr>
        <w:t>（注:本</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文件提供的合同仅为范本，采购</w:t>
      </w:r>
      <w:r>
        <w:rPr>
          <w:rFonts w:hint="eastAsia" w:ascii="仿宋_GB2312" w:hAnsi="仿宋_GB2312" w:eastAsia="仿宋_GB2312" w:cs="仿宋_GB2312"/>
          <w:b/>
          <w:sz w:val="21"/>
          <w:szCs w:val="21"/>
          <w:lang w:val="en-US" w:eastAsia="zh-CN"/>
        </w:rPr>
        <w:t>人和供应商</w:t>
      </w:r>
      <w:r>
        <w:rPr>
          <w:rFonts w:hint="eastAsia" w:ascii="仿宋_GB2312" w:hAnsi="仿宋_GB2312" w:eastAsia="仿宋_GB2312" w:cs="仿宋_GB2312"/>
          <w:b/>
          <w:sz w:val="21"/>
          <w:szCs w:val="21"/>
          <w:lang w:eastAsia="zh-CN"/>
        </w:rPr>
        <w:t>根据项目实际情在不违背相关法律法规和</w:t>
      </w:r>
      <w:r>
        <w:rPr>
          <w:rFonts w:hint="eastAsia" w:ascii="仿宋_GB2312" w:hAnsi="仿宋_GB2312" w:eastAsia="仿宋_GB2312" w:cs="仿宋_GB2312"/>
          <w:b/>
          <w:sz w:val="21"/>
          <w:szCs w:val="21"/>
          <w:lang w:val="en-US" w:eastAsia="zh-CN"/>
        </w:rPr>
        <w:t>磋商</w:t>
      </w:r>
      <w:r>
        <w:rPr>
          <w:rFonts w:hint="eastAsia" w:ascii="仿宋_GB2312" w:hAnsi="仿宋_GB2312" w:eastAsia="仿宋_GB2312" w:cs="仿宋_GB2312"/>
          <w:b/>
          <w:sz w:val="21"/>
          <w:szCs w:val="21"/>
          <w:lang w:eastAsia="zh-CN"/>
        </w:rPr>
        <w:t>文件等的前提下具体商定详细条款。）</w:t>
      </w:r>
    </w:p>
    <w:p w14:paraId="6CDBE28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甲方（采购人）：</w:t>
      </w:r>
    </w:p>
    <w:p w14:paraId="21FA3E4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乙方（</w:t>
      </w:r>
      <w:r>
        <w:rPr>
          <w:rFonts w:hint="eastAsia" w:ascii="仿宋" w:hAnsi="仿宋" w:eastAsia="仿宋" w:cs="仿宋"/>
          <w:bCs/>
          <w:sz w:val="20"/>
          <w:szCs w:val="20"/>
          <w:highlight w:val="none"/>
          <w:lang w:val="en-US" w:eastAsia="zh-CN"/>
        </w:rPr>
        <w:t>中标</w:t>
      </w:r>
      <w:r>
        <w:rPr>
          <w:rFonts w:hint="eastAsia" w:ascii="仿宋" w:hAnsi="仿宋" w:eastAsia="仿宋" w:cs="仿宋"/>
          <w:bCs/>
          <w:sz w:val="20"/>
          <w:szCs w:val="20"/>
          <w:highlight w:val="none"/>
        </w:rPr>
        <w:t xml:space="preserve">供应商）： </w:t>
      </w:r>
    </w:p>
    <w:p w14:paraId="054577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color w:val="auto"/>
          <w:sz w:val="20"/>
          <w:szCs w:val="20"/>
          <w:highlight w:val="none"/>
          <w:u w:val="single"/>
          <w:lang w:val="en-US" w:eastAsia="zh-CN"/>
        </w:rPr>
        <w:t xml:space="preserve">                       （项目名称）</w:t>
      </w:r>
      <w:r>
        <w:rPr>
          <w:rFonts w:hint="eastAsia" w:ascii="仿宋" w:hAnsi="仿宋" w:eastAsia="仿宋" w:cs="仿宋"/>
          <w:bCs/>
          <w:sz w:val="20"/>
          <w:szCs w:val="20"/>
          <w:highlight w:val="none"/>
        </w:rPr>
        <w:t>在由</w:t>
      </w:r>
      <w:r>
        <w:rPr>
          <w:rFonts w:hint="eastAsia" w:ascii="仿宋" w:hAnsi="仿宋" w:eastAsia="仿宋" w:cs="仿宋"/>
          <w:bCs/>
          <w:sz w:val="20"/>
          <w:szCs w:val="20"/>
          <w:highlight w:val="none"/>
          <w:lang w:val="en-US" w:eastAsia="zh-CN"/>
        </w:rPr>
        <w:t>陕西金吉翔项目管理有限公司</w:t>
      </w:r>
      <w:r>
        <w:rPr>
          <w:rFonts w:hint="eastAsia" w:ascii="仿宋" w:hAnsi="仿宋" w:eastAsia="仿宋" w:cs="仿宋"/>
          <w:bCs/>
          <w:sz w:val="20"/>
          <w:szCs w:val="20"/>
          <w:highlight w:val="none"/>
        </w:rPr>
        <w:t>组织</w:t>
      </w:r>
      <w:r>
        <w:rPr>
          <w:rFonts w:hint="eastAsia" w:ascii="仿宋" w:hAnsi="仿宋" w:eastAsia="仿宋" w:cs="仿宋"/>
          <w:bCs/>
          <w:sz w:val="20"/>
          <w:szCs w:val="20"/>
          <w:highlight w:val="none"/>
          <w:lang w:val="en-US" w:eastAsia="zh-CN"/>
        </w:rPr>
        <w:t>竞争性磋商</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(以下简称“甲方”)确定</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（以下简称“乙方”）为</w:t>
      </w:r>
      <w:r>
        <w:rPr>
          <w:rFonts w:hint="eastAsia" w:ascii="仿宋" w:hAnsi="仿宋" w:eastAsia="仿宋" w:cs="仿宋"/>
          <w:bCs/>
          <w:sz w:val="20"/>
          <w:szCs w:val="20"/>
          <w:highlight w:val="none"/>
          <w:lang w:val="en-US" w:eastAsia="zh-CN"/>
        </w:rPr>
        <w:t>本项目的</w:t>
      </w:r>
      <w:r>
        <w:rPr>
          <w:rFonts w:hint="eastAsia" w:ascii="仿宋" w:hAnsi="仿宋" w:eastAsia="仿宋" w:cs="仿宋"/>
          <w:bCs/>
          <w:sz w:val="20"/>
          <w:szCs w:val="20"/>
          <w:highlight w:val="none"/>
          <w:lang w:eastAsia="zh-CN"/>
        </w:rPr>
        <w:t>中标</w:t>
      </w:r>
      <w:r>
        <w:rPr>
          <w:rFonts w:hint="eastAsia" w:ascii="仿宋" w:hAnsi="仿宋" w:eastAsia="仿宋" w:cs="仿宋"/>
          <w:bCs/>
          <w:sz w:val="20"/>
          <w:szCs w:val="20"/>
          <w:highlight w:val="none"/>
        </w:rPr>
        <w:t>供应商。</w:t>
      </w:r>
    </w:p>
    <w:p w14:paraId="3816B956">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依据《中华人民共和国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rPr>
        <w:t>》和《中华人民共和国政府采购法》，经双方协商按下述条款和条件签署本合同。</w:t>
      </w:r>
    </w:p>
    <w:p w14:paraId="7C7F1B73">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一、合同价款</w:t>
      </w:r>
    </w:p>
    <w:p w14:paraId="63C81BC1">
      <w:pP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（一）合同总价款为人民币（大写）</w:t>
      </w:r>
      <w:r>
        <w:rPr>
          <w:rFonts w:hint="eastAsia" w:ascii="仿宋" w:hAnsi="仿宋" w:eastAsia="仿宋" w:cs="仿宋"/>
          <w:bCs/>
          <w:sz w:val="20"/>
          <w:szCs w:val="20"/>
          <w:highlight w:val="none"/>
          <w:u w:val="single"/>
          <w:lang w:eastAsia="zh-CN"/>
        </w:rPr>
        <w:t xml:space="preserve">        </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u w:val="single"/>
          <w:lang w:eastAsia="zh-CN"/>
        </w:rPr>
        <w:t xml:space="preserve">     元 </w:t>
      </w:r>
      <w:r>
        <w:rPr>
          <w:rFonts w:hint="eastAsia" w:ascii="仿宋" w:hAnsi="仿宋" w:eastAsia="仿宋" w:cs="仿宋"/>
          <w:bCs/>
          <w:sz w:val="20"/>
          <w:szCs w:val="20"/>
          <w:highlight w:val="none"/>
          <w:lang w:eastAsia="zh-CN"/>
        </w:rPr>
        <w:t>）。</w:t>
      </w:r>
    </w:p>
    <w:p w14:paraId="68523E12">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lang w:eastAsia="zh-CN"/>
        </w:rPr>
        <w:t>（二）合同总价包括：材料费、人工费、措施费、耗费、税金及其他费用。</w:t>
      </w:r>
    </w:p>
    <w:p w14:paraId="798476EF">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lang w:eastAsia="zh-CN"/>
        </w:rPr>
        <w:t>（三）</w:t>
      </w:r>
      <w:r>
        <w:rPr>
          <w:rFonts w:hint="eastAsia" w:ascii="仿宋" w:hAnsi="仿宋" w:eastAsia="仿宋" w:cs="仿宋"/>
          <w:bCs/>
          <w:sz w:val="20"/>
          <w:szCs w:val="20"/>
          <w:highlight w:val="none"/>
          <w:lang w:val="en-US" w:eastAsia="zh-CN"/>
        </w:rPr>
        <w:t>合同类型：</w:t>
      </w:r>
      <w:r>
        <w:rPr>
          <w:rFonts w:hint="eastAsia" w:ascii="仿宋" w:hAnsi="仿宋" w:eastAsia="仿宋" w:cs="仿宋"/>
          <w:bCs/>
          <w:sz w:val="20"/>
          <w:szCs w:val="20"/>
          <w:highlight w:val="none"/>
        </w:rPr>
        <w:t>固定</w:t>
      </w:r>
      <w:r>
        <w:rPr>
          <w:rFonts w:hint="eastAsia" w:ascii="仿宋" w:hAnsi="仿宋" w:eastAsia="仿宋" w:cs="仿宋"/>
          <w:bCs/>
          <w:sz w:val="20"/>
          <w:szCs w:val="20"/>
          <w:highlight w:val="none"/>
          <w:lang w:val="en-US" w:eastAsia="zh-CN"/>
        </w:rPr>
        <w:t>综合</w:t>
      </w:r>
      <w:r>
        <w:rPr>
          <w:rFonts w:hint="eastAsia" w:ascii="仿宋" w:hAnsi="仿宋" w:eastAsia="仿宋" w:cs="仿宋"/>
          <w:bCs/>
          <w:sz w:val="20"/>
          <w:szCs w:val="20"/>
          <w:highlight w:val="none"/>
        </w:rPr>
        <w:t>单价。</w:t>
      </w:r>
    </w:p>
    <w:p w14:paraId="51B0C51A">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二、</w:t>
      </w:r>
      <w:r>
        <w:rPr>
          <w:rFonts w:hint="eastAsia" w:ascii="仿宋" w:hAnsi="仿宋" w:eastAsia="仿宋" w:cs="仿宋"/>
          <w:b/>
          <w:bCs w:val="0"/>
          <w:sz w:val="20"/>
          <w:szCs w:val="20"/>
          <w:highlight w:val="none"/>
          <w:lang w:val="en-US" w:eastAsia="zh-CN"/>
        </w:rPr>
        <w:t>工程量清单</w:t>
      </w:r>
      <w:r>
        <w:rPr>
          <w:rFonts w:hint="eastAsia" w:ascii="仿宋" w:hAnsi="仿宋" w:eastAsia="仿宋" w:cs="仿宋"/>
          <w:b/>
          <w:bCs w:val="0"/>
          <w:sz w:val="20"/>
          <w:szCs w:val="20"/>
          <w:highlight w:val="none"/>
          <w:lang w:eastAsia="zh-CN"/>
        </w:rPr>
        <w:t>（附后）</w:t>
      </w:r>
    </w:p>
    <w:p w14:paraId="07C16313">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eastAsia="zh-CN"/>
        </w:rPr>
      </w:pPr>
      <w:r>
        <w:rPr>
          <w:rFonts w:hint="eastAsia" w:ascii="仿宋" w:hAnsi="仿宋" w:eastAsia="仿宋" w:cs="仿宋"/>
          <w:b/>
          <w:bCs w:val="0"/>
          <w:sz w:val="20"/>
          <w:szCs w:val="20"/>
          <w:highlight w:val="none"/>
          <w:lang w:eastAsia="zh-CN"/>
        </w:rPr>
        <w:t>三、款项结算</w:t>
      </w:r>
    </w:p>
    <w:p w14:paraId="533C88EF">
      <w:pPr>
        <w:shd w:val="solid" w:color="FFFFFF"/>
        <w:tabs>
          <w:tab w:val="left" w:pos="480"/>
        </w:tabs>
        <w:autoSpaceDN w:val="0"/>
        <w:spacing w:line="360" w:lineRule="auto"/>
        <w:ind w:firstLine="400" w:firstLineChars="200"/>
        <w:rPr>
          <w:rFonts w:hint="eastAsia" w:ascii="仿宋" w:hAnsi="仿宋" w:eastAsia="仿宋" w:cs="仿宋"/>
          <w:color w:val="auto"/>
          <w:sz w:val="20"/>
          <w:szCs w:val="20"/>
          <w:highlight w:val="none"/>
          <w:shd w:val="clear" w:color="auto" w:fill="FFFFFF"/>
          <w:lang w:val="en-US" w:eastAsia="zh-CN"/>
        </w:rPr>
      </w:pPr>
      <w:r>
        <w:rPr>
          <w:rFonts w:hint="eastAsia" w:ascii="仿宋" w:hAnsi="仿宋" w:eastAsia="仿宋" w:cs="仿宋"/>
          <w:color w:val="auto"/>
          <w:sz w:val="20"/>
          <w:szCs w:val="20"/>
          <w:highlight w:val="none"/>
          <w:shd w:val="clear" w:color="auto" w:fill="FFFFFF"/>
          <w:lang w:eastAsia="zh-CN"/>
        </w:rPr>
        <w:t>（一）</w:t>
      </w:r>
      <w:r>
        <w:rPr>
          <w:rFonts w:hint="eastAsia" w:ascii="仿宋" w:hAnsi="仿宋" w:eastAsia="仿宋" w:cs="仿宋"/>
          <w:color w:val="auto"/>
          <w:sz w:val="20"/>
          <w:szCs w:val="20"/>
          <w:highlight w:val="none"/>
          <w:shd w:val="clear" w:color="auto" w:fill="FFFFFF"/>
          <w:lang w:val="en-US" w:eastAsia="zh-CN"/>
        </w:rPr>
        <w:t>付款比例：本工程依据工程进度按比例将进度应付款支付给供应商。首次付款比例不低于40%，工程完工后，进度款拨付至供应商合同总金额的97%；本工程竣工验收后需要进行结算审核，最终的结算审定金额为本工程的最终合同价款；质保期一年后，支付剩余工程价款。</w:t>
      </w:r>
    </w:p>
    <w:p w14:paraId="4C0771A4">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二</w:t>
      </w:r>
      <w:r>
        <w:rPr>
          <w:rFonts w:hint="eastAsia" w:ascii="仿宋" w:hAnsi="仿宋" w:eastAsia="仿宋" w:cs="仿宋"/>
          <w:sz w:val="20"/>
          <w:szCs w:val="20"/>
          <w:highlight w:val="none"/>
          <w:shd w:val="clear" w:color="auto" w:fill="FFFFFF"/>
        </w:rPr>
        <w:t>）支付方式：银行转帐。</w:t>
      </w:r>
    </w:p>
    <w:p w14:paraId="0C8BA65C">
      <w:pPr>
        <w:shd w:val="solid" w:color="FFFFFF"/>
        <w:tabs>
          <w:tab w:val="left" w:pos="480"/>
        </w:tabs>
        <w:autoSpaceDN w:val="0"/>
        <w:spacing w:line="360" w:lineRule="auto"/>
        <w:ind w:firstLine="400" w:firstLineChars="200"/>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w:t>
      </w:r>
      <w:r>
        <w:rPr>
          <w:rFonts w:hint="eastAsia" w:ascii="仿宋" w:hAnsi="仿宋" w:eastAsia="仿宋" w:cs="仿宋"/>
          <w:sz w:val="20"/>
          <w:szCs w:val="20"/>
          <w:highlight w:val="none"/>
          <w:shd w:val="clear" w:color="auto" w:fill="FFFFFF"/>
          <w:lang w:eastAsia="zh-CN"/>
        </w:rPr>
        <w:t>三</w:t>
      </w:r>
      <w:r>
        <w:rPr>
          <w:rFonts w:hint="eastAsia" w:ascii="仿宋" w:hAnsi="仿宋" w:eastAsia="仿宋" w:cs="仿宋"/>
          <w:sz w:val="20"/>
          <w:szCs w:val="20"/>
          <w:highlight w:val="none"/>
          <w:shd w:val="clear" w:color="auto" w:fill="FFFFFF"/>
        </w:rPr>
        <w:t>）结算方式：由乙方与采购人结算，发票开采购单位，到采购单位办理付款手续。</w:t>
      </w:r>
    </w:p>
    <w:p w14:paraId="6AF1867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四</w:t>
      </w:r>
      <w:r>
        <w:rPr>
          <w:rFonts w:hint="eastAsia" w:ascii="仿宋" w:hAnsi="仿宋" w:eastAsia="仿宋" w:cs="仿宋"/>
          <w:b/>
          <w:bCs w:val="0"/>
          <w:sz w:val="20"/>
          <w:szCs w:val="20"/>
          <w:highlight w:val="none"/>
        </w:rPr>
        <w:t>、</w:t>
      </w:r>
      <w:r>
        <w:rPr>
          <w:rFonts w:hint="eastAsia" w:ascii="仿宋" w:hAnsi="仿宋" w:eastAsia="仿宋" w:cs="仿宋"/>
          <w:b/>
          <w:bCs w:val="0"/>
          <w:sz w:val="20"/>
          <w:szCs w:val="20"/>
          <w:highlight w:val="none"/>
          <w:lang w:val="en-US" w:eastAsia="zh-CN"/>
        </w:rPr>
        <w:t>工程</w:t>
      </w:r>
      <w:r>
        <w:rPr>
          <w:rFonts w:hint="eastAsia" w:ascii="仿宋" w:hAnsi="仿宋" w:eastAsia="仿宋" w:cs="仿宋"/>
          <w:b/>
          <w:bCs w:val="0"/>
          <w:sz w:val="20"/>
          <w:szCs w:val="20"/>
          <w:highlight w:val="none"/>
        </w:rPr>
        <w:t>地点及</w:t>
      </w:r>
      <w:r>
        <w:rPr>
          <w:rFonts w:hint="eastAsia" w:ascii="仿宋" w:hAnsi="仿宋" w:eastAsia="仿宋" w:cs="仿宋"/>
          <w:b/>
          <w:bCs w:val="0"/>
          <w:sz w:val="20"/>
          <w:szCs w:val="20"/>
          <w:highlight w:val="none"/>
          <w:lang w:eastAsia="zh-CN"/>
        </w:rPr>
        <w:t>工期</w:t>
      </w:r>
    </w:p>
    <w:p w14:paraId="49A29FDE">
      <w:pPr>
        <w:shd w:val="clear"/>
        <w:autoSpaceDE w:val="0"/>
        <w:autoSpaceDN w:val="0"/>
        <w:adjustRightInd w:val="0"/>
        <w:spacing w:line="360" w:lineRule="auto"/>
        <w:ind w:firstLine="400" w:firstLineChars="200"/>
        <w:rPr>
          <w:rFonts w:hint="eastAsia" w:ascii="仿宋" w:hAnsi="仿宋" w:eastAsia="仿宋" w:cs="仿宋"/>
          <w:bCs/>
          <w:sz w:val="20"/>
          <w:szCs w:val="20"/>
          <w:highlight w:val="none"/>
          <w:lang w:eastAsia="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en-US" w:eastAsia="zh-CN"/>
        </w:rPr>
        <w:t>工程</w:t>
      </w:r>
      <w:r>
        <w:rPr>
          <w:rFonts w:hint="eastAsia" w:ascii="仿宋" w:hAnsi="仿宋" w:eastAsia="仿宋" w:cs="仿宋"/>
          <w:bCs/>
          <w:sz w:val="20"/>
          <w:szCs w:val="20"/>
          <w:highlight w:val="none"/>
        </w:rPr>
        <w:t>地点：</w:t>
      </w:r>
      <w:r>
        <w:rPr>
          <w:rFonts w:hint="eastAsia" w:ascii="仿宋" w:hAnsi="仿宋" w:eastAsia="仿宋" w:cs="仿宋"/>
          <w:kern w:val="0"/>
          <w:sz w:val="20"/>
          <w:szCs w:val="20"/>
          <w:highlight w:val="none"/>
          <w:lang w:eastAsia="zh-CN"/>
        </w:rPr>
        <w:t>渭南高新区第三小学校内</w:t>
      </w:r>
      <w:bookmarkStart w:id="0" w:name="_GoBack"/>
      <w:bookmarkEnd w:id="0"/>
      <w:r>
        <w:rPr>
          <w:rFonts w:hint="eastAsia" w:ascii="仿宋" w:hAnsi="仿宋" w:eastAsia="仿宋" w:cs="仿宋"/>
          <w:kern w:val="0"/>
          <w:sz w:val="20"/>
          <w:szCs w:val="20"/>
          <w:highlight w:val="none"/>
          <w:lang w:eastAsia="zh-CN"/>
        </w:rPr>
        <w:t>。</w:t>
      </w:r>
    </w:p>
    <w:p w14:paraId="787E21BF">
      <w:pPr>
        <w:shd w:val="solid" w:color="FFFFFF"/>
        <w:tabs>
          <w:tab w:val="left" w:pos="480"/>
        </w:tabs>
        <w:autoSpaceDN w:val="0"/>
        <w:spacing w:line="360" w:lineRule="auto"/>
        <w:ind w:firstLine="400" w:firstLineChars="200"/>
        <w:rPr>
          <w:rFonts w:hint="default" w:ascii="仿宋" w:hAnsi="仿宋" w:eastAsia="仿宋" w:cs="仿宋"/>
          <w:bCs/>
          <w:sz w:val="20"/>
          <w:szCs w:val="20"/>
          <w:highlight w:val="none"/>
          <w:lang w:val="en-US" w:eastAsia="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eastAsia="zh-CN"/>
        </w:rPr>
        <w:t>工期</w:t>
      </w:r>
      <w:r>
        <w:rPr>
          <w:rFonts w:hint="eastAsia" w:ascii="仿宋" w:hAnsi="仿宋" w:eastAsia="仿宋" w:cs="仿宋"/>
          <w:bCs/>
          <w:sz w:val="20"/>
          <w:szCs w:val="20"/>
          <w:highlight w:val="none"/>
        </w:rPr>
        <w:t>：</w:t>
      </w:r>
      <w:r>
        <w:rPr>
          <w:rFonts w:hint="eastAsia" w:ascii="仿宋" w:hAnsi="仿宋" w:eastAsia="仿宋" w:cs="仿宋"/>
          <w:color w:val="auto"/>
          <w:sz w:val="20"/>
          <w:szCs w:val="20"/>
          <w:highlight w:val="none"/>
          <w:u w:val="single"/>
          <w:lang w:val="en-US" w:eastAsia="zh-CN"/>
        </w:rPr>
        <w:t xml:space="preserve">            </w:t>
      </w:r>
    </w:p>
    <w:p w14:paraId="5F5FEDA6">
      <w:pPr>
        <w:shd w:val="clea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五、质量保证</w:t>
      </w:r>
    </w:p>
    <w:p w14:paraId="06080D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所选材料必须保证质量可靠、进货渠道正常，符合国家环保等相关标准，满足施工要求。</w:t>
      </w:r>
    </w:p>
    <w:p w14:paraId="7B2210F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二</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工程质量符合国家有关规范，确保达到合格。</w:t>
      </w:r>
    </w:p>
    <w:p w14:paraId="0107C847">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en-US" w:eastAsia="zh-CN"/>
        </w:rPr>
        <w:t>三</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lang w:val="zh-CN"/>
        </w:rPr>
        <w:t>该工程项目质量保修期按有关文件规定执行。</w:t>
      </w:r>
    </w:p>
    <w:p w14:paraId="75F0F222">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六</w:t>
      </w:r>
      <w:r>
        <w:rPr>
          <w:rFonts w:hint="eastAsia" w:ascii="仿宋" w:hAnsi="仿宋" w:eastAsia="仿宋" w:cs="仿宋"/>
          <w:b/>
          <w:bCs w:val="0"/>
          <w:sz w:val="20"/>
          <w:szCs w:val="20"/>
          <w:highlight w:val="none"/>
        </w:rPr>
        <w:t>、双方责任</w:t>
      </w:r>
    </w:p>
    <w:p w14:paraId="5C4C30F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（一）甲方责任：</w:t>
      </w:r>
    </w:p>
    <w:p w14:paraId="06F50A02">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1、甲方负责施工场地的提供，排除施工障碍的协调。</w:t>
      </w:r>
    </w:p>
    <w:p w14:paraId="405FA349">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2、组织设计、施工单位进行图纸交底，负责设计图纸问题的处理，设计变更及现场签证，工程结算的审定等工作。</w:t>
      </w:r>
    </w:p>
    <w:p w14:paraId="37DED867">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3、对工程进度、质量进行监督检查。</w:t>
      </w:r>
    </w:p>
    <w:p w14:paraId="38FF590E">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4、组织有关单位对工程进行竣工验收。</w:t>
      </w:r>
    </w:p>
    <w:p w14:paraId="099B0073">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5、按时支付工程款。</w:t>
      </w:r>
    </w:p>
    <w:p w14:paraId="153F354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（二）乙方责任：</w:t>
      </w:r>
    </w:p>
    <w:p w14:paraId="018792D1">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1、负责办理完成项目使用审批手续，负责工程安全文明施工、承担一切风险，满足甲方工程的需要。保证甲方正式投入使用，再无其他费用发生。</w:t>
      </w:r>
    </w:p>
    <w:p w14:paraId="084BB55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E4A8378">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3、按照设计施工图纸与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A7771BA">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033E65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5、隐蔽工程在覆盖前必须经甲方代表或现场监理代表验收签章后，方可进行下一道工序。</w:t>
      </w:r>
    </w:p>
    <w:p w14:paraId="7035240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21B2992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7、采取有效的安全保障措施，确保施工安全，包括悬挂警示标牌、装设围栏、配备安全人员等，并承担事故的全部费用和责任。</w:t>
      </w:r>
    </w:p>
    <w:p w14:paraId="71A39B0B">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8、工程竣工后提供竣工验收技术资料及竣工图肆套，办理工程竣工结算手续，参加工程竣工验收。</w:t>
      </w:r>
    </w:p>
    <w:p w14:paraId="3008288F">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9、已完工的项目，在交工前乙方应负责保管，清理现场达到建筑物无污染，现场无建筑垃圾。</w:t>
      </w:r>
    </w:p>
    <w:p w14:paraId="4899231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10、本工程不得转包。</w:t>
      </w:r>
    </w:p>
    <w:p w14:paraId="56EF86ED">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11、乙方应在设备运行过程中，对安全隐患进行全面的不定期检查与维护，并对不按安全规程操作的施工单位及时制止，并报甲方进行处理。</w:t>
      </w:r>
    </w:p>
    <w:p w14:paraId="5558DA75">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12、乙方不能按合同规定的工期竣工的，应向甲方支付违约金，每逾期一日，支付合同总价款万分之二的违约金，造成甲方损失的，还应赔偿甲方损失。</w:t>
      </w:r>
    </w:p>
    <w:p w14:paraId="4B232D7E">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七、验收</w:t>
      </w:r>
    </w:p>
    <w:p w14:paraId="45BBA05C">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主材到现场后，由甲方对其进行验收，确认材料的产地、规格、数量。</w:t>
      </w:r>
    </w:p>
    <w:p w14:paraId="0B57B7A5">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乙方工程完工后，进行自检，合格后准备验收文件，并书面通知甲方。</w:t>
      </w:r>
    </w:p>
    <w:p w14:paraId="2D4CC20B">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甲方确认乙方的自检内容，验收合格作为工程的最终认可。</w:t>
      </w:r>
    </w:p>
    <w:p w14:paraId="79B5B99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（四）</w:t>
      </w:r>
      <w:r>
        <w:rPr>
          <w:rFonts w:hint="eastAsia" w:ascii="仿宋" w:hAnsi="仿宋" w:eastAsia="仿宋" w:cs="仿宋"/>
          <w:bCs/>
          <w:sz w:val="20"/>
          <w:szCs w:val="20"/>
          <w:highlight w:val="none"/>
          <w:lang w:val="zh-CN"/>
        </w:rPr>
        <w:t>验收依据：</w:t>
      </w:r>
    </w:p>
    <w:p w14:paraId="72E696C0">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4-1、合同、招标文件、投标文件及承诺。</w:t>
      </w:r>
    </w:p>
    <w:p w14:paraId="11ED3874">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4-2、国家相关</w:t>
      </w:r>
      <w:r>
        <w:rPr>
          <w:rFonts w:hint="eastAsia" w:ascii="仿宋" w:hAnsi="仿宋" w:eastAsia="仿宋" w:cs="仿宋"/>
          <w:bCs/>
          <w:sz w:val="20"/>
          <w:szCs w:val="20"/>
          <w:highlight w:val="none"/>
        </w:rPr>
        <w:t>标准、规范及有关技术文件</w:t>
      </w:r>
      <w:r>
        <w:rPr>
          <w:rFonts w:hint="eastAsia" w:ascii="仿宋" w:hAnsi="仿宋" w:eastAsia="仿宋" w:cs="仿宋"/>
          <w:bCs/>
          <w:sz w:val="20"/>
          <w:szCs w:val="20"/>
          <w:highlight w:val="none"/>
          <w:lang w:val="zh-CN"/>
        </w:rPr>
        <w:t>。</w:t>
      </w:r>
    </w:p>
    <w:p w14:paraId="1E567B23">
      <w:pPr>
        <w:autoSpaceDE w:val="0"/>
        <w:autoSpaceDN w:val="0"/>
        <w:adjustRightInd w:val="0"/>
        <w:spacing w:line="360" w:lineRule="auto"/>
        <w:ind w:firstLine="402" w:firstLineChars="200"/>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lang w:eastAsia="zh-CN"/>
        </w:rPr>
        <w:t>八</w:t>
      </w:r>
      <w:r>
        <w:rPr>
          <w:rFonts w:hint="eastAsia" w:ascii="仿宋" w:hAnsi="仿宋" w:eastAsia="仿宋" w:cs="仿宋"/>
          <w:b/>
          <w:bCs w:val="0"/>
          <w:sz w:val="20"/>
          <w:szCs w:val="20"/>
          <w:highlight w:val="none"/>
        </w:rPr>
        <w:t>、工程保修：</w:t>
      </w:r>
    </w:p>
    <w:p w14:paraId="2D87368C">
      <w:pPr>
        <w:autoSpaceDE w:val="0"/>
        <w:autoSpaceDN w:val="0"/>
        <w:adjustRightInd w:val="0"/>
        <w:spacing w:line="360" w:lineRule="auto"/>
        <w:ind w:firstLine="400" w:firstLineChars="200"/>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5889BBB9">
      <w:pPr>
        <w:autoSpaceDE w:val="0"/>
        <w:autoSpaceDN w:val="0"/>
        <w:adjustRightInd w:val="0"/>
        <w:spacing w:line="360" w:lineRule="auto"/>
        <w:ind w:firstLine="402" w:firstLineChars="200"/>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九、合同生效</w:t>
      </w:r>
    </w:p>
    <w:p w14:paraId="30CB060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（一）本合同经双方签字盖章后生效。</w:t>
      </w:r>
    </w:p>
    <w:p w14:paraId="5FDB083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（二）本合同须经甲、乙双方的法定代表人（负责人）在合同书上签字并加盖本单位公章后正式生效。</w:t>
      </w:r>
    </w:p>
    <w:p w14:paraId="031E0A72">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（三）合同生效后，甲、乙双方须严格执行本合同条款的规定，全面履行合同，违者按《中华人民共和国</w:t>
      </w:r>
      <w:r>
        <w:rPr>
          <w:rFonts w:hint="eastAsia" w:ascii="仿宋" w:hAnsi="仿宋" w:eastAsia="仿宋" w:cs="仿宋"/>
          <w:bCs/>
          <w:sz w:val="20"/>
          <w:szCs w:val="20"/>
          <w:highlight w:val="none"/>
          <w:lang w:val="en-US" w:eastAsia="zh-CN"/>
        </w:rPr>
        <w:t>民法典</w:t>
      </w:r>
      <w:r>
        <w:rPr>
          <w:rFonts w:hint="eastAsia" w:ascii="仿宋" w:hAnsi="仿宋" w:eastAsia="仿宋" w:cs="仿宋"/>
          <w:bCs/>
          <w:sz w:val="20"/>
          <w:szCs w:val="20"/>
          <w:highlight w:val="none"/>
          <w:lang w:val="zh-CN"/>
        </w:rPr>
        <w:t>》的有关规定承担相应责任。</w:t>
      </w:r>
    </w:p>
    <w:p w14:paraId="6A64BD2A">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（四）本合同一式</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份，甲乙双方各执</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w:t>
      </w:r>
    </w:p>
    <w:p w14:paraId="3401C4A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66571D2D">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28736EA8">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70DB58B4">
      <w:pPr>
        <w:pStyle w:val="2"/>
        <w:rPr>
          <w:rFonts w:hint="eastAsia" w:ascii="仿宋" w:hAnsi="仿宋" w:eastAsia="仿宋" w:cs="仿宋"/>
          <w:bCs/>
          <w:sz w:val="20"/>
          <w:szCs w:val="20"/>
          <w:highlight w:val="none"/>
          <w:lang w:val="zh-CN"/>
        </w:rPr>
      </w:pPr>
    </w:p>
    <w:p w14:paraId="04D57732">
      <w:pPr>
        <w:rPr>
          <w:rFonts w:hint="eastAsia" w:ascii="仿宋" w:hAnsi="仿宋" w:eastAsia="仿宋" w:cs="仿宋"/>
          <w:bCs/>
          <w:sz w:val="20"/>
          <w:szCs w:val="20"/>
          <w:highlight w:val="none"/>
          <w:lang w:val="zh-CN"/>
        </w:rPr>
      </w:pPr>
    </w:p>
    <w:p w14:paraId="23610A87">
      <w:pPr>
        <w:pStyle w:val="2"/>
        <w:rPr>
          <w:rFonts w:hint="eastAsia"/>
          <w:lang w:val="zh-CN"/>
        </w:rPr>
      </w:pPr>
    </w:p>
    <w:p w14:paraId="5D50E3B5">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3E2122FF">
      <w:pPr>
        <w:autoSpaceDE w:val="0"/>
        <w:autoSpaceDN w:val="0"/>
        <w:adjustRightInd w:val="0"/>
        <w:spacing w:line="360" w:lineRule="auto"/>
        <w:ind w:firstLine="400" w:firstLineChars="200"/>
        <w:rPr>
          <w:rFonts w:hint="eastAsia" w:ascii="仿宋" w:hAnsi="仿宋" w:eastAsia="仿宋" w:cs="仿宋"/>
          <w:bCs/>
          <w:sz w:val="20"/>
          <w:szCs w:val="20"/>
          <w:highlight w:val="none"/>
          <w:lang w:val="zh-CN"/>
        </w:rPr>
      </w:pPr>
    </w:p>
    <w:p w14:paraId="7DBECCB8">
      <w:pPr>
        <w:widowControl/>
        <w:spacing w:line="500" w:lineRule="exact"/>
        <w:ind w:firstLine="400" w:firstLineChars="200"/>
        <w:jc w:val="left"/>
        <w:rPr>
          <w:rFonts w:hint="eastAsia" w:ascii="仿宋" w:hAnsi="仿宋" w:eastAsia="仿宋" w:cs="仿宋"/>
          <w:bCs/>
          <w:sz w:val="20"/>
          <w:szCs w:val="20"/>
        </w:rPr>
      </w:pPr>
    </w:p>
    <w:p w14:paraId="6D132E0E">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采购人(甲方)：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供应商(乙方)：</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5BD3556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法定代表人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3B78FE5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委托代理人</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294F7621">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sz w:val="20"/>
          <w:szCs w:val="20"/>
        </w:rPr>
        <w:fldChar w:fldCharType="separate"/>
      </w:r>
      <w:r>
        <w:rPr>
          <w:rFonts w:hint="eastAsia" w:ascii="仿宋" w:hAnsi="仿宋" w:eastAsia="仿宋" w:cs="仿宋"/>
          <w:bCs/>
          <w:sz w:val="20"/>
          <w:szCs w:val="20"/>
        </w:rPr>
        <w:t>开户银行</w:t>
      </w:r>
      <w:r>
        <w:rPr>
          <w:rFonts w:hint="eastAsia" w:ascii="仿宋" w:hAnsi="仿宋" w:eastAsia="仿宋" w:cs="仿宋"/>
          <w:bCs/>
          <w:sz w:val="20"/>
          <w:szCs w:val="20"/>
        </w:rPr>
        <w:fldChar w:fldCharType="end"/>
      </w:r>
      <w:r>
        <w:rPr>
          <w:rFonts w:hint="eastAsia" w:ascii="仿宋" w:hAnsi="仿宋" w:eastAsia="仿宋" w:cs="仿宋"/>
          <w:bCs/>
          <w:sz w:val="20"/>
          <w:szCs w:val="20"/>
        </w:rPr>
        <w:t>：</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7B6BD69D">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账    号：</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1D137B0B">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电    话：</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6C9722E6">
      <w:pPr>
        <w:widowControl/>
        <w:spacing w:line="500" w:lineRule="exact"/>
        <w:ind w:firstLine="400" w:firstLineChars="200"/>
        <w:jc w:val="left"/>
        <w:rPr>
          <w:rFonts w:hint="eastAsia" w:ascii="仿宋" w:hAnsi="仿宋" w:eastAsia="仿宋" w:cs="仿宋"/>
          <w:bCs/>
          <w:sz w:val="20"/>
          <w:szCs w:val="20"/>
        </w:rPr>
      </w:pP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地    址：</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p>
    <w:p w14:paraId="4B36D7E0">
      <w:pPr>
        <w:pStyle w:val="4"/>
        <w:ind w:left="0" w:leftChars="0" w:firstLine="400" w:firstLineChars="200"/>
        <w:rPr>
          <w:rFonts w:hint="eastAsia" w:ascii="仿宋" w:hAnsi="仿宋" w:eastAsia="仿宋" w:cs="仿宋"/>
          <w:sz w:val="20"/>
          <w:szCs w:val="20"/>
        </w:rPr>
      </w:pPr>
      <w:r>
        <w:rPr>
          <w:rFonts w:hint="eastAsia" w:ascii="仿宋" w:hAnsi="仿宋" w:eastAsia="仿宋" w:cs="仿宋"/>
          <w:bCs/>
          <w:sz w:val="20"/>
          <w:szCs w:val="20"/>
        </w:rPr>
        <w:t xml:space="preserve">时    间：                 </w:t>
      </w:r>
      <w:r>
        <w:rPr>
          <w:rFonts w:hint="eastAsia" w:ascii="仿宋" w:hAnsi="仿宋" w:eastAsia="仿宋" w:cs="仿宋"/>
          <w:bCs/>
          <w:sz w:val="20"/>
          <w:szCs w:val="20"/>
          <w:lang w:val="en-US" w:eastAsia="zh-CN"/>
        </w:rPr>
        <w:t xml:space="preserve">              </w:t>
      </w:r>
      <w:r>
        <w:rPr>
          <w:rFonts w:hint="eastAsia" w:ascii="仿宋" w:hAnsi="仿宋" w:eastAsia="仿宋" w:cs="仿宋"/>
          <w:bCs/>
          <w:sz w:val="20"/>
          <w:szCs w:val="20"/>
        </w:rPr>
        <w:t xml:space="preserve"> 时    间： </w:t>
      </w:r>
    </w:p>
    <w:p w14:paraId="7ADE54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30623C"/>
    <w:rsid w:val="03A205D6"/>
    <w:rsid w:val="0458431B"/>
    <w:rsid w:val="1C594D55"/>
    <w:rsid w:val="1F6C05B6"/>
    <w:rsid w:val="24E368EC"/>
    <w:rsid w:val="29AE2F2A"/>
    <w:rsid w:val="329E38F9"/>
    <w:rsid w:val="3FAD7651"/>
    <w:rsid w:val="4A30623C"/>
    <w:rsid w:val="4EC2357B"/>
    <w:rsid w:val="6E1021E6"/>
    <w:rsid w:val="6ED91271"/>
    <w:rsid w:val="79825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Body Text Indent"/>
    <w:basedOn w:val="1"/>
    <w:qFormat/>
    <w:uiPriority w:val="0"/>
    <w:pPr>
      <w:spacing w:after="120" w:afterLines="0" w:afterAutospacing="0"/>
      <w:ind w:left="420" w:leftChars="200"/>
    </w:pPr>
  </w:style>
  <w:style w:type="paragraph" w:styleId="4">
    <w:name w:val="Body Text Indent 2"/>
    <w:basedOn w:val="1"/>
    <w:qFormat/>
    <w:uiPriority w:val="0"/>
    <w:pPr>
      <w:spacing w:after="120" w:afterLines="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2103</Words>
  <Characters>2116</Characters>
  <Lines>0</Lines>
  <Paragraphs>0</Paragraphs>
  <TotalTime>38</TotalTime>
  <ScaleCrop>false</ScaleCrop>
  <LinksUpToDate>false</LinksUpToDate>
  <CharactersWithSpaces>2189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2025-08-01T11:47:00Z</dcterms:created>
  <dc:creator>蒲公瑛</dc:creator>
  <cp:lastModifiedBy>蒲公瑛</cp:lastModifiedBy>
  <dcterms:modified xsi:type="dcterms:W3CDTF">2026-03-13T10:06:40Z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7D5D26685A714754B2A9BF01982D00DB_11</vt:lpwstr>
  </property>
  <property fmtid="{D5CDD505-2E9C-101B-9397-08002B2CF9AE}" pid="4" name="KSOTemplateDocerSaveRecord">
    <vt:lpwstr>eyJoZGlkIjoiMzFiNGM5MWJkMTg4YzllM2M2ZTg5OTJhNTA0YTFiYmUiLCJ1c2VySWQiOiIyNjczNDI4MzEifQ==</vt:lpwstr>
  </property>
</Properties>
</file>