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版本号：【KRDL】K2-260301820260410001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渭南高新区综合楼后勤服务管理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【KRDL】K2-2603018</w:t>
      </w:r>
      <w:r>
        <w:br/>
      </w:r>
      <w:r>
        <w:br/>
      </w:r>
      <w:r>
        <w:br/>
      </w:r>
    </w:p>
    <w:p>
      <w:pPr>
        <w:pStyle w:val="null3"/>
        <w:jc w:val="center"/>
        <w:outlineLvl w:val="2"/>
      </w:pPr>
      <w:r>
        <w:rPr>
          <w:rFonts w:ascii="仿宋_GB2312" w:hAnsi="仿宋_GB2312" w:cs="仿宋_GB2312" w:eastAsia="仿宋_GB2312"/>
          <w:sz w:val="28"/>
          <w:b/>
        </w:rPr>
        <w:t>渭南高新区管委会办公室</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渭南高新区管委会办公室</w:t>
      </w:r>
      <w:r>
        <w:rPr>
          <w:rFonts w:ascii="仿宋_GB2312" w:hAnsi="仿宋_GB2312" w:cs="仿宋_GB2312" w:eastAsia="仿宋_GB2312"/>
        </w:rPr>
        <w:t>委托，拟对</w:t>
      </w:r>
      <w:r>
        <w:rPr>
          <w:rFonts w:ascii="仿宋_GB2312" w:hAnsi="仿宋_GB2312" w:cs="仿宋_GB2312" w:eastAsia="仿宋_GB2312"/>
        </w:rPr>
        <w:t>渭南高新区综合楼后勤服务管理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【KRDL】K2-2603018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渭南高新区综合楼后勤服务管理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渭南高新区综合楼后勤保障服务管理一项，包含综合办公楼及四邻界（围墙）内的公共区域部分的楼体的维修、养护和管理、楼内公共部分的保洁服务、供水、供电、供暖、照明、消防等设备设施的正常运行和维修（小型维修）管理及绿化的日常养护燃气锅炉的维护保养等服务保障内容，具体以竞争性磋商文件及答疑文件等文件所涵盖的全部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采购包1（渭南高新区综合楼后勤服务管理）：属于专门面向小微企业采购。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企业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4、财务状况报告：提供2024年度或2025年度的财务审计报告（至少包括资产负债表和利润表，成立时间至提交磋商响应文件截止时间不足一年的可提供成立后任意时段的资产负债表），或磋商时间前六个月内公司基本户出具的资信证明；</w:t>
      </w:r>
    </w:p>
    <w:p>
      <w:pPr>
        <w:pStyle w:val="null3"/>
      </w:pPr>
      <w:r>
        <w:rPr>
          <w:rFonts w:ascii="仿宋_GB2312" w:hAnsi="仿宋_GB2312" w:cs="仿宋_GB2312" w:eastAsia="仿宋_GB2312"/>
        </w:rPr>
        <w:t>5、社会保障资金缴纳证明：提供2025年4月1日以来已缴存的至少一个月的社会保障资金缴存单据或社保机构开具的社会保险参保缴费情况证明，单据或证明上应有社保机构或代收机构的公章或业务专用章。依法不需要缴纳社会保障资金的服务商应提供相关文件证明；</w:t>
      </w:r>
    </w:p>
    <w:p>
      <w:pPr>
        <w:pStyle w:val="null3"/>
      </w:pPr>
      <w:r>
        <w:rPr>
          <w:rFonts w:ascii="仿宋_GB2312" w:hAnsi="仿宋_GB2312" w:cs="仿宋_GB2312" w:eastAsia="仿宋_GB2312"/>
        </w:rPr>
        <w:t>6、税收缴纳证明：自2025年4月1日以来已缴纳的至少一个月的纳税证明或完税证明，证明上应有代收机构或税务机关的公章或业务专用章。依法免税的服务商应提供相关文件证明；</w:t>
      </w:r>
    </w:p>
    <w:p>
      <w:pPr>
        <w:pStyle w:val="null3"/>
      </w:pPr>
      <w:r>
        <w:rPr>
          <w:rFonts w:ascii="仿宋_GB2312" w:hAnsi="仿宋_GB2312" w:cs="仿宋_GB2312" w:eastAsia="仿宋_GB2312"/>
        </w:rPr>
        <w:t>7、其他承诺：供应商须提供具备履行合同所必需的设备和专业技术能力的承诺。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渭南高新区管委会办公室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渭南高新区崇业路16号创业大厦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0913-2110179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赵婉婷、王昭、姚瑶、刘昆、张晨、代光艳、王森、靳祥德、成荔、彭明杨、王莉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029-89581311、15667290283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18691396808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中标人参照国家计委颁发的《招标代理服务收费管理暂行办法》（计价格[2002]1980号）和发展委办公厅颁发的《关于招标代理服务收费有关问题的通知》（发改办价格[2003] 857号）的有关规定标准，向招标代理机构一次付清招标代理服务费。备注：在对招标代理服务费或者投标保证金转账时需备注项目名称+招标代理服务费或投标保证金。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渭南高新区管委会办公室</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渭南高新区管委会办公室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渭南高新区管委会办公室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联系人：赵婉婷、刘昆</w:t>
      </w:r>
    </w:p>
    <w:p>
      <w:pPr>
        <w:pStyle w:val="null3"/>
      </w:pPr>
      <w:r>
        <w:rPr>
          <w:rFonts w:ascii="仿宋_GB2312" w:hAnsi="仿宋_GB2312" w:cs="仿宋_GB2312" w:eastAsia="仿宋_GB2312"/>
        </w:rPr>
        <w:t>联系电话：029-89581311、15667290283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渭南高新区综合楼后勤保障服务管理一项，包含综合办公楼及四邻界（围墙）内的公共区域部分的楼体的维修、养护和管理、楼内公共部分的保洁服务、供水、供电、供暖、照明、消防等设备设施的正常运行和维修（小型维修）管理及绿化的日常养护燃气锅炉的维护保养等服务保障内容，具体以竞争性磋商文件及答疑文件等文件所涵盖的全部内容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综合楼后勤服务管理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标的名称：综合楼后勤服务管理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18"/>
                <w:b/>
                <w:color w:val="0000FF"/>
              </w:rPr>
              <w:t>一、项目概况：</w:t>
            </w:r>
          </w:p>
          <w:p>
            <w:pPr>
              <w:pStyle w:val="null3"/>
              <w:ind w:firstLine="480"/>
            </w:pPr>
            <w:r>
              <w:rPr>
                <w:rFonts w:ascii="仿宋_GB2312" w:hAnsi="仿宋_GB2312" w:cs="仿宋_GB2312" w:eastAsia="仿宋_GB2312"/>
                <w:sz w:val="18"/>
                <w:color w:val="0000FF"/>
              </w:rPr>
              <w:t>本项目拟采购渭南高新区综合楼后勤服务管理一项，包含综合办公楼及四邻界（围墙）内的公共区域部分的楼体的维修、养护和管理、楼内公共部分的保洁服务、供水、供电、供暖、照明、消防等设备设施的正常运行和维修（小型维修）管理及绿化的日常养护燃气锅炉的维护保养等服务保障内容。</w:t>
            </w:r>
          </w:p>
          <w:p>
            <w:pPr>
              <w:pStyle w:val="null3"/>
              <w:ind w:firstLine="482"/>
              <w:jc w:val="left"/>
            </w:pPr>
            <w:r>
              <w:rPr>
                <w:rFonts w:ascii="仿宋_GB2312" w:hAnsi="仿宋_GB2312" w:cs="仿宋_GB2312" w:eastAsia="仿宋_GB2312"/>
                <w:sz w:val="18"/>
                <w:b/>
                <w:color w:val="0000FF"/>
              </w:rPr>
              <w:t>二、服务内容：</w:t>
            </w:r>
          </w:p>
          <w:p>
            <w:pPr>
              <w:pStyle w:val="null3"/>
              <w:ind w:firstLine="480"/>
              <w:jc w:val="left"/>
            </w:pPr>
            <w:r>
              <w:rPr>
                <w:rFonts w:ascii="仿宋_GB2312" w:hAnsi="仿宋_GB2312" w:cs="仿宋_GB2312" w:eastAsia="仿宋_GB2312"/>
                <w:sz w:val="18"/>
                <w:color w:val="0000FF"/>
              </w:rPr>
              <w:t>（一）范围：综合办公楼及四邻界（围墙）内的公共区域部分。</w:t>
            </w:r>
          </w:p>
          <w:p>
            <w:pPr>
              <w:pStyle w:val="null3"/>
              <w:ind w:firstLine="480"/>
              <w:jc w:val="left"/>
            </w:pPr>
            <w:r>
              <w:rPr>
                <w:rFonts w:ascii="仿宋_GB2312" w:hAnsi="仿宋_GB2312" w:cs="仿宋_GB2312" w:eastAsia="仿宋_GB2312"/>
                <w:sz w:val="18"/>
                <w:color w:val="0000FF"/>
              </w:rPr>
              <w:t>（二）内容：</w:t>
            </w:r>
          </w:p>
          <w:p>
            <w:pPr>
              <w:pStyle w:val="null3"/>
              <w:ind w:firstLine="480"/>
              <w:jc w:val="left"/>
            </w:pPr>
            <w:r>
              <w:rPr>
                <w:rFonts w:ascii="仿宋_GB2312" w:hAnsi="仿宋_GB2312" w:cs="仿宋_GB2312" w:eastAsia="仿宋_GB2312"/>
                <w:sz w:val="18"/>
                <w:color w:val="0000FF"/>
              </w:rPr>
              <w:t>1.楼体的维修、养护和管理；</w:t>
            </w:r>
          </w:p>
          <w:p>
            <w:pPr>
              <w:pStyle w:val="null3"/>
              <w:ind w:firstLine="480"/>
              <w:jc w:val="left"/>
            </w:pPr>
            <w:r>
              <w:rPr>
                <w:rFonts w:ascii="仿宋_GB2312" w:hAnsi="仿宋_GB2312" w:cs="仿宋_GB2312" w:eastAsia="仿宋_GB2312"/>
                <w:sz w:val="18"/>
                <w:color w:val="0000FF"/>
              </w:rPr>
              <w:t>2.楼内公共部分的保洁服务；</w:t>
            </w:r>
          </w:p>
          <w:p>
            <w:pPr>
              <w:pStyle w:val="null3"/>
              <w:ind w:firstLine="480"/>
              <w:jc w:val="left"/>
            </w:pPr>
            <w:r>
              <w:rPr>
                <w:rFonts w:ascii="仿宋_GB2312" w:hAnsi="仿宋_GB2312" w:cs="仿宋_GB2312" w:eastAsia="仿宋_GB2312"/>
                <w:sz w:val="18"/>
                <w:color w:val="0000FF"/>
              </w:rPr>
              <w:t>3.供水、供电、供</w:t>
            </w:r>
            <w:r>
              <w:rPr>
                <w:rFonts w:ascii="仿宋_GB2312" w:hAnsi="仿宋_GB2312" w:cs="仿宋_GB2312" w:eastAsia="仿宋_GB2312"/>
                <w:sz w:val="18"/>
                <w:color w:val="0000FF"/>
              </w:rPr>
              <w:t>暖、照明、消防等设备设施的正常运行和维修（小型维修）管理</w:t>
            </w:r>
            <w:r>
              <w:rPr>
                <w:rFonts w:ascii="仿宋_GB2312" w:hAnsi="仿宋_GB2312" w:cs="仿宋_GB2312" w:eastAsia="仿宋_GB2312"/>
                <w:sz w:val="18"/>
                <w:color w:val="0000FF"/>
              </w:rPr>
              <w:t>及</w:t>
            </w:r>
            <w:r>
              <w:rPr>
                <w:rFonts w:ascii="仿宋_GB2312" w:hAnsi="仿宋_GB2312" w:cs="仿宋_GB2312" w:eastAsia="仿宋_GB2312"/>
                <w:sz w:val="18"/>
                <w:color w:val="0000FF"/>
              </w:rPr>
              <w:t>绿化</w:t>
            </w:r>
            <w:r>
              <w:rPr>
                <w:rFonts w:ascii="仿宋_GB2312" w:hAnsi="仿宋_GB2312" w:cs="仿宋_GB2312" w:eastAsia="仿宋_GB2312"/>
                <w:sz w:val="18"/>
                <w:color w:val="0000FF"/>
              </w:rPr>
              <w:t>的日常养护</w:t>
            </w:r>
            <w:r>
              <w:rPr>
                <w:rFonts w:ascii="仿宋_GB2312" w:hAnsi="仿宋_GB2312" w:cs="仿宋_GB2312" w:eastAsia="仿宋_GB2312"/>
                <w:sz w:val="18"/>
                <w:color w:val="0000FF"/>
              </w:rPr>
              <w:t>燃气锅炉的维护保养；</w:t>
            </w:r>
          </w:p>
          <w:p>
            <w:pPr>
              <w:pStyle w:val="null3"/>
              <w:ind w:firstLine="480"/>
              <w:jc w:val="left"/>
            </w:pPr>
            <w:r>
              <w:rPr>
                <w:rFonts w:ascii="仿宋_GB2312" w:hAnsi="仿宋_GB2312" w:cs="仿宋_GB2312" w:eastAsia="仿宋_GB2312"/>
                <w:sz w:val="18"/>
                <w:color w:val="0000FF"/>
              </w:rPr>
              <w:t>4.大厅接待（人员登记）及会议室客服服务；</w:t>
            </w:r>
          </w:p>
          <w:p>
            <w:pPr>
              <w:pStyle w:val="null3"/>
              <w:ind w:firstLine="480"/>
              <w:jc w:val="left"/>
            </w:pPr>
            <w:r>
              <w:rPr>
                <w:rFonts w:ascii="仿宋_GB2312" w:hAnsi="仿宋_GB2312" w:cs="仿宋_GB2312" w:eastAsia="仿宋_GB2312"/>
                <w:sz w:val="18"/>
                <w:color w:val="0000FF"/>
              </w:rPr>
              <w:t>5.大厦楼内外24小时安全保卫、门岗值勤、安全监控，车库车辆停放秩序的管理；</w:t>
            </w:r>
          </w:p>
          <w:p>
            <w:pPr>
              <w:pStyle w:val="null3"/>
              <w:ind w:firstLine="480"/>
              <w:jc w:val="left"/>
            </w:pPr>
            <w:r>
              <w:rPr>
                <w:rFonts w:ascii="仿宋_GB2312" w:hAnsi="仿宋_GB2312" w:cs="仿宋_GB2312" w:eastAsia="仿宋_GB2312"/>
                <w:sz w:val="18"/>
                <w:color w:val="0000FF"/>
              </w:rPr>
              <w:t>6.道路、室外上下水管道、景观灯、沟渠等的养护和管理</w:t>
            </w:r>
            <w:r>
              <w:rPr>
                <w:rFonts w:ascii="仿宋_GB2312" w:hAnsi="仿宋_GB2312" w:cs="仿宋_GB2312" w:eastAsia="仿宋_GB2312"/>
                <w:sz w:val="18"/>
                <w:color w:val="0000FF"/>
              </w:rPr>
              <w:t>；</w:t>
            </w:r>
          </w:p>
          <w:p>
            <w:pPr>
              <w:pStyle w:val="null3"/>
              <w:ind w:firstLine="480"/>
              <w:jc w:val="left"/>
            </w:pPr>
            <w:r>
              <w:rPr>
                <w:rFonts w:ascii="仿宋_GB2312" w:hAnsi="仿宋_GB2312" w:cs="仿宋_GB2312" w:eastAsia="仿宋_GB2312"/>
                <w:sz w:val="18"/>
                <w:color w:val="0000FF"/>
              </w:rPr>
              <w:t>7.大厦内外的垃圾收集、清运。</w:t>
            </w:r>
          </w:p>
          <w:p>
            <w:pPr>
              <w:pStyle w:val="null3"/>
              <w:ind w:firstLine="482"/>
              <w:jc w:val="left"/>
            </w:pPr>
            <w:r>
              <w:rPr>
                <w:rFonts w:ascii="仿宋_GB2312" w:hAnsi="仿宋_GB2312" w:cs="仿宋_GB2312" w:eastAsia="仿宋_GB2312"/>
                <w:sz w:val="18"/>
                <w:b/>
                <w:color w:val="0000FF"/>
              </w:rPr>
              <w:t>（一）保洁服务</w:t>
            </w:r>
          </w:p>
          <w:p>
            <w:pPr>
              <w:pStyle w:val="null3"/>
              <w:ind w:firstLine="480"/>
              <w:jc w:val="left"/>
            </w:pPr>
            <w:r>
              <w:rPr>
                <w:rFonts w:ascii="仿宋_GB2312" w:hAnsi="仿宋_GB2312" w:cs="仿宋_GB2312" w:eastAsia="仿宋_GB2312"/>
                <w:sz w:val="18"/>
                <w:color w:val="0000FF"/>
              </w:rPr>
              <w:t>1.内容：</w:t>
            </w:r>
          </w:p>
          <w:p>
            <w:pPr>
              <w:pStyle w:val="null3"/>
              <w:ind w:firstLine="480"/>
              <w:jc w:val="left"/>
            </w:pPr>
            <w:r>
              <w:rPr>
                <w:rFonts w:ascii="仿宋_GB2312" w:hAnsi="仿宋_GB2312" w:cs="仿宋_GB2312" w:eastAsia="仿宋_GB2312"/>
                <w:sz w:val="18"/>
                <w:color w:val="0000FF"/>
              </w:rPr>
              <w:t>区域内公用部分的日常清洁，按楼层设立专职卫生人员以确保清洁、舒适的工作环境。</w:t>
            </w:r>
          </w:p>
          <w:p>
            <w:pPr>
              <w:pStyle w:val="null3"/>
              <w:ind w:firstLine="480"/>
              <w:jc w:val="left"/>
            </w:pPr>
            <w:r>
              <w:rPr>
                <w:rFonts w:ascii="仿宋_GB2312" w:hAnsi="仿宋_GB2312" w:cs="仿宋_GB2312" w:eastAsia="仿宋_GB2312"/>
                <w:sz w:val="18"/>
                <w:color w:val="0000FF"/>
              </w:rPr>
              <w:t>2.标准：</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1）走廊、楼梯每日不间断循环式进行清扫，每周集中清洗2次，保持地面无垃圾、纸屑、烟头、水渍，并每天拖地4次，发现污渍、垃圾及时处理，保持光洁明亮，通风口每周保洁1次，无尘无蛛网等。</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2）玻璃面、光面设施等发现手印、污渍及时清理干净；</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3）垃圾桶（箱、缸）及时清理垃圾，区域内垃圾桶垃圾不超过容积的1/2，卫生间垃圾篓、茶叶桶垃圾不超过1/2或每日进行收集、更换，垃圾桶外立面应保持干净，光洁明亮；</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4）每日不间断巡回式清扫楼梯，每日拖洗楼梯2次，扶手、地脚线上无灰尘，楼梯墙面无黑色划痕，发现口香糖等污渍应及时进行清理，每周清洗楼梯1次。</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5）擦洗门庭玻璃墙面，每天1次。</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6）大理石、瓷砖等地面每日拖洗4次，不间断循环式用油推进行拖洗，保持地面光洁明亮。</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8）区域内所有标识标牌、指示灯牌每日清洁1次，应急灯每周清洁1次，保持无灰尘、无蛛网，明亮干净。</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9）消防栓、消防器材每日擦洗1次，每周全面保洁1次。</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10）墙面2米以下随时保洁，保持无污渍。</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11）排水明沟应每日保洁1次，每周全面清理1次。</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12）下水管口、散水每日清洁1次，散水无水渍、垃圾。</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13）走廊及公共通道顶面、墙角每周清洁2次，平时发现蛛网应及时清除。</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14）绿化带无烟头、纸屑、垃圾等。</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15）景观喷泉、灯箱、学习栏等每日清洁2次，每周全面保洁1次。</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16）车辆停放区域每日清扫一次，全天保洁，确保无垃圾，每周全面保洁一次。</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17）卫生间每天2次保洁，每间隔1小时巡查1次，并有巡查记录。镜面无印渍，各类洁具设备无污光亮。地面无明显水痕，无异味。</w:t>
            </w:r>
          </w:p>
          <w:p>
            <w:pPr>
              <w:pStyle w:val="null3"/>
              <w:ind w:firstLine="482"/>
              <w:jc w:val="left"/>
            </w:pPr>
            <w:r>
              <w:rPr>
                <w:rFonts w:ascii="仿宋_GB2312" w:hAnsi="仿宋_GB2312" w:cs="仿宋_GB2312" w:eastAsia="仿宋_GB2312"/>
                <w:sz w:val="18"/>
                <w:b/>
                <w:color w:val="0000FF"/>
              </w:rPr>
              <w:t>（二）</w:t>
            </w:r>
            <w:r>
              <w:rPr>
                <w:rFonts w:ascii="仿宋_GB2312" w:hAnsi="仿宋_GB2312" w:cs="仿宋_GB2312" w:eastAsia="仿宋_GB2312"/>
                <w:sz w:val="18"/>
                <w:b/>
                <w:color w:val="0000FF"/>
              </w:rPr>
              <w:t>综合安防管理服务</w:t>
            </w:r>
          </w:p>
          <w:p>
            <w:pPr>
              <w:pStyle w:val="null3"/>
              <w:ind w:firstLine="480"/>
              <w:jc w:val="left"/>
            </w:pPr>
            <w:r>
              <w:rPr>
                <w:rFonts w:ascii="仿宋_GB2312" w:hAnsi="仿宋_GB2312" w:cs="仿宋_GB2312" w:eastAsia="仿宋_GB2312"/>
                <w:sz w:val="18"/>
                <w:color w:val="0000FF"/>
              </w:rPr>
              <w:t>1.内容</w:t>
            </w:r>
            <w:r>
              <w:rPr>
                <w:rFonts w:ascii="仿宋_GB2312" w:hAnsi="仿宋_GB2312" w:cs="仿宋_GB2312" w:eastAsia="仿宋_GB2312"/>
                <w:sz w:val="18"/>
                <w:color w:val="0000FF"/>
              </w:rPr>
              <w:t>：</w:t>
            </w:r>
            <w:r>
              <w:rPr>
                <w:rFonts w:ascii="仿宋_GB2312" w:hAnsi="仿宋_GB2312" w:cs="仿宋_GB2312" w:eastAsia="仿宋_GB2312"/>
                <w:sz w:val="18"/>
                <w:color w:val="0000FF"/>
              </w:rPr>
              <w:t>在大厅、外围、车库设立专职保安人员，保证楼内外财产、消防等方面的安全。</w:t>
            </w:r>
          </w:p>
          <w:p>
            <w:pPr>
              <w:pStyle w:val="null3"/>
              <w:ind w:firstLine="480"/>
              <w:jc w:val="left"/>
            </w:pPr>
            <w:r>
              <w:rPr>
                <w:rFonts w:ascii="仿宋_GB2312" w:hAnsi="仿宋_GB2312" w:cs="仿宋_GB2312" w:eastAsia="仿宋_GB2312"/>
                <w:sz w:val="18"/>
                <w:color w:val="0000FF"/>
              </w:rPr>
              <w:t>2.标准：</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1）防盗、防聚众闹事、防各种破坏活动，防止任何影响工作人员工作和人身的行为。保证日常办公秩序井然有序，重大活动顺利进行，人身安全不受侵犯，财产不受损失。</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2）秩序维护管理期间，应合理按照区域实际情况设置固定岗位、流动巡岗、机动应急人员，建立完善、严密、可靠的秩序维护网。</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3）按照班次、时间、人员、岗位、性质来执行日常管理任务，设置门岗交接班、流动岗位常态化按照预定路线交叉进行。</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4）做好区域内出入人员、携物等按照相关要求做好工作。</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5）引导出入车辆按照路面标线行驶，保障区域通道畅通、安全。</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6）确保管理区域内无违规停车现象，道路路面应保持整洁、无损、畅通。</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7）对于进入管理区域的特种车辆应及时予以引导，并指挥车辆停放在规定的车位。</w:t>
            </w:r>
          </w:p>
          <w:p>
            <w:pPr>
              <w:pStyle w:val="null3"/>
              <w:ind w:firstLine="480"/>
              <w:jc w:val="left"/>
            </w:pPr>
            <w:r>
              <w:rPr>
                <w:rFonts w:ascii="仿宋_GB2312" w:hAnsi="仿宋_GB2312" w:cs="仿宋_GB2312" w:eastAsia="仿宋_GB2312"/>
                <w:sz w:val="18"/>
                <w:color w:val="0000FF"/>
              </w:rPr>
              <w:t>（</w:t>
            </w:r>
            <w:r>
              <w:rPr>
                <w:rFonts w:ascii="仿宋_GB2312" w:hAnsi="仿宋_GB2312" w:cs="仿宋_GB2312" w:eastAsia="仿宋_GB2312"/>
                <w:sz w:val="18"/>
                <w:color w:val="0000FF"/>
              </w:rPr>
              <w:t>8）对于未完好完毕车窗、门的车辆应第一时间联系驾驶人员或安排人员进行值守。</w:t>
            </w:r>
          </w:p>
          <w:p>
            <w:pPr>
              <w:pStyle w:val="null3"/>
              <w:ind w:left="480" w:firstLine="67"/>
              <w:jc w:val="left"/>
            </w:pPr>
            <w:r>
              <w:rPr>
                <w:rFonts w:ascii="仿宋_GB2312" w:hAnsi="仿宋_GB2312" w:cs="仿宋_GB2312" w:eastAsia="仿宋_GB2312"/>
                <w:sz w:val="18"/>
                <w:b/>
                <w:color w:val="0000FF"/>
              </w:rPr>
              <w:t>（三）其他服务</w:t>
            </w:r>
            <w:r>
              <w:br/>
            </w:r>
            <w:r>
              <w:rPr>
                <w:rFonts w:ascii="仿宋_GB2312" w:hAnsi="仿宋_GB2312" w:cs="仿宋_GB2312" w:eastAsia="仿宋_GB2312"/>
                <w:sz w:val="18"/>
                <w:color w:val="0000FF"/>
              </w:rPr>
              <w:t>1.消防设施</w:t>
            </w:r>
          </w:p>
          <w:p>
            <w:pPr>
              <w:pStyle w:val="null3"/>
              <w:ind w:firstLine="480"/>
              <w:jc w:val="left"/>
            </w:pPr>
            <w:r>
              <w:rPr>
                <w:rFonts w:ascii="仿宋_GB2312" w:hAnsi="仿宋_GB2312" w:cs="仿宋_GB2312" w:eastAsia="仿宋_GB2312"/>
                <w:sz w:val="18"/>
                <w:color w:val="0000FF"/>
              </w:rPr>
              <w:t>物业主要负责日常使用检查，发现问题故障，及维修费用由甲方承担。</w:t>
            </w:r>
          </w:p>
          <w:p>
            <w:pPr>
              <w:pStyle w:val="null3"/>
              <w:ind w:firstLine="480"/>
              <w:jc w:val="left"/>
            </w:pPr>
            <w:r>
              <w:rPr>
                <w:rFonts w:ascii="仿宋_GB2312" w:hAnsi="仿宋_GB2312" w:cs="仿宋_GB2312" w:eastAsia="仿宋_GB2312"/>
                <w:sz w:val="18"/>
                <w:color w:val="0000FF"/>
              </w:rPr>
              <w:t>2.照明系统</w:t>
            </w:r>
          </w:p>
          <w:p>
            <w:pPr>
              <w:pStyle w:val="null3"/>
              <w:ind w:firstLine="480"/>
              <w:jc w:val="left"/>
            </w:pPr>
            <w:r>
              <w:rPr>
                <w:rFonts w:ascii="仿宋_GB2312" w:hAnsi="仿宋_GB2312" w:cs="仿宋_GB2312" w:eastAsia="仿宋_GB2312"/>
                <w:sz w:val="18"/>
                <w:color w:val="0000FF"/>
              </w:rPr>
              <w:t>包括各类灯具、开关、插座等，由物业负责日常使用检查维护，发现问题故障及时解决，需要配件的由甲方购买。</w:t>
            </w:r>
          </w:p>
          <w:p>
            <w:pPr>
              <w:pStyle w:val="null3"/>
              <w:ind w:firstLine="480"/>
              <w:jc w:val="left"/>
            </w:pPr>
            <w:r>
              <w:rPr>
                <w:rFonts w:ascii="仿宋_GB2312" w:hAnsi="仿宋_GB2312" w:cs="仿宋_GB2312" w:eastAsia="仿宋_GB2312"/>
                <w:sz w:val="18"/>
                <w:color w:val="0000FF"/>
              </w:rPr>
              <w:t>3.供水、排污系统</w:t>
            </w:r>
          </w:p>
          <w:p>
            <w:pPr>
              <w:pStyle w:val="null3"/>
              <w:ind w:firstLine="480"/>
              <w:jc w:val="left"/>
            </w:pPr>
            <w:r>
              <w:rPr>
                <w:rFonts w:ascii="仿宋_GB2312" w:hAnsi="仿宋_GB2312" w:cs="仿宋_GB2312" w:eastAsia="仿宋_GB2312"/>
                <w:sz w:val="18"/>
                <w:color w:val="0000FF"/>
              </w:rPr>
              <w:t>供水、排污系统指生活、消防、绿化、人防用水，主要设备包括各类水泵、阀门及水箱，由物业负责日常使用检查维护，发现问题故障及时解决，需要配件的由甲方购买。</w:t>
            </w:r>
          </w:p>
          <w:p>
            <w:pPr>
              <w:pStyle w:val="null3"/>
              <w:ind w:firstLine="480"/>
              <w:jc w:val="left"/>
            </w:pPr>
            <w:r>
              <w:rPr>
                <w:rFonts w:ascii="仿宋_GB2312" w:hAnsi="仿宋_GB2312" w:cs="仿宋_GB2312" w:eastAsia="仿宋_GB2312"/>
                <w:sz w:val="18"/>
                <w:color w:val="0000FF"/>
              </w:rPr>
              <w:t>4.绿化</w:t>
            </w:r>
            <w:r>
              <w:rPr>
                <w:rFonts w:ascii="仿宋_GB2312" w:hAnsi="仿宋_GB2312" w:cs="仿宋_GB2312" w:eastAsia="仿宋_GB2312"/>
                <w:sz w:val="18"/>
                <w:color w:val="0000FF"/>
              </w:rPr>
              <w:t>的日常养护。</w:t>
            </w:r>
          </w:p>
          <w:p>
            <w:pPr>
              <w:pStyle w:val="null3"/>
              <w:ind w:firstLine="480"/>
              <w:jc w:val="left"/>
            </w:pPr>
            <w:r>
              <w:rPr>
                <w:rFonts w:ascii="仿宋_GB2312" w:hAnsi="仿宋_GB2312" w:cs="仿宋_GB2312" w:eastAsia="仿宋_GB2312"/>
                <w:sz w:val="18"/>
                <w:color w:val="0000FF"/>
              </w:rPr>
              <w:t>5.</w:t>
            </w:r>
            <w:r>
              <w:rPr>
                <w:rFonts w:ascii="仿宋_GB2312" w:hAnsi="仿宋_GB2312" w:cs="仿宋_GB2312" w:eastAsia="仿宋_GB2312"/>
                <w:sz w:val="18"/>
                <w:color w:val="0000FF"/>
              </w:rPr>
              <w:t>燃气锅炉的维护保养</w:t>
            </w:r>
            <w:r>
              <w:rPr>
                <w:rFonts w:ascii="仿宋_GB2312" w:hAnsi="仿宋_GB2312" w:cs="仿宋_GB2312" w:eastAsia="仿宋_GB2312"/>
                <w:sz w:val="18"/>
                <w:color w:val="0000FF"/>
              </w:rPr>
              <w:t>。</w:t>
            </w:r>
            <w:r>
              <w:rPr>
                <w:rFonts w:ascii="仿宋_GB2312" w:hAnsi="仿宋_GB2312" w:cs="仿宋_GB2312" w:eastAsia="仿宋_GB2312"/>
                <w:sz w:val="18"/>
                <w:color w:val="0000FF"/>
              </w:rPr>
              <w:t>日常</w:t>
            </w:r>
            <w:r>
              <w:rPr>
                <w:rFonts w:ascii="仿宋_GB2312" w:hAnsi="仿宋_GB2312" w:cs="仿宋_GB2312" w:eastAsia="仿宋_GB2312"/>
                <w:sz w:val="18"/>
                <w:color w:val="0000FF"/>
              </w:rPr>
              <w:t>保养</w:t>
            </w:r>
            <w:r>
              <w:rPr>
                <w:rFonts w:ascii="仿宋_GB2312" w:hAnsi="仿宋_GB2312" w:cs="仿宋_GB2312" w:eastAsia="仿宋_GB2312"/>
                <w:sz w:val="18"/>
                <w:color w:val="0000FF"/>
              </w:rPr>
              <w:t>，发现问题故障</w:t>
            </w:r>
            <w:r>
              <w:rPr>
                <w:rFonts w:ascii="仿宋_GB2312" w:hAnsi="仿宋_GB2312" w:cs="仿宋_GB2312" w:eastAsia="仿宋_GB2312"/>
                <w:sz w:val="18"/>
                <w:color w:val="0000FF"/>
              </w:rPr>
              <w:t>，</w:t>
            </w:r>
            <w:r>
              <w:rPr>
                <w:rFonts w:ascii="仿宋_GB2312" w:hAnsi="仿宋_GB2312" w:cs="仿宋_GB2312" w:eastAsia="仿宋_GB2312"/>
                <w:sz w:val="18"/>
                <w:color w:val="0000FF"/>
              </w:rPr>
              <w:t>及维修费用由甲方承担。</w:t>
            </w:r>
          </w:p>
          <w:p>
            <w:pPr>
              <w:pStyle w:val="null3"/>
              <w:ind w:firstLine="482"/>
              <w:jc w:val="left"/>
            </w:pPr>
            <w:r>
              <w:rPr>
                <w:rFonts w:ascii="仿宋_GB2312" w:hAnsi="仿宋_GB2312" w:cs="仿宋_GB2312" w:eastAsia="仿宋_GB2312"/>
                <w:sz w:val="18"/>
                <w:b/>
                <w:color w:val="0000FF"/>
              </w:rPr>
              <w:t>（四）人员要求</w:t>
            </w:r>
          </w:p>
          <w:p>
            <w:pPr>
              <w:pStyle w:val="null3"/>
              <w:ind w:firstLine="480"/>
              <w:jc w:val="left"/>
            </w:pPr>
            <w:r>
              <w:rPr>
                <w:rFonts w:ascii="仿宋_GB2312" w:hAnsi="仿宋_GB2312" w:cs="仿宋_GB2312" w:eastAsia="仿宋_GB2312"/>
                <w:sz w:val="18"/>
                <w:color w:val="0000FF"/>
              </w:rPr>
              <w:t>1.保洁服务：</w:t>
            </w:r>
            <w:r>
              <w:rPr>
                <w:rFonts w:ascii="仿宋_GB2312" w:hAnsi="仿宋_GB2312" w:cs="仿宋_GB2312" w:eastAsia="仿宋_GB2312"/>
                <w:sz w:val="18"/>
                <w:color w:val="0000FF"/>
              </w:rPr>
              <w:t>共计</w:t>
            </w:r>
            <w:r>
              <w:rPr>
                <w:rFonts w:ascii="仿宋_GB2312" w:hAnsi="仿宋_GB2312" w:cs="仿宋_GB2312" w:eastAsia="仿宋_GB2312"/>
                <w:sz w:val="18"/>
                <w:color w:val="0000FF"/>
              </w:rPr>
              <w:t>11人</w:t>
            </w:r>
            <w:r>
              <w:rPr>
                <w:rFonts w:ascii="仿宋_GB2312" w:hAnsi="仿宋_GB2312" w:cs="仿宋_GB2312" w:eastAsia="仿宋_GB2312"/>
                <w:sz w:val="18"/>
                <w:color w:val="0000FF"/>
              </w:rPr>
              <w:t>，</w:t>
            </w:r>
            <w:r>
              <w:rPr>
                <w:rFonts w:ascii="仿宋_GB2312" w:hAnsi="仿宋_GB2312" w:cs="仿宋_GB2312" w:eastAsia="仿宋_GB2312"/>
                <w:sz w:val="18"/>
                <w:color w:val="0000FF"/>
              </w:rPr>
              <w:t>其中</w:t>
            </w:r>
            <w:r>
              <w:rPr>
                <w:rFonts w:ascii="仿宋_GB2312" w:hAnsi="仿宋_GB2312" w:cs="仿宋_GB2312" w:eastAsia="仿宋_GB2312"/>
                <w:sz w:val="18"/>
                <w:color w:val="0000FF"/>
              </w:rPr>
              <w:t>保洁主管：</w:t>
            </w:r>
            <w:r>
              <w:rPr>
                <w:rFonts w:ascii="仿宋_GB2312" w:hAnsi="仿宋_GB2312" w:cs="仿宋_GB2312" w:eastAsia="仿宋_GB2312"/>
                <w:sz w:val="18"/>
                <w:color w:val="0000FF"/>
              </w:rPr>
              <w:t>1人、楼层/公共区域保洁：8人、外围/车库/绿化带保洁：2人</w:t>
            </w:r>
            <w:r>
              <w:rPr>
                <w:rFonts w:ascii="仿宋_GB2312" w:hAnsi="仿宋_GB2312" w:cs="仿宋_GB2312" w:eastAsia="仿宋_GB2312"/>
                <w:sz w:val="18"/>
                <w:color w:val="0000FF"/>
              </w:rPr>
              <w:t>。</w:t>
            </w:r>
          </w:p>
          <w:p>
            <w:pPr>
              <w:pStyle w:val="null3"/>
              <w:ind w:firstLine="480"/>
              <w:jc w:val="left"/>
            </w:pPr>
            <w:r>
              <w:rPr>
                <w:rFonts w:ascii="仿宋_GB2312" w:hAnsi="仿宋_GB2312" w:cs="仿宋_GB2312" w:eastAsia="仿宋_GB2312"/>
                <w:sz w:val="18"/>
                <w:color w:val="0000FF"/>
              </w:rPr>
              <w:t>2.安保服务：</w:t>
            </w:r>
            <w:r>
              <w:rPr>
                <w:rFonts w:ascii="仿宋_GB2312" w:hAnsi="仿宋_GB2312" w:cs="仿宋_GB2312" w:eastAsia="仿宋_GB2312"/>
                <w:sz w:val="18"/>
                <w:color w:val="0000FF"/>
              </w:rPr>
              <w:t>共计</w:t>
            </w:r>
            <w:r>
              <w:rPr>
                <w:rFonts w:ascii="仿宋_GB2312" w:hAnsi="仿宋_GB2312" w:cs="仿宋_GB2312" w:eastAsia="仿宋_GB2312"/>
                <w:sz w:val="18"/>
                <w:color w:val="0000FF"/>
              </w:rPr>
              <w:t>8人</w:t>
            </w:r>
            <w:r>
              <w:rPr>
                <w:rFonts w:ascii="仿宋_GB2312" w:hAnsi="仿宋_GB2312" w:cs="仿宋_GB2312" w:eastAsia="仿宋_GB2312"/>
                <w:sz w:val="18"/>
                <w:color w:val="0000FF"/>
              </w:rPr>
              <w:t>，</w:t>
            </w:r>
            <w:r>
              <w:rPr>
                <w:rFonts w:ascii="仿宋_GB2312" w:hAnsi="仿宋_GB2312" w:cs="仿宋_GB2312" w:eastAsia="仿宋_GB2312"/>
                <w:sz w:val="18"/>
                <w:color w:val="0000FF"/>
              </w:rPr>
              <w:t>其中</w:t>
            </w:r>
            <w:r>
              <w:rPr>
                <w:rFonts w:ascii="仿宋_GB2312" w:hAnsi="仿宋_GB2312" w:cs="仿宋_GB2312" w:eastAsia="仿宋_GB2312"/>
                <w:sz w:val="18"/>
                <w:color w:val="0000FF"/>
              </w:rPr>
              <w:t>安保主管：</w:t>
            </w:r>
            <w:r>
              <w:rPr>
                <w:rFonts w:ascii="仿宋_GB2312" w:hAnsi="仿宋_GB2312" w:cs="仿宋_GB2312" w:eastAsia="仿宋_GB2312"/>
                <w:sz w:val="18"/>
                <w:color w:val="0000FF"/>
              </w:rPr>
              <w:t>1人、门岗/大厅安保：3人、巡逻/车库安保：4人、实行三班制或两班倒，满足24小时值守要求：</w:t>
            </w:r>
          </w:p>
          <w:p>
            <w:pPr>
              <w:pStyle w:val="null3"/>
              <w:ind w:firstLine="480"/>
              <w:jc w:val="left"/>
            </w:pPr>
            <w:r>
              <w:rPr>
                <w:rFonts w:ascii="仿宋_GB2312" w:hAnsi="仿宋_GB2312" w:cs="仿宋_GB2312" w:eastAsia="仿宋_GB2312"/>
                <w:sz w:val="18"/>
                <w:color w:val="0000FF"/>
              </w:rPr>
              <w:t>3.综合运维/客服：1 人</w:t>
            </w:r>
            <w:r>
              <w:rPr>
                <w:rFonts w:ascii="仿宋_GB2312" w:hAnsi="仿宋_GB2312" w:cs="仿宋_GB2312" w:eastAsia="仿宋_GB2312"/>
                <w:sz w:val="18"/>
                <w:color w:val="0000FF"/>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自合同签订之日起1年。本项目在合同期满前后，根据服务满意程度，甲方有权决定是否续签合同，累计合同履行期限不超过两年，合同一年一签。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执行的国家相关标准、行业标准、地方标准或者其他标准、规范，则统一执行最新标准、规范及采购人相关要求。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每年费用分四个季度支付,达到合同要求后，每个季度结束后一个月内支付上个季度服务费用（第一季度）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每年费用分四个季度支付,达到合同要求后，每个季度结束后一个月内支付上个季度服务费用（第二季度）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每年费用分四个季度支付,达到合同要求后，每个季度结束后一个月内支付上个季度服务费用（第三季度）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每年费用分四个季度支付,达到合同要求后，每个季度结束后一个月内支付上个季度服务费用（第四季度）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本项目采购预算：750000元/年。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至少包括资产负债表和利润表，成立时间至提交磋商响应文件截止时间不足一年的可提供成立后任意时段的资产负债表），或磋商时间前六个月内公司基本户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1日以来已缴存的至少一个月的社会保障资金缴存单据或社保机构开具的社会保险参保缴费情况证明，单据或证明上应有社保机构或代收机构的公章或业务专用章。依法不需要缴纳社会保障资金的服务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自2025年4月1日以来已缴纳的至少一个月的纳税证明或完税证明，证明上应有代收机构或税务机关的公章或业务专用章。依法免税的服务商应提供相关文件证明；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其他承诺</w:t>
            </w:r>
          </w:p>
        </w:tc>
        <w:tc>
          <w:tcPr>
            <w:tcW w:type="dxa" w:w="3322"/>
          </w:tcPr>
          <w:p>
            <w:pPr>
              <w:pStyle w:val="null3"/>
            </w:pPr>
            <w:r>
              <w:rPr>
                <w:rFonts w:ascii="仿宋_GB2312" w:hAnsi="仿宋_GB2312" w:cs="仿宋_GB2312" w:eastAsia="仿宋_GB2312"/>
              </w:rPr>
              <w:t>供应商须提供具备履行合同所必需的设备和专业技术能力的承诺。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磋商报价唯一，磋商报价未超过预算金额或者最高限价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按竞争性磋商文件要求签署、盖章</w:t>
            </w:r>
          </w:p>
        </w:tc>
        <w:tc>
          <w:tcPr>
            <w:tcW w:type="dxa" w:w="3322"/>
          </w:tcPr>
          <w:p>
            <w:pPr>
              <w:pStyle w:val="null3"/>
            </w:pPr>
            <w:r>
              <w:rPr>
                <w:rFonts w:ascii="仿宋_GB2312" w:hAnsi="仿宋_GB2312" w:cs="仿宋_GB2312" w:eastAsia="仿宋_GB2312"/>
              </w:rPr>
              <w:t>按竞争性磋商文件要求签署、盖章</w:t>
            </w:r>
          </w:p>
        </w:tc>
        <w:tc>
          <w:tcPr>
            <w:tcW w:type="dxa" w:w="1661"/>
          </w:tcPr>
          <w:p>
            <w:pPr>
              <w:pStyle w:val="null3"/>
            </w:pPr>
            <w:r>
              <w:rPr>
                <w:rFonts w:ascii="仿宋_GB2312" w:hAnsi="仿宋_GB2312" w:cs="仿宋_GB2312" w:eastAsia="仿宋_GB2312"/>
              </w:rPr>
              <w:t>服务内容及服务邀请应答表 服务开展的组织措施及制度.docx 中小企业声明函 商务应答表 服务质量的保障措施.docx 报价表 整体服务的思路及要点.docx 服务开展的流程及规范.docx 响应文件封面 项目配套服务设备.docx 业绩表.docx 供应商应提交的相关资格证明材料.docx 残疾人福利性单位声明函 法定代表人证明书及授权书.docx 标的清单 响应函 服务团队配备情况.docx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服务开展的组织措施及制度.docx 中小企业声明函 商务应答表 服务质量的保障措施.docx 报价表 整体服务的思路及要点.docx 服务开展的流程及规范.docx 响应文件封面 项目配套服务设备.docx 业绩表.docx 供应商应提交的相关资格证明材料.docx 残疾人福利性单位声明函 法定代表人证明书及授权书.docx 标的清单 响应函 服务团队配备情况.docx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服务内容及服务邀请应答表 服务开展的组织措施及制度.docx 中小企业声明函 商务应答表 服务质量的保障措施.docx 报价表 整体服务的思路及要点.docx 服务开展的流程及规范.docx 响应文件封面 项目配套服务设备.docx 业绩表.docx 供应商应提交的相关资格证明材料.docx 残疾人福利性单位声明函 法定代表人证明书及授权书.docx 标的清单 响应函 服务团队配备情况.docx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根据供应商针对服务要求响应情况进行评审，完全响应并满足服务要求的得21分，有一项未响应或不满足采购需求的扣0.5分，扣完为止。 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供应商提供的整体服务的思路及要点需包含①核心需求把握度；②重难点深度分析；③需求适配针对性，共3项内容，每项满分3分，总分9分。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整体服务的思路及要点.docx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供应商提供的服务质量保障措施方案需包含①核心环节质量管控措施；②整改机制；③完善的售后服务体系，共3项内容，每项满分3分，总分9分。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服务质量的保障措施.docx</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供应商提供的服务开展的组织措施及制度方案需包含①组织机构方案；②有关管理制度；③应急保障能力，共3项内容，每项满分3分，总分9分。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服务开展的组织措施及制度.docx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供应商提供的服务开展的流程及规范方案需包含①服务流程及实施；②各环节衔接保障措施；③内外部沟通机制，共3项内容，每项满分3分，总分9分。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服务开展的流程及规范.docx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供应商提供的服务团队配备情况需包含①人员配置情况表；②核心成员具备的专业资质及同类项目服务经验；③各流程节点岗位职责划分及岗位管理机制，共3项内容，每项满分3分，总分9分。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服务团队配备情况.docx</w:t>
            </w:r>
          </w:p>
        </w:tc>
      </w:tr>
      <w:tr>
        <w:tc>
          <w:tcPr>
            <w:tcW w:type="dxa" w:w="831"/>
            <w:vMerge/>
          </w:tcPr>
          <w:p/>
        </w:tc>
        <w:tc>
          <w:tcPr>
            <w:tcW w:type="dxa" w:w="1661"/>
          </w:tcPr>
          <w:p>
            <w:pPr>
              <w:pStyle w:val="null3"/>
            </w:pPr>
            <w:r>
              <w:rPr>
                <w:rFonts w:ascii="仿宋_GB2312" w:hAnsi="仿宋_GB2312" w:cs="仿宋_GB2312" w:eastAsia="仿宋_GB2312"/>
              </w:rPr>
              <w:t>项目配套服务设备</w:t>
            </w:r>
          </w:p>
        </w:tc>
        <w:tc>
          <w:tcPr>
            <w:tcW w:type="dxa" w:w="2492"/>
          </w:tcPr>
          <w:p>
            <w:pPr>
              <w:pStyle w:val="null3"/>
            </w:pPr>
            <w:r>
              <w:rPr>
                <w:rFonts w:ascii="仿宋_GB2312" w:hAnsi="仿宋_GB2312" w:cs="仿宋_GB2312" w:eastAsia="仿宋_GB2312"/>
              </w:rPr>
              <w:t>供应商提供的项目配套服务设备需包含①项目配套服务设备配置情况表；②项目配套服务设备的性能及运行状态；③项目配套服务设备的运维及备用方案，共3项内容，每项满分3分，总分9分。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项目配套服务设备.docx</w:t>
            </w:r>
          </w:p>
        </w:tc>
      </w:tr>
      <w:tr>
        <w:tc>
          <w:tcPr>
            <w:tcW w:type="dxa" w:w="831"/>
            <w:vMerge/>
          </w:tcPr>
          <w:p/>
        </w:tc>
        <w:tc>
          <w:tcPr>
            <w:tcW w:type="dxa" w:w="1661"/>
          </w:tcPr>
          <w:p>
            <w:pPr>
              <w:pStyle w:val="null3"/>
            </w:pPr>
            <w:r>
              <w:rPr>
                <w:rFonts w:ascii="仿宋_GB2312" w:hAnsi="仿宋_GB2312" w:cs="仿宋_GB2312" w:eastAsia="仿宋_GB2312"/>
              </w:rPr>
              <w:t>企业 业绩</w:t>
            </w:r>
          </w:p>
        </w:tc>
        <w:tc>
          <w:tcPr>
            <w:tcW w:type="dxa" w:w="2492"/>
          </w:tcPr>
          <w:p>
            <w:pPr>
              <w:pStyle w:val="null3"/>
            </w:pPr>
            <w:r>
              <w:rPr>
                <w:rFonts w:ascii="仿宋_GB2312" w:hAnsi="仿宋_GB2312" w:cs="仿宋_GB2312" w:eastAsia="仿宋_GB2312"/>
              </w:rPr>
              <w:t>供应商应在响应文件中提供该供应商自2023年1月1日起至今的类似业绩证明材料，每提供一份有效类似业绩证明材料的得2分，满分10分。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详见附件：整体服务的思路及要点.docx</w:t>
      </w:r>
    </w:p>
    <w:p>
      <w:pPr>
        <w:pStyle w:val="null3"/>
        <w:ind w:firstLine="960"/>
      </w:pPr>
      <w:r>
        <w:rPr>
          <w:rFonts w:ascii="仿宋_GB2312" w:hAnsi="仿宋_GB2312" w:cs="仿宋_GB2312" w:eastAsia="仿宋_GB2312"/>
        </w:rPr>
        <w:t>详见附件：服务质量的保障措施.docx</w:t>
      </w:r>
    </w:p>
    <w:p>
      <w:pPr>
        <w:pStyle w:val="null3"/>
        <w:ind w:firstLine="960"/>
      </w:pPr>
      <w:r>
        <w:rPr>
          <w:rFonts w:ascii="仿宋_GB2312" w:hAnsi="仿宋_GB2312" w:cs="仿宋_GB2312" w:eastAsia="仿宋_GB2312"/>
        </w:rPr>
        <w:t>详见附件：服务开展的组织措施及制度.docx</w:t>
      </w:r>
    </w:p>
    <w:p>
      <w:pPr>
        <w:pStyle w:val="null3"/>
        <w:ind w:firstLine="960"/>
      </w:pPr>
      <w:r>
        <w:rPr>
          <w:rFonts w:ascii="仿宋_GB2312" w:hAnsi="仿宋_GB2312" w:cs="仿宋_GB2312" w:eastAsia="仿宋_GB2312"/>
        </w:rPr>
        <w:t>详见附件：服务开展的流程及规范.docx</w:t>
      </w:r>
    </w:p>
    <w:p>
      <w:pPr>
        <w:pStyle w:val="null3"/>
        <w:ind w:firstLine="960"/>
      </w:pPr>
      <w:r>
        <w:rPr>
          <w:rFonts w:ascii="仿宋_GB2312" w:hAnsi="仿宋_GB2312" w:cs="仿宋_GB2312" w:eastAsia="仿宋_GB2312"/>
        </w:rPr>
        <w:t>详见附件：服务团队配备情况.docx</w:t>
      </w:r>
    </w:p>
    <w:p>
      <w:pPr>
        <w:pStyle w:val="null3"/>
        <w:ind w:firstLine="960"/>
      </w:pPr>
      <w:r>
        <w:rPr>
          <w:rFonts w:ascii="仿宋_GB2312" w:hAnsi="仿宋_GB2312" w:cs="仿宋_GB2312" w:eastAsia="仿宋_GB2312"/>
        </w:rPr>
        <w:t>详见附件：项目配套服务设备.docx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