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9C85A">
      <w:pPr>
        <w:pStyle w:val="4"/>
        <w:jc w:val="center"/>
        <w:rPr>
          <w:rFonts w:hint="eastAsia" w:ascii="宋体" w:hAnsi="宋体" w:eastAsia="宋体" w:cs="宋体"/>
          <w:b/>
          <w:bCs w:val="0"/>
          <w:sz w:val="32"/>
          <w:szCs w:val="32"/>
          <w:highlight w:val="none"/>
          <w:lang w:val="en-US" w:eastAsia="zh-CN" w:bidi="ar-SA"/>
        </w:rPr>
      </w:pPr>
      <w:r>
        <w:rPr>
          <w:rFonts w:hint="eastAsia" w:ascii="宋体" w:hAnsi="宋体" w:eastAsia="宋体" w:cs="宋体"/>
          <w:b/>
          <w:bCs w:val="0"/>
          <w:sz w:val="32"/>
          <w:szCs w:val="32"/>
          <w:highlight w:val="none"/>
          <w:lang w:val="en-US" w:eastAsia="zh-CN" w:bidi="ar-SA"/>
        </w:rPr>
        <w:t>拟签订采购合同文本</w:t>
      </w:r>
    </w:p>
    <w:p w14:paraId="4E4DA19E">
      <w:pPr>
        <w:pStyle w:val="7"/>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w:t>
      </w:r>
    </w:p>
    <w:p w14:paraId="60FDC98D">
      <w:pPr>
        <w:adjustRightInd w:val="0"/>
        <w:snapToGrid w:val="0"/>
        <w:spacing w:line="360" w:lineRule="auto"/>
        <w:jc w:val="center"/>
        <w:rPr>
          <w:rFonts w:ascii="宋体" w:hAnsi="宋体" w:eastAsia="宋体" w:cs="宋体"/>
          <w:b/>
          <w:bCs/>
          <w:sz w:val="48"/>
          <w:szCs w:val="48"/>
          <w:highlight w:val="none"/>
        </w:rPr>
      </w:pPr>
    </w:p>
    <w:p w14:paraId="071BD030">
      <w:pPr>
        <w:adjustRightInd w:val="0"/>
        <w:snapToGrid w:val="0"/>
        <w:spacing w:line="360" w:lineRule="auto"/>
        <w:jc w:val="center"/>
        <w:rPr>
          <w:rFonts w:hint="eastAsia" w:ascii="宋体" w:hAnsi="宋体" w:eastAsia="宋体" w:cs="宋体"/>
          <w:b/>
          <w:bCs/>
          <w:sz w:val="48"/>
          <w:szCs w:val="48"/>
          <w:highlight w:val="none"/>
          <w:lang w:eastAsia="zh-CN"/>
        </w:rPr>
      </w:pPr>
      <w:r>
        <w:rPr>
          <w:rFonts w:hint="eastAsia" w:ascii="宋体" w:hAnsi="宋体" w:eastAsia="宋体" w:cs="宋体"/>
          <w:b/>
          <w:bCs/>
          <w:sz w:val="48"/>
          <w:szCs w:val="48"/>
          <w:highlight w:val="none"/>
          <w:lang w:eastAsia="zh-CN"/>
        </w:rPr>
        <w:t>渭南高新区管委会办公室创业大厦机关餐厅后厨服务及食材供应采购项目</w:t>
      </w:r>
    </w:p>
    <w:p w14:paraId="78EABD61">
      <w:pPr>
        <w:adjustRightInd w:val="0"/>
        <w:snapToGrid w:val="0"/>
        <w:spacing w:line="360" w:lineRule="auto"/>
        <w:ind w:firstLine="2409" w:firstLineChars="1000"/>
        <w:jc w:val="left"/>
        <w:rPr>
          <w:rFonts w:ascii="宋体" w:hAnsi="宋体" w:eastAsia="宋体" w:cs="宋体"/>
          <w:b/>
          <w:bCs/>
          <w:sz w:val="24"/>
          <w:highlight w:val="none"/>
        </w:rPr>
      </w:pPr>
    </w:p>
    <w:p w14:paraId="26ED3F87">
      <w:pPr>
        <w:adjustRightInd w:val="0"/>
        <w:snapToGrid w:val="0"/>
        <w:spacing w:line="360" w:lineRule="auto"/>
        <w:ind w:firstLine="2400" w:firstLineChars="1000"/>
        <w:jc w:val="left"/>
        <w:rPr>
          <w:rFonts w:ascii="宋体" w:hAnsi="宋体" w:eastAsia="宋体" w:cs="宋体"/>
          <w:b/>
          <w:bCs/>
          <w:sz w:val="24"/>
          <w:highlight w:val="none"/>
        </w:rPr>
      </w:pPr>
      <w:r>
        <w:rPr>
          <w:rFonts w:hint="eastAsia" w:ascii="宋体" w:hAnsi="宋体" w:eastAsia="宋体" w:cs="宋体"/>
          <w:sz w:val="24"/>
          <w:highlight w:val="none"/>
        </w:rPr>
        <w:t xml:space="preserve">  </w:t>
      </w:r>
      <w:r>
        <w:rPr>
          <w:rFonts w:hint="eastAsia" w:ascii="宋体" w:hAnsi="宋体" w:eastAsia="宋体" w:cs="宋体"/>
          <w:b/>
          <w:bCs/>
          <w:sz w:val="84"/>
          <w:szCs w:val="84"/>
          <w:highlight w:val="none"/>
        </w:rPr>
        <w:t>服务合同</w:t>
      </w:r>
    </w:p>
    <w:p w14:paraId="7BCB5AF3">
      <w:pPr>
        <w:adjustRightInd w:val="0"/>
        <w:snapToGrid w:val="0"/>
        <w:spacing w:line="360" w:lineRule="auto"/>
        <w:ind w:firstLine="2409" w:firstLineChars="1000"/>
        <w:jc w:val="left"/>
        <w:rPr>
          <w:rFonts w:ascii="宋体" w:hAnsi="宋体" w:eastAsia="宋体" w:cs="宋体"/>
          <w:b/>
          <w:bCs/>
          <w:sz w:val="24"/>
          <w:highlight w:val="none"/>
        </w:rPr>
      </w:pPr>
    </w:p>
    <w:p w14:paraId="20CBDE44">
      <w:pPr>
        <w:adjustRightInd w:val="0"/>
        <w:snapToGrid w:val="0"/>
        <w:spacing w:line="360" w:lineRule="auto"/>
        <w:ind w:firstLine="480" w:firstLineChars="200"/>
        <w:jc w:val="left"/>
        <w:rPr>
          <w:rFonts w:ascii="宋体" w:hAnsi="宋体" w:eastAsia="宋体" w:cs="宋体"/>
          <w:sz w:val="24"/>
          <w:highlight w:val="none"/>
        </w:rPr>
      </w:pPr>
    </w:p>
    <w:p w14:paraId="729CE501">
      <w:pPr>
        <w:adjustRightInd w:val="0"/>
        <w:snapToGrid w:val="0"/>
        <w:spacing w:line="360" w:lineRule="auto"/>
        <w:ind w:firstLine="480" w:firstLineChars="200"/>
        <w:jc w:val="left"/>
        <w:rPr>
          <w:rFonts w:ascii="宋体" w:hAnsi="宋体" w:eastAsia="宋体" w:cs="宋体"/>
          <w:sz w:val="24"/>
          <w:highlight w:val="none"/>
        </w:rPr>
      </w:pPr>
    </w:p>
    <w:p w14:paraId="3001AC1A">
      <w:pPr>
        <w:adjustRightInd w:val="0"/>
        <w:snapToGrid w:val="0"/>
        <w:spacing w:line="360" w:lineRule="auto"/>
        <w:ind w:firstLine="480" w:firstLineChars="200"/>
        <w:jc w:val="left"/>
        <w:rPr>
          <w:rFonts w:ascii="宋体" w:hAnsi="宋体" w:eastAsia="宋体" w:cs="宋体"/>
          <w:sz w:val="24"/>
          <w:highlight w:val="none"/>
        </w:rPr>
      </w:pPr>
    </w:p>
    <w:p w14:paraId="474B5B31">
      <w:pPr>
        <w:adjustRightInd w:val="0"/>
        <w:snapToGrid w:val="0"/>
        <w:spacing w:line="360" w:lineRule="auto"/>
        <w:ind w:firstLine="480" w:firstLineChars="200"/>
        <w:jc w:val="left"/>
        <w:rPr>
          <w:rFonts w:ascii="宋体" w:hAnsi="宋体" w:eastAsia="宋体" w:cs="宋体"/>
          <w:sz w:val="24"/>
          <w:highlight w:val="none"/>
        </w:rPr>
      </w:pPr>
    </w:p>
    <w:p w14:paraId="1ABEDF77">
      <w:pPr>
        <w:adjustRightInd w:val="0"/>
        <w:snapToGrid w:val="0"/>
        <w:spacing w:line="360" w:lineRule="auto"/>
        <w:ind w:firstLine="480" w:firstLineChars="200"/>
        <w:jc w:val="left"/>
        <w:rPr>
          <w:rFonts w:ascii="宋体" w:hAnsi="宋体" w:eastAsia="宋体" w:cs="宋体"/>
          <w:sz w:val="24"/>
          <w:highlight w:val="none"/>
        </w:rPr>
      </w:pPr>
    </w:p>
    <w:p w14:paraId="6C4D2400">
      <w:pPr>
        <w:adjustRightInd w:val="0"/>
        <w:snapToGrid w:val="0"/>
        <w:spacing w:line="360" w:lineRule="auto"/>
        <w:ind w:firstLine="480" w:firstLineChars="200"/>
        <w:jc w:val="left"/>
        <w:rPr>
          <w:rFonts w:ascii="宋体" w:hAnsi="宋体" w:eastAsia="宋体" w:cs="宋体"/>
          <w:sz w:val="24"/>
          <w:highlight w:val="none"/>
        </w:rPr>
      </w:pPr>
    </w:p>
    <w:p w14:paraId="3B173862">
      <w:pPr>
        <w:adjustRightInd w:val="0"/>
        <w:snapToGrid w:val="0"/>
        <w:spacing w:line="360" w:lineRule="auto"/>
        <w:ind w:firstLine="1928" w:firstLineChars="600"/>
        <w:jc w:val="left"/>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rPr>
        <w:t xml:space="preserve">甲方： </w:t>
      </w:r>
      <w:r>
        <w:rPr>
          <w:rFonts w:hint="eastAsia" w:ascii="宋体" w:hAnsi="宋体" w:eastAsia="宋体" w:cs="宋体"/>
          <w:b/>
          <w:bCs/>
          <w:sz w:val="32"/>
          <w:szCs w:val="32"/>
          <w:highlight w:val="none"/>
          <w:lang w:eastAsia="zh-CN"/>
        </w:rPr>
        <w:t>渭南高新区管委会办公室</w:t>
      </w:r>
    </w:p>
    <w:p w14:paraId="581D237E">
      <w:pPr>
        <w:adjustRightInd w:val="0"/>
        <w:snapToGrid w:val="0"/>
        <w:spacing w:line="360" w:lineRule="auto"/>
        <w:ind w:firstLine="1928" w:firstLineChars="600"/>
        <w:jc w:val="left"/>
        <w:rPr>
          <w:rFonts w:ascii="宋体" w:hAnsi="宋体" w:eastAsia="宋体" w:cs="宋体"/>
          <w:b/>
          <w:bCs/>
          <w:sz w:val="32"/>
          <w:szCs w:val="32"/>
          <w:highlight w:val="none"/>
          <w:u w:val="single"/>
        </w:rPr>
      </w:pPr>
      <w:r>
        <w:rPr>
          <w:rFonts w:hint="eastAsia" w:ascii="宋体" w:hAnsi="宋体" w:eastAsia="宋体" w:cs="宋体"/>
          <w:b/>
          <w:bCs/>
          <w:sz w:val="32"/>
          <w:szCs w:val="32"/>
          <w:highlight w:val="none"/>
        </w:rPr>
        <w:t>乙方：</w:t>
      </w:r>
      <w:r>
        <w:rPr>
          <w:rFonts w:hint="eastAsia" w:ascii="宋体" w:hAnsi="宋体" w:eastAsia="宋体" w:cs="宋体"/>
          <w:b/>
          <w:bCs/>
          <w:sz w:val="32"/>
          <w:szCs w:val="32"/>
          <w:highlight w:val="none"/>
          <w:u w:val="single"/>
        </w:rPr>
        <w:t xml:space="preserve">               </w:t>
      </w:r>
    </w:p>
    <w:p w14:paraId="79B9184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服务合同</w:t>
      </w:r>
    </w:p>
    <w:p w14:paraId="5A66BE5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甲方：渭南高新区管委会办公室</w:t>
      </w:r>
    </w:p>
    <w:p w14:paraId="6E874F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w:t>
      </w:r>
      <w:r>
        <w:rPr>
          <w:rFonts w:hint="eastAsia" w:ascii="宋体" w:hAnsi="宋体" w:eastAsia="宋体" w:cs="宋体"/>
          <w:color w:val="auto"/>
          <w:sz w:val="24"/>
          <w:highlight w:val="none"/>
          <w:u w:val="single"/>
        </w:rPr>
        <w:t xml:space="preserve">                          </w:t>
      </w:r>
    </w:p>
    <w:p w14:paraId="3B1C66B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鉴证方：开瑞项目管理有限公司</w:t>
      </w:r>
    </w:p>
    <w:p w14:paraId="7BD5E6C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依据《中华人民共和国民法典》与项目行业有关的法律法规，以及渭南高新区管委会办公室创业大厦机关餐厅后厨服务及食材供应采购项目（项目编号：【KRDL】K2-2603017）的《招标文件》，乙方的《投标文件》及《中标通知书》，甲、乙双方同意签订本合同。详细技术说明及其他有关合同项目的特定信息由合同附件予以说明，合同附件及本项目的《招标文件》《投标文件》《中标通知书》等均为本合同的组成部分。</w:t>
      </w:r>
    </w:p>
    <w:p w14:paraId="3626E4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项目基本情况</w:t>
      </w:r>
    </w:p>
    <w:p w14:paraId="078AB6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 本项目拟采购渭南高新区管委会办公室创业大厦机关餐厅后厨服务及食材供应，餐厅日常就餐约200人，接待包间3个，投标人派遣管理人员及厨师团队对招标人机关餐厅进行运营管理（劳务制），并提供食材配送服务，招标人应保障餐厅设备完善，运转良好等服务保障内容。具体内容及要求以本项目招标文件、答疑文件等文件所涵盖的全部服务内容为准</w:t>
      </w:r>
      <w:r>
        <w:rPr>
          <w:rFonts w:hint="eastAsia" w:ascii="宋体" w:hAnsi="宋体" w:eastAsia="宋体" w:cs="宋体"/>
          <w:color w:val="auto"/>
          <w:sz w:val="24"/>
          <w:highlight w:val="none"/>
          <w:lang w:eastAsia="zh-CN"/>
        </w:rPr>
        <w:t>。</w:t>
      </w:r>
    </w:p>
    <w:p w14:paraId="3B892F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服务内容与质量标准</w:t>
      </w:r>
    </w:p>
    <w:p w14:paraId="66E2C5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lang w:eastAsia="zh-CN"/>
        </w:rPr>
        <w:t>；</w:t>
      </w:r>
    </w:p>
    <w:p w14:paraId="6C0DFD1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lang w:eastAsia="zh-CN"/>
        </w:rPr>
        <w:t>；</w:t>
      </w:r>
    </w:p>
    <w:p w14:paraId="52553E4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lang w:eastAsia="zh-CN"/>
        </w:rPr>
        <w:t>。</w:t>
      </w:r>
    </w:p>
    <w:p w14:paraId="21D3A51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三、</w:t>
      </w:r>
      <w:r>
        <w:rPr>
          <w:rFonts w:hint="eastAsia" w:ascii="宋体" w:hAnsi="宋体" w:eastAsia="宋体" w:cs="宋体"/>
          <w:color w:val="auto"/>
          <w:sz w:val="24"/>
          <w:highlight w:val="none"/>
        </w:rPr>
        <w:t>服务费用及支付方式</w:t>
      </w:r>
    </w:p>
    <w:p w14:paraId="2D2E10B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本项目服务费用由以下组成：</w:t>
      </w:r>
    </w:p>
    <w:p w14:paraId="1142EE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服务费包括人工费、服务费、货物费、配送费、</w:t>
      </w:r>
      <w:r>
        <w:rPr>
          <w:rFonts w:hint="eastAsia" w:ascii="宋体" w:hAnsi="宋体" w:eastAsia="宋体" w:cs="宋体"/>
          <w:color w:val="auto"/>
          <w:sz w:val="24"/>
          <w:highlight w:val="none"/>
          <w:lang w:val="en-US" w:eastAsia="zh-CN"/>
        </w:rPr>
        <w:t>食材费、</w:t>
      </w:r>
      <w:r>
        <w:rPr>
          <w:rFonts w:hint="eastAsia" w:ascii="宋体" w:hAnsi="宋体" w:eastAsia="宋体" w:cs="宋体"/>
          <w:color w:val="auto"/>
          <w:sz w:val="24"/>
          <w:highlight w:val="none"/>
        </w:rPr>
        <w:t>加工费、清洗费、消毒费、垃圾清运费、卫生费、税金及风险与之相关的一切直接费、间接费等所有费用。</w:t>
      </w:r>
    </w:p>
    <w:p w14:paraId="08714DF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（二）服务费支付方式：</w:t>
      </w:r>
    </w:p>
    <w:p w14:paraId="03167DF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付款方式：每月按实结算，次月初结清上月员工工资</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原材料采购费结算依据为</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实际配送数量</w:t>
      </w:r>
      <w:r>
        <w:rPr>
          <w:rFonts w:hint="eastAsia" w:ascii="宋体" w:hAnsi="宋体" w:eastAsia="宋体" w:cs="宋体"/>
          <w:color w:val="auto"/>
          <w:sz w:val="24"/>
          <w:highlight w:val="none"/>
          <w:lang w:eastAsia="zh-CN"/>
        </w:rPr>
        <w:t>。</w:t>
      </w:r>
    </w:p>
    <w:p w14:paraId="1478C2D4">
      <w:pPr>
        <w:snapToGrid w:val="0"/>
        <w:spacing w:line="360" w:lineRule="auto"/>
        <w:ind w:firstLine="480" w:firstLineChars="200"/>
        <w:rPr>
          <w:rFonts w:hint="eastAsia"/>
          <w:color w:val="auto"/>
          <w:lang w:eastAsia="zh-CN"/>
        </w:rPr>
      </w:pPr>
      <w:r>
        <w:rPr>
          <w:rStyle w:val="8"/>
          <w:rFonts w:hint="eastAsia" w:ascii="宋体" w:hAnsi="宋体" w:eastAsia="宋体" w:cs="宋体"/>
          <w:color w:val="auto"/>
          <w:sz w:val="24"/>
          <w:highlight w:val="none"/>
          <w:lang w:val="zh-CN"/>
        </w:rPr>
        <w:t>付款实行按月结算。成交单位按采购人要求完成上个月供货后，于次月</w:t>
      </w:r>
      <w:r>
        <w:rPr>
          <w:rStyle w:val="8"/>
          <w:rFonts w:hint="eastAsia" w:ascii="宋体" w:hAnsi="宋体" w:eastAsia="宋体" w:cs="宋体"/>
          <w:color w:val="auto"/>
          <w:sz w:val="24"/>
          <w:highlight w:val="none"/>
          <w:lang w:val="en-US"/>
        </w:rPr>
        <w:t>10</w:t>
      </w:r>
      <w:r>
        <w:rPr>
          <w:rStyle w:val="8"/>
          <w:rFonts w:hint="eastAsia" w:ascii="宋体" w:hAnsi="宋体" w:eastAsia="宋体" w:cs="宋体"/>
          <w:color w:val="auto"/>
          <w:sz w:val="24"/>
          <w:highlight w:val="none"/>
          <w:lang w:val="zh-CN"/>
        </w:rPr>
        <w:t>日前凭发票、双方盖章确认的送货清单等相关凭证向</w:t>
      </w:r>
      <w:r>
        <w:rPr>
          <w:rStyle w:val="8"/>
          <w:rFonts w:hint="eastAsia" w:ascii="宋体" w:hAnsi="宋体" w:eastAsia="宋体" w:cs="宋体"/>
          <w:color w:val="auto"/>
          <w:sz w:val="24"/>
          <w:highlight w:val="none"/>
          <w:lang w:val="en-US"/>
        </w:rPr>
        <w:t>招标人</w:t>
      </w:r>
      <w:r>
        <w:rPr>
          <w:rStyle w:val="8"/>
          <w:rFonts w:hint="eastAsia" w:ascii="宋体" w:hAnsi="宋体" w:eastAsia="宋体" w:cs="宋体"/>
          <w:color w:val="auto"/>
          <w:sz w:val="24"/>
          <w:highlight w:val="none"/>
          <w:lang w:val="zh-CN"/>
        </w:rPr>
        <w:t>申请付款，</w:t>
      </w:r>
      <w:r>
        <w:rPr>
          <w:rStyle w:val="8"/>
          <w:rFonts w:hint="eastAsia" w:ascii="宋体" w:hAnsi="宋体" w:eastAsia="宋体" w:cs="宋体"/>
          <w:color w:val="auto"/>
          <w:sz w:val="24"/>
          <w:highlight w:val="none"/>
          <w:lang w:val="en-US"/>
        </w:rPr>
        <w:t>招标人</w:t>
      </w:r>
      <w:r>
        <w:rPr>
          <w:rStyle w:val="8"/>
          <w:rFonts w:hint="eastAsia" w:ascii="宋体" w:hAnsi="宋体" w:eastAsia="宋体" w:cs="宋体"/>
          <w:color w:val="auto"/>
          <w:sz w:val="24"/>
          <w:highlight w:val="none"/>
          <w:lang w:val="zh-CN"/>
        </w:rPr>
        <w:t>收到申请后在</w:t>
      </w:r>
      <w:r>
        <w:rPr>
          <w:rStyle w:val="8"/>
          <w:rFonts w:hint="eastAsia" w:ascii="宋体" w:hAnsi="宋体" w:cs="宋体"/>
          <w:color w:val="auto"/>
          <w:sz w:val="24"/>
          <w:highlight w:val="none"/>
          <w:lang w:val="en-US"/>
        </w:rPr>
        <w:t>10</w:t>
      </w:r>
      <w:r>
        <w:rPr>
          <w:rStyle w:val="8"/>
          <w:rFonts w:hint="eastAsia" w:ascii="宋体" w:hAnsi="宋体" w:eastAsia="宋体" w:cs="宋体"/>
          <w:color w:val="auto"/>
          <w:sz w:val="24"/>
          <w:highlight w:val="none"/>
          <w:lang w:val="zh-CN"/>
        </w:rPr>
        <w:t>个工作日内结清上个月货款。</w:t>
      </w:r>
      <w:r>
        <w:rPr>
          <w:rStyle w:val="8"/>
          <w:rFonts w:hint="eastAsia" w:ascii="宋体" w:hAnsi="宋体" w:eastAsia="宋体" w:cs="宋体"/>
          <w:color w:val="auto"/>
          <w:sz w:val="24"/>
          <w:highlight w:val="none"/>
        </w:rPr>
        <w:t>特殊情况，根据甲方实际情况为准。</w:t>
      </w:r>
    </w:p>
    <w:p w14:paraId="0ACFE95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（三）费用的结算</w:t>
      </w:r>
    </w:p>
    <w:p w14:paraId="21DD1C0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结算依据：本项目公开招标文件、投标文件、采购合同、乙方销售发票、甲方出具的验收报告以及与本项目有关的其他资料。</w:t>
      </w:r>
    </w:p>
    <w:p w14:paraId="17FDCB3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投标人的违约责任</w:t>
      </w:r>
    </w:p>
    <w:p w14:paraId="7513C49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（1）投标人不能按期交货的，每逾期1日，乙方应向采购人赔付合同总价的0.1%作为违约金。</w:t>
      </w:r>
    </w:p>
    <w:p w14:paraId="22486F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（2）投标人所交货物不符合国家法律法规和合同规定的，采购人有权拒收，并由投标人承担一切费用。</w:t>
      </w:r>
    </w:p>
    <w:p w14:paraId="55C0DF1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lang w:eastAsia="zh-CN"/>
        </w:rPr>
        <w:t>不可抗力</w:t>
      </w:r>
    </w:p>
    <w:p w14:paraId="1FC149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3163262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w:t>
      </w:r>
      <w:r>
        <w:rPr>
          <w:rFonts w:hint="eastAsia" w:ascii="宋体" w:hAnsi="宋体" w:eastAsia="宋体" w:cs="宋体"/>
          <w:sz w:val="24"/>
          <w:highlight w:val="none"/>
        </w:rPr>
        <w:t>若成交人为中小企业，本合同所约定的支付条款将按《保障中小企业款项支付条例的规定作出相应调整。</w:t>
      </w:r>
    </w:p>
    <w:p w14:paraId="4281699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eastAsia="zh-CN"/>
        </w:rPr>
        <w:t>四、</w:t>
      </w:r>
      <w:r>
        <w:rPr>
          <w:rFonts w:hint="eastAsia" w:ascii="宋体" w:hAnsi="宋体" w:eastAsia="宋体" w:cs="宋体"/>
          <w:sz w:val="24"/>
          <w:highlight w:val="none"/>
        </w:rPr>
        <w:t>知识产权</w:t>
      </w:r>
    </w:p>
    <w:p w14:paraId="5DD38AF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乙方应保证所提供的服务或其任何一部分均不会侵犯任何第三方的专利权、商标权或著作权。</w:t>
      </w:r>
    </w:p>
    <w:p w14:paraId="29485DE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五、</w:t>
      </w:r>
      <w:r>
        <w:rPr>
          <w:rFonts w:hint="eastAsia" w:ascii="宋体" w:hAnsi="宋体" w:eastAsia="宋体" w:cs="宋体"/>
          <w:sz w:val="24"/>
          <w:highlight w:val="none"/>
        </w:rPr>
        <w:t>无产权瑕疵条款</w:t>
      </w:r>
    </w:p>
    <w:p w14:paraId="5896DD6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乙方保证所提供的服务的所有权完全属于乙方且无任何抵押、查封等产权瑕疵。如有产权瑕疵的，视为乙方违约。乙方应负担由此而产生的一切损失。</w:t>
      </w:r>
    </w:p>
    <w:p w14:paraId="6619CB9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六、</w:t>
      </w:r>
      <w:r>
        <w:rPr>
          <w:rFonts w:hint="eastAsia" w:ascii="宋体" w:hAnsi="宋体" w:eastAsia="宋体" w:cs="宋体"/>
          <w:sz w:val="24"/>
          <w:highlight w:val="none"/>
        </w:rPr>
        <w:t>甲方的权利和义务</w:t>
      </w:r>
    </w:p>
    <w:p w14:paraId="45D93BD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A9285B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2.甲方有权依据双方签订的考评办法对乙方提供的服务进行定期考评。当考评结果未达到标准时，有权依据考评办法约定的数额扣除履约保证金。</w:t>
      </w:r>
    </w:p>
    <w:p w14:paraId="6415FC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3.负责检查监督乙方管理工作的实施及制度的执行情况。</w:t>
      </w:r>
    </w:p>
    <w:p w14:paraId="161468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4.根据本合同规定，按时向乙方支付应付服务费用。</w:t>
      </w:r>
    </w:p>
    <w:p w14:paraId="74871E7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5.国家法律、法规所规定由甲方承担的其他责任。</w:t>
      </w:r>
    </w:p>
    <w:p w14:paraId="7591388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七、</w:t>
      </w:r>
      <w:r>
        <w:rPr>
          <w:rFonts w:hint="eastAsia" w:ascii="宋体" w:hAnsi="宋体" w:eastAsia="宋体" w:cs="宋体"/>
          <w:sz w:val="24"/>
          <w:highlight w:val="none"/>
        </w:rPr>
        <w:t>乙方的权利和义务</w:t>
      </w:r>
    </w:p>
    <w:p w14:paraId="74ABFDB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1.对本合同规定的委托服务范围内的项目享有管理权及服务义务。</w:t>
      </w:r>
    </w:p>
    <w:p w14:paraId="2FC776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2.根据本合同的规定向甲方收取相关服务费用，并有权在本项目管理范围内管理及合理使用。</w:t>
      </w:r>
    </w:p>
    <w:p w14:paraId="1F0561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3.及时向甲方通告本项目服务范围内有关服务的重大事项，及时配合处理投诉。</w:t>
      </w:r>
    </w:p>
    <w:p w14:paraId="329B2A2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4.接受项目行业管理部门及政府有关部门的指导，接受甲方的监督。</w:t>
      </w:r>
    </w:p>
    <w:p w14:paraId="5AC99F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5.各项专项管理服务质量必须达到甲方公开招标文件和乙方投标文件的标准。</w:t>
      </w:r>
    </w:p>
    <w:p w14:paraId="3225F7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6.乙方必须有良好的商业信誉和健全的财务制度，并根据需求配备一定数量的服务所需用品库存；提供标准化的专项服务。</w:t>
      </w:r>
    </w:p>
    <w:p w14:paraId="555C055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7.国家法律、法规所规定由乙方承担的其他责任。</w:t>
      </w:r>
    </w:p>
    <w:p w14:paraId="1DAF57E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八、</w:t>
      </w:r>
      <w:r>
        <w:rPr>
          <w:rFonts w:hint="eastAsia" w:ascii="宋体" w:hAnsi="宋体" w:eastAsia="宋体" w:cs="宋体"/>
          <w:sz w:val="24"/>
          <w:highlight w:val="none"/>
        </w:rPr>
        <w:t>违约责任</w:t>
      </w:r>
    </w:p>
    <w:p w14:paraId="700FB4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1.甲乙双方必须遵守本合同并执行合同中的各项规定，保证本合同的正常履行。</w:t>
      </w:r>
    </w:p>
    <w:p w14:paraId="6FBEAD6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3235B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九、</w:t>
      </w:r>
      <w:r>
        <w:rPr>
          <w:rFonts w:hint="eastAsia" w:ascii="宋体" w:hAnsi="宋体" w:eastAsia="宋体" w:cs="宋体"/>
          <w:sz w:val="24"/>
          <w:highlight w:val="none"/>
        </w:rPr>
        <w:t>不可抗力事件处理</w:t>
      </w:r>
    </w:p>
    <w:p w14:paraId="56413AF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1.在合同有效期内，任何一方因不可抗力事件导致不能履行合同，则合同履行期可延长，其延长期与不可抗力影响期相同。</w:t>
      </w:r>
    </w:p>
    <w:p w14:paraId="63376BA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2.不可抗力事件发生后，应立即通知对方，并寄送有关权威机构出具的证明。</w:t>
      </w:r>
    </w:p>
    <w:p w14:paraId="469E64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3.不可抗力事件延续    天以上，双方应通过友好协商，确定是否继续履行合同。</w:t>
      </w:r>
    </w:p>
    <w:p w14:paraId="4276D59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十、</w:t>
      </w:r>
      <w:r>
        <w:rPr>
          <w:rFonts w:hint="eastAsia" w:ascii="宋体" w:hAnsi="宋体" w:eastAsia="宋体" w:cs="宋体"/>
          <w:sz w:val="24"/>
          <w:highlight w:val="none"/>
        </w:rPr>
        <w:t>解决合同纠纷的方式</w:t>
      </w:r>
    </w:p>
    <w:p w14:paraId="4C24F2B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1.在执行本合同中发生的或与本合同有关的争端，双方应通过友好协商解决，经协商在   天内不能达成协议时，应提交         仲裁委员会予以进行仲裁。</w:t>
      </w:r>
    </w:p>
    <w:p w14:paraId="10C669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2.仲裁裁决应为最终决定，并对双方具有约束力。</w:t>
      </w:r>
    </w:p>
    <w:p w14:paraId="44D757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3.除另有裁决外，仲裁费应由败诉方负担。</w:t>
      </w:r>
    </w:p>
    <w:p w14:paraId="2F8BCC8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4.在仲裁期间，除正在进行仲裁部分外，合同其他部分继续执行。</w:t>
      </w:r>
    </w:p>
    <w:p w14:paraId="1F3518D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十一、</w:t>
      </w:r>
      <w:r>
        <w:rPr>
          <w:rFonts w:hint="eastAsia" w:ascii="宋体" w:hAnsi="宋体" w:eastAsia="宋体" w:cs="宋体"/>
          <w:sz w:val="24"/>
          <w:highlight w:val="none"/>
        </w:rPr>
        <w:t>合同生效及其他</w:t>
      </w:r>
    </w:p>
    <w:p w14:paraId="6ADAA9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1.合同经双方法定代表人或授权委托代理人签字并加盖单位公章后生效。</w:t>
      </w:r>
    </w:p>
    <w:p w14:paraId="0A07F46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2.合同执行中涉及资金和采购内容修改或补充的，须经甲方监督部门审批，并签订书面补充协议报甲方相关行政部门备案，方可作为主合同不可分割的一部分。</w:t>
      </w:r>
    </w:p>
    <w:p w14:paraId="1639898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3.本合同一式</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份，自双方签章之日起生效。甲方</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份，乙方</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w:t>
      </w:r>
      <w:r>
        <w:rPr>
          <w:rFonts w:hint="eastAsia" w:ascii="宋体" w:hAnsi="宋体" w:eastAsia="宋体" w:cs="宋体"/>
          <w:sz w:val="24"/>
          <w:highlight w:val="none"/>
          <w:lang w:eastAsia="zh-CN"/>
        </w:rPr>
        <w:t>招标</w:t>
      </w:r>
      <w:r>
        <w:rPr>
          <w:rFonts w:hint="eastAsia" w:ascii="宋体" w:hAnsi="宋体" w:eastAsia="宋体" w:cs="宋体"/>
          <w:sz w:val="24"/>
          <w:highlight w:val="none"/>
        </w:rPr>
        <w:t>代理机构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份，具有同等法律效力。</w:t>
      </w:r>
    </w:p>
    <w:p w14:paraId="28CB72F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十二、</w:t>
      </w:r>
      <w:r>
        <w:rPr>
          <w:rFonts w:hint="eastAsia" w:ascii="宋体" w:hAnsi="宋体" w:eastAsia="宋体" w:cs="宋体"/>
          <w:sz w:val="24"/>
          <w:highlight w:val="none"/>
        </w:rPr>
        <w:t>附件</w:t>
      </w:r>
      <w:bookmarkStart w:id="0" w:name="_GoBack"/>
      <w:bookmarkEnd w:id="0"/>
    </w:p>
    <w:p w14:paraId="2002B3D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1.招标文件</w:t>
      </w:r>
    </w:p>
    <w:p w14:paraId="5D6EA23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2.澄清（或答疑）文件</w:t>
      </w:r>
    </w:p>
    <w:p w14:paraId="2094584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3.投标文件</w:t>
      </w:r>
    </w:p>
    <w:p w14:paraId="511DF1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4.中标通知书</w:t>
      </w:r>
    </w:p>
    <w:p w14:paraId="3A76C22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5.其他</w:t>
      </w:r>
    </w:p>
    <w:p w14:paraId="5BA6861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0FA2736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甲方：        （盖章）</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乙方：        （盖章）</w:t>
      </w:r>
    </w:p>
    <w:p w14:paraId="2CC9E1A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58FD966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法定代表人（授权代表）：        法定代表人（授权代表）：</w:t>
      </w:r>
    </w:p>
    <w:p w14:paraId="14A586C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E6A344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地 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地 址：</w:t>
      </w:r>
    </w:p>
    <w:p w14:paraId="10E87E2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B9841F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开户银行：                      开户银行：</w:t>
      </w:r>
    </w:p>
    <w:p w14:paraId="599918D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1398DB2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账号：                          账号：</w:t>
      </w:r>
    </w:p>
    <w:p w14:paraId="01DF685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384CD4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电 话：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电 话：</w:t>
      </w:r>
    </w:p>
    <w:p w14:paraId="449452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lang w:val="en-US" w:eastAsia="zh-CN"/>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p>
    <w:p w14:paraId="7CE0AC5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传 真：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传 真：</w:t>
      </w:r>
    </w:p>
    <w:p w14:paraId="03C2E56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22EB33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签约日期：  年 月  日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签约日期：  年 月  日</w:t>
      </w:r>
    </w:p>
    <w:p w14:paraId="1322B2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133BD46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rPr>
        <w:t xml:space="preserve">签订地点：                       </w:t>
      </w:r>
    </w:p>
    <w:p w14:paraId="159BE21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p>
    <w:p w14:paraId="4E12210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both"/>
        <w:textAlignment w:val="baseline"/>
        <w:rPr>
          <w:rFonts w:hint="eastAsia" w:ascii="宋体" w:hAnsi="宋体" w:eastAsia="宋体" w:cs="宋体"/>
          <w:b/>
          <w:bCs/>
          <w:sz w:val="24"/>
          <w:szCs w:val="24"/>
          <w:highlight w:val="none"/>
          <w:lang w:val="en-US" w:eastAsia="zh-CN"/>
        </w:rPr>
      </w:pPr>
    </w:p>
    <w:p w14:paraId="545E79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C4245C"/>
    <w:rsid w:val="3EBF7106"/>
    <w:rsid w:val="59C42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ind w:firstLine="552"/>
    </w:pPr>
    <w:rPr>
      <w:rFonts w:ascii="宋体"/>
      <w:sz w:val="28"/>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 w:type="character" w:customStyle="1" w:styleId="8">
    <w:name w:val="NormalCharacter"/>
    <w:qFormat/>
    <w:uiPriority w:val="0"/>
    <w:rPr>
      <w:rFonts w:ascii="宋体"/>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2348</Words>
  <Characters>2402</Characters>
  <Lines>0</Lines>
  <Paragraphs>0</Paragraphs>
  <TotalTime>1</TotalTime>
  <ScaleCrop>false</ScaleCrop>
  <LinksUpToDate>false</LinksUpToDate>
  <CharactersWithSpaces>2744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2026-04-13T02:49:00Z</dcterms:created>
  <dc:creator>M</dc:creator>
  <cp:lastModifiedBy>M</cp:lastModifiedBy>
  <dcterms:modified xsi:type="dcterms:W3CDTF">2026-04-13T07:22:42Z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F04C5F6C42B64EA5BB11078E1446AE1C_11</vt:lpwstr>
  </property>
  <property fmtid="{D5CDD505-2E9C-101B-9397-08002B2CF9AE}" pid="4" name="KSOTemplateDocerSaveRecord">
    <vt:lpwstr>eyJoZGlkIjoiNDc1ZmJkN2QwYjIxNWZlMmQzNTk2ZmQzYmRhZjQxZGYiLCJ1c2VySWQiOiI1NDkzMjg4OTQifQ==</vt:lpwstr>
  </property>
</Properties>
</file>