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版本号：ZCSP-渭南高新区-2026-00013.1B120260413001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渭南高新区2026年小麦“一喷三防”项目(二次)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ZCSP-渭南高新区-2026-00013.1B1</w:t>
      </w:r>
      <w:r>
        <w:br/>
      </w:r>
      <w:r>
        <w:br/>
      </w:r>
      <w:r>
        <w:br/>
      </w:r>
    </w:p>
    <w:p>
      <w:pPr>
        <w:pStyle w:val="null3"/>
        <w:jc w:val="center"/>
        <w:outlineLvl w:val="2"/>
      </w:pPr>
      <w:r>
        <w:rPr>
          <w:rFonts w:ascii="仿宋_GB2312" w:hAnsi="仿宋_GB2312" w:cs="仿宋_GB2312" w:eastAsia="仿宋_GB2312"/>
          <w:sz w:val="28"/>
          <w:b/>
        </w:rPr>
        <w:t>渭南高新区北区管理办公室</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渭南高新区北区管理办公室</w:t>
      </w:r>
      <w:r>
        <w:rPr>
          <w:rFonts w:ascii="仿宋_GB2312" w:hAnsi="仿宋_GB2312" w:cs="仿宋_GB2312" w:eastAsia="仿宋_GB2312"/>
        </w:rPr>
        <w:t>委托，拟对</w:t>
      </w:r>
      <w:r>
        <w:rPr>
          <w:rFonts w:ascii="仿宋_GB2312" w:hAnsi="仿宋_GB2312" w:cs="仿宋_GB2312" w:eastAsia="仿宋_GB2312"/>
        </w:rPr>
        <w:t>渭南高新区2026年小麦“一喷三防”项目(二次)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ZCSP-渭南高新区-2026-00013.1B1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渭南高新区2026年小麦“一喷三防”项目(二次)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小麦穗期一次性喷施杀虫剂、杀菌剂、生长调节剂等药剂，达到防病、治虫、增粒重、稳产量的目的，提高病虫害防治率，促进小麦丰产丰收，稳定提高粮食产量。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采购包1（渭南高新区2026年小麦“一喷三防”项目）：属于专门面向中小企业采购。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2、磋商保证金交纳凭证：磋商保证金交纳凭证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渭南高新区北区管理办公室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渭南高新北区香山大道 3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程欣玉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0913-2656500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薛蒙蒙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贺晓静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15691397777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采购包1：653,900.00元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渭南高新区北区管理办公室</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渭南高新区北区管理办公室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渭南高新区北区管理办公室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联系人：薛蒙蒙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小麦穗期一次性喷施杀虫剂、杀菌剂、生长调节剂等药剂，达到防病、治虫、增粒重、稳产量的目的，提高病虫害防治率，促进小麦丰产丰收，稳定提高粮食产量。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653,900.00</w:t>
      </w:r>
    </w:p>
    <w:p>
      <w:pPr>
        <w:pStyle w:val="null3"/>
      </w:pPr>
      <w:r>
        <w:rPr>
          <w:rFonts w:ascii="仿宋_GB2312" w:hAnsi="仿宋_GB2312" w:cs="仿宋_GB2312" w:eastAsia="仿宋_GB2312"/>
        </w:rPr>
        <w:t>采购包最高限价（元）: 653,900.00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渭南高新区2026年小麦一喷三防</w:t>
            </w:r>
          </w:p>
        </w:tc>
        <w:tc>
          <w:tcPr>
            <w:tcW w:type="dxa" w:w="831"/>
          </w:tcPr>
          <w:p>
            <w:pPr>
              <w:pStyle w:val="null3"/>
              <w:jc w:val="right"/>
            </w:pPr>
            <w:r>
              <w:rPr>
                <w:rFonts w:ascii="仿宋_GB2312" w:hAnsi="仿宋_GB2312" w:cs="仿宋_GB2312" w:eastAsia="仿宋_GB2312"/>
              </w:rPr>
              <w:t>32,695.00</w:t>
            </w:r>
          </w:p>
        </w:tc>
        <w:tc>
          <w:tcPr>
            <w:tcW w:type="dxa" w:w="831"/>
          </w:tcPr>
          <w:p>
            <w:pPr>
              <w:pStyle w:val="null3"/>
              <w:jc w:val="right"/>
            </w:pPr>
            <w:r>
              <w:rPr>
                <w:rFonts w:ascii="仿宋_GB2312" w:hAnsi="仿宋_GB2312" w:cs="仿宋_GB2312" w:eastAsia="仿宋_GB2312"/>
              </w:rPr>
              <w:t>653,900.00</w:t>
            </w:r>
          </w:p>
        </w:tc>
        <w:tc>
          <w:tcPr>
            <w:tcW w:type="dxa" w:w="831"/>
          </w:tcPr>
          <w:p>
            <w:pPr>
              <w:pStyle w:val="null3"/>
            </w:pPr>
            <w:r>
              <w:rPr>
                <w:rFonts w:ascii="仿宋_GB2312" w:hAnsi="仿宋_GB2312" w:cs="仿宋_GB2312" w:eastAsia="仿宋_GB2312"/>
              </w:rPr>
              <w:t>亩</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标的名称：渭南高新区2026年小麦一喷三防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1.服务内容</w:t>
            </w:r>
          </w:p>
          <w:p>
            <w:pPr>
              <w:pStyle w:val="null3"/>
            </w:pPr>
            <w:r>
              <w:rPr>
                <w:rFonts w:ascii="仿宋_GB2312" w:hAnsi="仿宋_GB2312" w:cs="仿宋_GB2312" w:eastAsia="仿宋_GB2312"/>
              </w:rPr>
              <w:t>建立小麦应急防治示范区，有效防治条锈病、茎基腐病、赤霉病、白粉病、麦穗蚜、吸浆虫等病虫害等。</w:t>
            </w:r>
          </w:p>
          <w:p>
            <w:pPr>
              <w:pStyle w:val="null3"/>
            </w:pPr>
            <w:r>
              <w:rPr>
                <w:rFonts w:ascii="仿宋_GB2312" w:hAnsi="仿宋_GB2312" w:cs="仿宋_GB2312" w:eastAsia="仿宋_GB2312"/>
              </w:rPr>
              <w:t>2.服务要求</w:t>
            </w:r>
          </w:p>
          <w:p>
            <w:pPr>
              <w:pStyle w:val="null3"/>
            </w:pPr>
            <w:r>
              <w:rPr>
                <w:rFonts w:ascii="仿宋_GB2312" w:hAnsi="仿宋_GB2312" w:cs="仿宋_GB2312" w:eastAsia="仿宋_GB2312"/>
              </w:rPr>
              <w:t>2.1喷施服务要求</w:t>
            </w:r>
          </w:p>
          <w:p>
            <w:pPr>
              <w:pStyle w:val="null3"/>
            </w:pPr>
            <w:r>
              <w:rPr>
                <w:rFonts w:ascii="仿宋_GB2312" w:hAnsi="仿宋_GB2312" w:cs="仿宋_GB2312" w:eastAsia="仿宋_GB2312"/>
              </w:rPr>
              <w:t>（1）以机械为主的植保器械，作业能力强，制度健全，管理规范。</w:t>
            </w:r>
          </w:p>
          <w:p>
            <w:pPr>
              <w:pStyle w:val="null3"/>
            </w:pPr>
            <w:r>
              <w:rPr>
                <w:rFonts w:ascii="仿宋_GB2312" w:hAnsi="仿宋_GB2312" w:cs="仿宋_GB2312" w:eastAsia="仿宋_GB2312"/>
              </w:rPr>
              <w:t>（2）针对2026年小麦病虫特点及生长性状，防效达到95％以上。</w:t>
            </w:r>
          </w:p>
          <w:p>
            <w:pPr>
              <w:pStyle w:val="null3"/>
            </w:pPr>
            <w:r>
              <w:rPr>
                <w:rFonts w:ascii="仿宋_GB2312" w:hAnsi="仿宋_GB2312" w:cs="仿宋_GB2312" w:eastAsia="仿宋_GB2312"/>
              </w:rPr>
              <w:t>（3）选择的药剂要符合国家标准，三证齐全，高效低毒、安全环保</w:t>
            </w:r>
            <w:r>
              <w:rPr>
                <w:rFonts w:ascii="仿宋_GB2312" w:hAnsi="仿宋_GB2312" w:cs="仿宋_GB2312" w:eastAsia="仿宋_GB2312"/>
                <w:sz w:val="21"/>
              </w:rPr>
              <w:t>（提供农药三证）</w:t>
            </w:r>
            <w:r>
              <w:rPr>
                <w:rFonts w:ascii="仿宋_GB2312" w:hAnsi="仿宋_GB2312" w:cs="仿宋_GB2312" w:eastAsia="仿宋_GB2312"/>
              </w:rPr>
              <w:t>。</w:t>
            </w:r>
          </w:p>
          <w:p>
            <w:pPr>
              <w:pStyle w:val="null3"/>
            </w:pPr>
            <w:r>
              <w:rPr>
                <w:rFonts w:ascii="仿宋_GB2312" w:hAnsi="仿宋_GB2312" w:cs="仿宋_GB2312" w:eastAsia="仿宋_GB2312"/>
              </w:rPr>
              <w:t>（4）要在防治的关键时期完成防治任务，总体防效达95%以上，危害损失率控制在3%以内。</w:t>
            </w:r>
          </w:p>
          <w:p>
            <w:pPr>
              <w:pStyle w:val="null3"/>
            </w:pPr>
            <w:r>
              <w:rPr>
                <w:rFonts w:ascii="仿宋_GB2312" w:hAnsi="仿宋_GB2312" w:cs="仿宋_GB2312" w:eastAsia="仿宋_GB2312"/>
              </w:rPr>
              <w:t>2.2药剂使用要求</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药剂名称</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技术指标、参数</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杀虫剂</w:t>
                  </w:r>
                </w:p>
              </w:tc>
              <w:tc>
                <w:tcPr>
                  <w:tcW w:type="dxa" w:w="638"/>
                </w:tcPr>
                <w:p>
                  <w:pPr>
                    <w:pStyle w:val="null3"/>
                  </w:pPr>
                  <w:r>
                    <w:rPr>
                      <w:rFonts w:ascii="仿宋_GB2312" w:hAnsi="仿宋_GB2312" w:cs="仿宋_GB2312" w:eastAsia="仿宋_GB2312"/>
                    </w:rPr>
                    <w:t xml:space="preserve"> 按农业部登记药剂的推荐剂量，不少于32695亩。</w:t>
                  </w:r>
                </w:p>
              </w:tc>
              <w:tc>
                <w:tcPr>
                  <w:tcW w:type="dxa" w:w="638"/>
                </w:tcPr>
                <w:p>
                  <w:pPr>
                    <w:pStyle w:val="null3"/>
                  </w:pPr>
                  <w:r>
                    <w:rPr>
                      <w:rFonts w:ascii="仿宋_GB2312" w:hAnsi="仿宋_GB2312" w:cs="仿宋_GB2312" w:eastAsia="仿宋_GB2312"/>
                    </w:rPr>
                    <w:t>在作物上使用安全，防治蚜虫、吸浆虫等害虫的复配制剂杀虫剂</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杀菌剂</w:t>
                  </w:r>
                </w:p>
              </w:tc>
              <w:tc>
                <w:tcPr>
                  <w:tcW w:type="dxa" w:w="638"/>
                </w:tcPr>
                <w:p>
                  <w:pPr>
                    <w:pStyle w:val="null3"/>
                  </w:pPr>
                  <w:r>
                    <w:rPr>
                      <w:rFonts w:ascii="仿宋_GB2312" w:hAnsi="仿宋_GB2312" w:cs="仿宋_GB2312" w:eastAsia="仿宋_GB2312"/>
                    </w:rPr>
                    <w:t>按农业部登记药剂的推荐剂量，不少于32695亩。</w:t>
                  </w:r>
                </w:p>
              </w:tc>
              <w:tc>
                <w:tcPr>
                  <w:tcW w:type="dxa" w:w="638"/>
                </w:tcPr>
                <w:p>
                  <w:pPr>
                    <w:pStyle w:val="null3"/>
                  </w:pPr>
                  <w:r>
                    <w:rPr>
                      <w:rFonts w:ascii="仿宋_GB2312" w:hAnsi="仿宋_GB2312" w:cs="仿宋_GB2312" w:eastAsia="仿宋_GB2312"/>
                    </w:rPr>
                    <w:t>防治小麦赤霉病、茎基腐病、条锈病、白粉病的复配制剂杀菌剂</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叶面肥</w:t>
                  </w:r>
                </w:p>
              </w:tc>
              <w:tc>
                <w:tcPr>
                  <w:tcW w:type="dxa" w:w="638"/>
                </w:tcPr>
                <w:p>
                  <w:pPr>
                    <w:pStyle w:val="null3"/>
                  </w:pPr>
                  <w:r>
                    <w:rPr>
                      <w:rFonts w:ascii="仿宋_GB2312" w:hAnsi="仿宋_GB2312" w:cs="仿宋_GB2312" w:eastAsia="仿宋_GB2312"/>
                    </w:rPr>
                    <w:t>按农业部登记药剂的推荐剂量，不少于32695亩。</w:t>
                  </w:r>
                </w:p>
              </w:tc>
              <w:tc>
                <w:tcPr>
                  <w:tcW w:type="dxa" w:w="638"/>
                </w:tcPr>
                <w:p>
                  <w:pPr>
                    <w:pStyle w:val="null3"/>
                  </w:pPr>
                  <w:r>
                    <w:rPr>
                      <w:rFonts w:ascii="仿宋_GB2312" w:hAnsi="仿宋_GB2312" w:cs="仿宋_GB2312" w:eastAsia="仿宋_GB2312"/>
                    </w:rPr>
                    <w:t>在作物上应用的水溶性叶面肥</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生长调节剂</w:t>
                  </w:r>
                </w:p>
              </w:tc>
              <w:tc>
                <w:tcPr>
                  <w:tcW w:type="dxa" w:w="638"/>
                </w:tcPr>
                <w:p>
                  <w:pPr>
                    <w:pStyle w:val="null3"/>
                  </w:pPr>
                  <w:r>
                    <w:rPr>
                      <w:rFonts w:ascii="仿宋_GB2312" w:hAnsi="仿宋_GB2312" w:cs="仿宋_GB2312" w:eastAsia="仿宋_GB2312"/>
                    </w:rPr>
                    <w:t>按农业部登记药剂的推荐剂量，不少于32695亩。</w:t>
                  </w:r>
                </w:p>
              </w:tc>
              <w:tc>
                <w:tcPr>
                  <w:tcW w:type="dxa" w:w="638"/>
                </w:tcPr>
                <w:p>
                  <w:pPr>
                    <w:pStyle w:val="null3"/>
                  </w:pPr>
                  <w:r>
                    <w:rPr>
                      <w:rFonts w:ascii="仿宋_GB2312" w:hAnsi="仿宋_GB2312" w:cs="仿宋_GB2312" w:eastAsia="仿宋_GB2312"/>
                    </w:rPr>
                    <w:t>在作物上应用的生长调节剂</w:t>
                  </w:r>
                </w:p>
              </w:tc>
            </w:tr>
            <w:tr>
              <w:tc>
                <w:tcPr>
                  <w:tcW w:type="dxa" w:w="2552"/>
                  <w:gridSpan w:val="4"/>
                </w:tcPr>
                <w:p>
                  <w:pPr>
                    <w:pStyle w:val="null3"/>
                  </w:pPr>
                  <w:r>
                    <w:rPr>
                      <w:rFonts w:ascii="仿宋_GB2312" w:hAnsi="仿宋_GB2312" w:cs="仿宋_GB2312" w:eastAsia="仿宋_GB2312"/>
                    </w:rPr>
                    <w:t>注:本次药剂使用数量根据面积配备，采购杀虫剂+杀菌剂+叶面肥+生长调节剂，配备的每种药剂亩用量须符合农业农村部登记药剂的推荐剂量。</w:t>
                  </w:r>
                </w:p>
              </w:tc>
            </w:tr>
          </w:tbl>
          <w:p>
            <w:pPr>
              <w:pStyle w:val="null3"/>
            </w:pPr>
            <w:r>
              <w:rPr>
                <w:rFonts w:ascii="仿宋_GB2312" w:hAnsi="仿宋_GB2312" w:cs="仿宋_GB2312" w:eastAsia="仿宋_GB2312"/>
              </w:rPr>
              <w:t>2.3服务面积</w:t>
            </w:r>
          </w:p>
          <w:p>
            <w:pPr>
              <w:pStyle w:val="null3"/>
            </w:pPr>
            <w:r>
              <w:rPr>
                <w:rFonts w:ascii="仿宋_GB2312" w:hAnsi="仿宋_GB2312" w:cs="仿宋_GB2312" w:eastAsia="仿宋_GB2312"/>
              </w:rPr>
              <w:t>不小于32695亩（实际喷施面积以最终喷施亩数为准）</w:t>
            </w:r>
          </w:p>
          <w:p>
            <w:pPr>
              <w:pStyle w:val="null3"/>
            </w:pPr>
            <w:r>
              <w:rPr>
                <w:rFonts w:ascii="仿宋_GB2312" w:hAnsi="仿宋_GB2312" w:cs="仿宋_GB2312" w:eastAsia="仿宋_GB2312"/>
              </w:rPr>
              <w:t>2.4本项目总价最高限价：653900.00元；单价最高限价：防治服务（含药剂）：20元/亩。磋商总价及单价均不应超过最高限价，若超过最高限价，其响应文件按无效处理。</w:t>
            </w:r>
          </w:p>
          <w:p>
            <w:pPr>
              <w:pStyle w:val="null3"/>
            </w:pPr>
            <w:r>
              <w:rPr>
                <w:rFonts w:ascii="仿宋_GB2312" w:hAnsi="仿宋_GB2312" w:cs="仿宋_GB2312" w:eastAsia="仿宋_GB2312"/>
              </w:rPr>
              <w:t>2.5采购预算653900.00元为不可竞争费用；磋商总报价必须等于采购预算。投标亩数=采购预算/投标单价</w:t>
            </w:r>
          </w:p>
          <w:p>
            <w:pPr>
              <w:pStyle w:val="null3"/>
              <w:spacing w:after="12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后，供应商派驻一名项目负责人，一名技术负责人对作业过程中作业进度、服务质量、作业人员管理进行总协调，确保技术措施的落实，按时参加采购人组织的相关会议和活动，服从采购人的工作制度和工作规范。 2.人员配备合理。有针对本项目的专项服务小组，项目负责人、工作人员分工明确（应有具体成员名单，包括姓名、工作职责等）。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后，供应商向采购人提供项目作业计划和安全责任协议等，其内容包括管理机构的设置、各主要岗位的技术和管理员名单、资质、联系方式及各工种技术工人的安排、项目实施进度安排、技术措施等状况。2.严格按照服务要求进行作业，作业前按项目要求筹备各项防治器械、材料、工具等，按技术规定进行作业。3.协助采购人及时组织召开检查验收、防治效果评价和防治竣工验收工作会议。4.成交供应商向采购人提交施工作业过程性资料和防效报告，按相关要求执行。5.有各类突发事件的应急预案和措施，有明确具体的承诺。6.农药选择：选择三证齐全（农药登记证、农药生产批准证、企业标准），符合国家《农药安全使用标准》、《农药合理使用准则》和农药安全使用规范总则的农药产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渭南高新区（采购人指定地点）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1.质量标准：服务达到国家及行业验收合格标准。 2.防治服务满足《农业社会化服务 农作物病虫害防治服务质量要求》及其他相关要求。 3.选择的药剂要符合国家标准，三证齐全，高效低毒、安全环保。 4.严格按照要求组织防治工作，服务前按服务要求筹备各项防治器械、材料、工具等，按技术规定进行作业。 5.验收：采购人根据磋商文件、响应文件和合同约定标准、技术和服务逐项验收。防治工作完成后，采购人组织相关部门进行现场验收。 6.存在未防、漏防、防治效果未达到设计要求的地块，立即进行人工地面补防，如因未防、漏防未达到要求的或造成损失的承担相应的法律责任。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服务结束后经采购人邀请相关部门验收合格后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的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应商的违法行为进行相应的处罚。 （二）其他未尽事宜，按《中华人民共和国民法典》中的相关条款执行。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纸质版文件要求：中标（成交）供应商在中标（成交）结果公告发布后3个工作日内提供叁套纸质投标文件（经编标工具生成的文件直接打印并胶装成册），递交的纸质版文件内容确保与线上电子文件保持一致，不允许修改和补充。（2）根据《政府采购法实施条例》释义，银行、保险、石油石化、电力、电信等有行业特殊情况的，允许法人的分支机构参加政府采购活动；（3）本项目专门面向中小企业采购，本项目所属行业：农、林、牧、渔业，根据关于印发中小企业划型标准规定的通知 （工信部联企业〔2011〕300号）中小企业划型标准规定：（一）农、林、牧、渔业。营业收入20000万元以下的为中小微型企业。其中，营业收入500万元及以上的为中型企业，营业收入50万元及以上的为小型企业，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供应商需提供合法有效，具有独立承担民事责任的能力且具备向采购人提供相关服务的证明资料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成立时间至开标时间不足一年的可提供成立后任意时段的资产负债表）或投标文件截止时间前六个月内其基本账户银行出具的资信证明（附基本账户证明）或政府采购信用担保机构出具的投标担保函； 税收缴纳证明：提供投标文件递交截止时间前一年内任意一个月的缴费凭据；依法免税的应提供相关文件证明； 社会保障资金缴纳证明：提供投标文件递交截止时间前一年内任意一个月的社保缴费凭据或社保机构开具的社会保险参保缴费情况证明；依法不需要缴纳社会保障资金的供应商应提供相关文件证明；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招标文件格式要求出具承诺书，提供相关证明材料不需要提供本承诺书；若同时提供证明材料与承诺书，评审时以证明材料为准。</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本项目专门面向中小企业采购，参与的供应商服务全部由符合政策要求的中小企业承接。本项目所属行业：农、林、牧、渔业。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服务内容及服务邀请应答表 供应商其它资料.docx 中小企业声明函 商务应答表 报价表 资格证明文件.docx 响应文件封面 政府采购供应商拒绝政府采购领域商业贿赂承诺书.docx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磋商总报价为不可竞争费用，必须等于采购预算；单价报价没有超出单价最高限价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无其他做无效磋商处理的情况</w:t>
            </w:r>
          </w:p>
        </w:tc>
        <w:tc>
          <w:tcPr>
            <w:tcW w:type="dxa" w:w="1661"/>
          </w:tcPr>
          <w:p>
            <w:pPr>
              <w:pStyle w:val="null3"/>
            </w:pPr>
            <w:r>
              <w:rPr>
                <w:rFonts w:ascii="仿宋_GB2312" w:hAnsi="仿宋_GB2312" w:cs="仿宋_GB2312" w:eastAsia="仿宋_GB2312"/>
              </w:rPr>
              <w:t>服务内容及服务邀请应答表 供应商其它资料.docx 中小企业声明函 商务应答表 报价表 资格证明文件.docx 响应文件封面 政府采购供应商拒绝政府采购领域商业贿赂承诺书.docx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总体方案包含：①项目需求理解；②重点难点分析；③整体管理措施。（二）评审标准：每项评审内容不存在缺陷得4分；每项评审内容每存在一处缺陷扣0.8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含：①作业面的划分；②作业器械选择方案；③作业方案；（二）评审标准：每项评审内容不存在缺陷得4分；每项评审内容每存在一处缺陷扣0.8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w:t>
            </w:r>
          </w:p>
        </w:tc>
        <w:tc>
          <w:tcPr>
            <w:tcW w:type="dxa" w:w="2492"/>
          </w:tcPr>
          <w:p>
            <w:pPr>
              <w:pStyle w:val="null3"/>
            </w:pPr>
            <w:r>
              <w:rPr>
                <w:rFonts w:ascii="仿宋_GB2312" w:hAnsi="仿宋_GB2312" w:cs="仿宋_GB2312" w:eastAsia="仿宋_GB2312"/>
              </w:rPr>
              <w:t>（一）评审内容：进度保证包含：①作业进度安排；②关键节点及环节把握；③进度保障措施；（二）评审标准： 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质量保证包含：①质量保障体系；②药剂用量标准；③质量保障措施。（二）评审标准：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（一）评审内容：应急处理包含：①在作业过程中出现突发问题的应急处置方案；②应急响应时间；③出现突发状况应急人员安排。 （二）评审标准： 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w:t>
            </w:r>
          </w:p>
        </w:tc>
        <w:tc>
          <w:tcPr>
            <w:tcW w:type="dxa" w:w="2492"/>
          </w:tcPr>
          <w:p>
            <w:pPr>
              <w:pStyle w:val="null3"/>
            </w:pPr>
            <w:r>
              <w:rPr>
                <w:rFonts w:ascii="仿宋_GB2312" w:hAnsi="仿宋_GB2312" w:cs="仿宋_GB2312" w:eastAsia="仿宋_GB2312"/>
              </w:rPr>
              <w:t>（一）评审内容：安全保证包含：①在作业过程中人员安全保障措施；②作业环境安全防范；③药剂使用安全保障。（二）评审标准：每项评审内容不存在缺陷得3分；每项评审内容每存在一处缺陷扣0.6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服务承诺包含：①服务中严格按照国家及行业标准进行服务；②配合采购人进行汇报、验收、必要的外勤配合等工作；③及时响应本服务中采购人所需的远程指导及协助需求等。（二）评审标准：每项评审内容不存在缺陷得2分；每项评审内容每存在一处缺陷扣0.4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拟派项目负责人具有农业类相关专业高级证书得2分；具有农业类相关专业中级证书得1分。 提供人员专业技术能力证明材料，未提供不得分。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其他人员配备情况</w:t>
            </w:r>
          </w:p>
        </w:tc>
        <w:tc>
          <w:tcPr>
            <w:tcW w:type="dxa" w:w="2492"/>
          </w:tcPr>
          <w:p>
            <w:pPr>
              <w:pStyle w:val="null3"/>
            </w:pPr>
            <w:r>
              <w:rPr>
                <w:rFonts w:ascii="仿宋_GB2312" w:hAnsi="仿宋_GB2312" w:cs="仿宋_GB2312" w:eastAsia="仿宋_GB2312"/>
              </w:rPr>
              <w:t>1.项目组人员中（项目负责人除外）每配备1人得1分，本项最高得4分。 2.项目组人员中（项目负责人除外），每有1名持有无人机操作证书人员得0.5分，本项最高得5分； 注：提供人员相关证明材料，未提供不得分。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(1)磋商单价不高于本项目单价最高限价，且经磋商小组评审不低于成本价的最终磋商单价报价为有效磋商单价报价。 (2) 满足竞争性磋商文件要求且磋商单价价格最低的最终磋商单价报价为磋商基准价，得满分20分； (3) 磋商单价报价得分=(磋商基准价／最终磋商单价报价)×20%×100。 备注：当磋商小组认为某个供应商的单价报价明显低于其他通过符合性审查供应商的单价报价，有可能影响服务质量和不能诚信履约的，可以要求该供应商提供书面说明，必要时提交相关证明材料；供应商不能证明其单价报价合理的，磋商小组可以将其作为无效磋商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详见附件：供应商其它资料.docx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