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3"/>
        <w:jc w:val="center"/>
        <w:rPr>
          <w:rFonts w:hint="eastAsia" w:ascii="宋体" w:hAnsi="宋体" w:eastAsia="宋体" w:cs="宋体"/>
          <w:b/>
          <w:bCs/>
          <w:spacing w:val="12"/>
          <w:kern w:val="2"/>
          <w:sz w:val="44"/>
          <w:szCs w:val="52"/>
          <w:lang w:val="en-US" w:eastAsia="zh-CN" w:bidi="ar-SA"/>
        </w:rPr>
      </w:pPr>
    </w:p>
    <w:p w14:paraId="4D67E87B">
      <w:pPr>
        <w:pStyle w:val="3"/>
        <w:jc w:val="center"/>
        <w:rPr>
          <w:rFonts w:hint="eastAsia" w:ascii="宋体" w:hAnsi="宋体" w:eastAsia="宋体" w:cs="宋体"/>
          <w:b/>
          <w:bCs/>
          <w:spacing w:val="12"/>
          <w:kern w:val="2"/>
          <w:sz w:val="44"/>
          <w:szCs w:val="52"/>
          <w:lang w:val="en-US" w:eastAsia="zh-CN" w:bidi="ar-SA"/>
        </w:rPr>
      </w:pPr>
    </w:p>
    <w:p w14:paraId="1BE10E8A">
      <w:pPr>
        <w:pStyle w:val="3"/>
        <w:rPr>
          <w:rFonts w:hint="default" w:ascii="宋体" w:hAnsi="宋体" w:eastAsia="宋体" w:cs="宋体"/>
          <w:u w:val="single"/>
          <w:lang w:val="en-US" w:eastAsia="zh-CN"/>
        </w:rPr>
      </w:pPr>
      <w:r>
        <w:rPr>
          <w:rFonts w:hint="eastAsia" w:ascii="宋体" w:hAnsi="宋体" w:eastAsia="宋体" w:cs="宋体"/>
          <w:u w:val="single"/>
          <w:lang w:val="en-US" w:eastAsia="zh-CN"/>
        </w:rPr>
        <w:t xml:space="preserve">                   （项目名称）                     </w:t>
      </w: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3"/>
        <w:rPr>
          <w:rFonts w:hint="eastAsia" w:ascii="宋体" w:hAnsi="宋体" w:eastAsia="宋体" w:cs="宋体"/>
          <w:spacing w:val="12"/>
        </w:rPr>
      </w:pPr>
    </w:p>
    <w:p w14:paraId="1C31F11D">
      <w:pPr>
        <w:pStyle w:val="3"/>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10"/>
        <w:ind w:left="0" w:leftChars="0" w:firstLine="0" w:firstLineChars="0"/>
        <w:rPr>
          <w:rFonts w:hint="eastAsia" w:ascii="宋体" w:hAnsi="宋体" w:eastAsia="宋体" w:cs="宋体"/>
        </w:rPr>
      </w:pPr>
    </w:p>
    <w:p w14:paraId="70218345">
      <w:pPr>
        <w:pStyle w:val="10"/>
        <w:ind w:left="0" w:leftChars="0" w:firstLine="0" w:firstLineChars="0"/>
        <w:rPr>
          <w:rFonts w:hint="eastAsia" w:ascii="宋体" w:hAnsi="宋体" w:eastAsia="宋体" w:cs="宋体"/>
        </w:rPr>
      </w:pPr>
    </w:p>
    <w:p w14:paraId="736D619B">
      <w:pPr>
        <w:pStyle w:val="10"/>
        <w:rPr>
          <w:rFonts w:hint="eastAsia" w:ascii="宋体" w:hAnsi="宋体" w:eastAsia="宋体" w:cs="宋体"/>
        </w:rPr>
      </w:pPr>
    </w:p>
    <w:p w14:paraId="0A00C8A0">
      <w:pPr>
        <w:pStyle w:val="10"/>
        <w:rPr>
          <w:rFonts w:hint="eastAsia" w:ascii="宋体" w:hAnsi="宋体" w:eastAsia="宋体" w:cs="宋体"/>
        </w:rPr>
      </w:pPr>
    </w:p>
    <w:p w14:paraId="0ECB10CE">
      <w:pPr>
        <w:pStyle w:val="10"/>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spacing w:line="480" w:lineRule="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keepNext w:val="0"/>
        <w:keepLines w:val="0"/>
        <w:widowControl/>
        <w:suppressLineNumbers w:val="0"/>
        <w:spacing w:line="480" w:lineRule="auto"/>
        <w:jc w:val="lef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签订时间： </w:t>
      </w:r>
      <w:r>
        <w:rPr>
          <w:rFonts w:hint="eastAsia" w:ascii="宋体" w:hAnsi="宋体" w:cs="宋体"/>
          <w:sz w:val="24"/>
          <w:lang w:val="en-US" w:eastAsia="zh-CN"/>
        </w:rPr>
        <w:t xml:space="preserve"> </w:t>
      </w:r>
      <w:r>
        <w:rPr>
          <w:rFonts w:hint="eastAsia" w:ascii="宋体" w:hAnsi="宋体" w:eastAsia="宋体" w:cs="宋体"/>
          <w:sz w:val="24"/>
        </w:rPr>
        <w:t xml:space="preserve">  年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cs="宋体"/>
          <w:sz w:val="24"/>
          <w:lang w:val="en-US" w:eastAsia="zh-CN"/>
        </w:rPr>
        <w:t xml:space="preserve"> </w:t>
      </w:r>
      <w:r>
        <w:rPr>
          <w:rFonts w:hint="eastAsia" w:ascii="宋体" w:hAnsi="宋体" w:eastAsia="宋体" w:cs="宋体"/>
          <w:sz w:val="24"/>
        </w:rPr>
        <w:t xml:space="preserve">  日</w:t>
      </w:r>
    </w:p>
    <w:p w14:paraId="60A1192F">
      <w:pPr>
        <w:spacing w:line="480" w:lineRule="auto"/>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p>
    <w:p w14:paraId="22041339">
      <w:pPr>
        <w:spacing w:line="480" w:lineRule="auto"/>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lang w:eastAsia="zh-CN"/>
        </w:rPr>
        <w:t>（</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lang w:eastAsia="zh-CN"/>
        </w:rPr>
        <w:t>（项目名称）</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磋商文件</w:t>
      </w:r>
      <w:r>
        <w:rPr>
          <w:rFonts w:hint="eastAsia" w:ascii="宋体" w:hAnsi="宋体" w:eastAsia="宋体" w:cs="宋体"/>
          <w:sz w:val="24"/>
        </w:rPr>
        <w:t>；</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cs="宋体"/>
          <w:sz w:val="24"/>
          <w:lang w:val="en-US" w:eastAsia="zh-CN"/>
        </w:rPr>
        <w:t>响应</w:t>
      </w:r>
      <w:r>
        <w:rPr>
          <w:rFonts w:hint="eastAsia" w:ascii="宋体" w:hAnsi="宋体" w:eastAsia="宋体" w:cs="宋体"/>
          <w:sz w:val="24"/>
        </w:rPr>
        <w:t>文件；</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val="en-US" w:eastAsia="zh-CN"/>
        </w:rPr>
        <w:t>成交</w:t>
      </w:r>
      <w:r>
        <w:rPr>
          <w:rFonts w:hint="eastAsia" w:ascii="宋体" w:hAnsi="宋体" w:eastAsia="宋体" w:cs="宋体"/>
          <w:sz w:val="24"/>
        </w:rPr>
        <w:t>通知书；</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1CD509E0">
      <w:pPr>
        <w:spacing w:line="360" w:lineRule="auto"/>
        <w:ind w:firstLine="480" w:firstLineChars="200"/>
        <w:rPr>
          <w:rFonts w:hint="eastAsia" w:ascii="宋体" w:hAnsi="宋体" w:cs="宋体"/>
          <w:b w:val="0"/>
          <w:bCs w:val="0"/>
          <w:sz w:val="24"/>
          <w:highlight w:val="none"/>
          <w:lang w:eastAsia="zh-CN"/>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p>
    <w:p w14:paraId="4DB04F4F">
      <w:pPr>
        <w:pStyle w:val="2"/>
        <w:ind w:firstLine="482" w:firstLineChars="200"/>
        <w:rPr>
          <w:rFonts w:hint="default" w:ascii="宋体" w:hAnsi="宋体" w:eastAsia="宋体" w:cs="宋体"/>
          <w:b/>
          <w:bCs/>
          <w:color w:val="auto"/>
          <w:sz w:val="24"/>
          <w:highlight w:val="none"/>
          <w:u w:val="single"/>
          <w:lang w:val="en-US"/>
        </w:rPr>
      </w:pPr>
      <w:r>
        <w:rPr>
          <w:rFonts w:hint="eastAsia" w:ascii="宋体" w:hAnsi="宋体" w:cs="宋体"/>
          <w:b/>
          <w:bCs/>
          <w:color w:val="auto"/>
          <w:sz w:val="24"/>
          <w:highlight w:val="none"/>
          <w:lang w:val="en-US" w:eastAsia="zh-CN"/>
        </w:rPr>
        <w:t>总价：</w:t>
      </w:r>
      <w:r>
        <w:rPr>
          <w:rFonts w:hint="eastAsia" w:ascii="宋体" w:hAnsi="宋体" w:eastAsia="宋体" w:cs="宋体"/>
          <w:b/>
          <w:bCs/>
          <w:color w:val="auto"/>
          <w:sz w:val="24"/>
          <w:highlight w:val="none"/>
        </w:rPr>
        <w:t>人民币（大写）</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lang w:eastAsia="zh-CN"/>
        </w:rPr>
        <w:t>；</w:t>
      </w:r>
      <w:r>
        <w:rPr>
          <w:rFonts w:hint="eastAsia" w:ascii="宋体" w:hAnsi="宋体" w:eastAsia="宋体" w:cs="宋体"/>
          <w:b/>
          <w:bCs/>
          <w:color w:val="auto"/>
          <w:kern w:val="2"/>
          <w:sz w:val="24"/>
          <w:szCs w:val="24"/>
          <w:highlight w:val="none"/>
          <w:lang w:val="en-US" w:eastAsia="zh-CN" w:bidi="ar-SA"/>
        </w:rPr>
        <w:t>单价：</w:t>
      </w:r>
      <w:r>
        <w:rPr>
          <w:rFonts w:hint="eastAsia" w:ascii="宋体" w:hAnsi="宋体" w:cs="宋体"/>
          <w:b/>
          <w:bCs/>
          <w:color w:val="auto"/>
          <w:kern w:val="2"/>
          <w:sz w:val="24"/>
          <w:szCs w:val="24"/>
          <w:highlight w:val="none"/>
          <w:u w:val="single"/>
          <w:lang w:val="en-US" w:eastAsia="zh-CN" w:bidi="ar-SA"/>
        </w:rPr>
        <w:t xml:space="preserve">     </w:t>
      </w:r>
      <w:r>
        <w:rPr>
          <w:rFonts w:hint="eastAsia" w:ascii="宋体" w:hAnsi="宋体" w:cs="宋体"/>
          <w:b/>
          <w:bCs/>
          <w:color w:val="auto"/>
          <w:kern w:val="2"/>
          <w:sz w:val="24"/>
          <w:szCs w:val="24"/>
          <w:highlight w:val="none"/>
          <w:u w:val="none"/>
          <w:lang w:val="en-US" w:eastAsia="zh-CN" w:bidi="ar-SA"/>
        </w:rPr>
        <w:t>元/亩。</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的药剂费、人工费、防治费、验收费、管理费、保险费、</w:t>
      </w:r>
      <w:r>
        <w:rPr>
          <w:rFonts w:hint="eastAsia" w:ascii="宋体" w:hAnsi="宋体" w:cs="宋体"/>
          <w:sz w:val="24"/>
          <w:lang w:val="en-US" w:eastAsia="zh-CN"/>
        </w:rPr>
        <w:t>采购</w:t>
      </w:r>
      <w:r>
        <w:rPr>
          <w:rFonts w:hint="eastAsia" w:ascii="宋体" w:hAnsi="宋体" w:eastAsia="宋体" w:cs="宋体"/>
          <w:sz w:val="24"/>
        </w:rPr>
        <w:t>文件明示及暗示所有风险等与本项目有关的所有费用，服务期内采购人不再增加任何费用。</w:t>
      </w:r>
    </w:p>
    <w:p w14:paraId="1E1EE16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（三）合同总价一次性包死，不受市场价格变化因素的影响。</w:t>
      </w:r>
      <w:bookmarkStart w:id="1" w:name="_Toc5628"/>
    </w:p>
    <w:p w14:paraId="2F69BAF8">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三、款项结算</w:t>
      </w:r>
      <w:bookmarkEnd w:id="1"/>
    </w:p>
    <w:p w14:paraId="2E07AA13">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kern w:val="0"/>
          <w:sz w:val="24"/>
          <w:szCs w:val="21"/>
        </w:rPr>
        <w:t>（</w:t>
      </w:r>
      <w:r>
        <w:rPr>
          <w:rFonts w:hint="eastAsia" w:ascii="宋体" w:hAnsi="宋体" w:cs="宋体"/>
          <w:kern w:val="0"/>
          <w:sz w:val="24"/>
          <w:szCs w:val="21"/>
          <w:lang w:val="en-US" w:eastAsia="zh-CN"/>
        </w:rPr>
        <w:t>1</w:t>
      </w:r>
      <w:r>
        <w:rPr>
          <w:rFonts w:hint="eastAsia" w:ascii="宋体" w:hAnsi="宋体" w:eastAsia="宋体" w:cs="宋体"/>
          <w:kern w:val="0"/>
          <w:sz w:val="24"/>
          <w:szCs w:val="21"/>
        </w:rPr>
        <w:t>）合同价款的</w:t>
      </w:r>
      <w:r>
        <w:rPr>
          <w:rFonts w:hint="eastAsia" w:ascii="宋体" w:hAnsi="宋体" w:eastAsia="宋体" w:cs="宋体"/>
          <w:kern w:val="0"/>
          <w:sz w:val="24"/>
          <w:szCs w:val="21"/>
          <w:highlight w:val="none"/>
        </w:rPr>
        <w:t>支付</w:t>
      </w:r>
      <w:r>
        <w:rPr>
          <w:rFonts w:hint="eastAsia" w:ascii="宋体" w:hAnsi="宋体" w:eastAsia="宋体" w:cs="宋体"/>
          <w:b/>
          <w:bCs/>
          <w:kern w:val="0"/>
          <w:sz w:val="24"/>
          <w:szCs w:val="21"/>
          <w:highlight w:val="none"/>
        </w:rPr>
        <w:t>：</w:t>
      </w:r>
      <w:r>
        <w:rPr>
          <w:rFonts w:hint="eastAsia" w:ascii="宋体" w:hAnsi="宋体" w:eastAsia="宋体" w:cs="宋体"/>
          <w:sz w:val="24"/>
          <w:lang w:val="en-US" w:eastAsia="zh-CN"/>
        </w:rPr>
        <w:t xml:space="preserve">服务结束后经采购人邀请相关部门验收合格后，一次性付支付合同总价款的100%。 </w:t>
      </w:r>
    </w:p>
    <w:p w14:paraId="267890F0">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注：合同最终结算方式为据实结算，合同最终价款=成交单价*最终实际服务亩数</w:t>
      </w:r>
      <w:r>
        <w:rPr>
          <w:rFonts w:hint="eastAsia" w:ascii="宋体" w:hAnsi="宋体" w:eastAsia="宋体" w:cs="宋体"/>
          <w:sz w:val="24"/>
        </w:rPr>
        <w:t>。</w:t>
      </w:r>
    </w:p>
    <w:p w14:paraId="4E9A57AF">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2</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结算方式：银行转账。</w:t>
      </w:r>
    </w:p>
    <w:p w14:paraId="056B701D">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3</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支付方式：由采购人负责结算，合同签订后，供应商在接受付款前，开具等额发票给采购人。</w:t>
      </w:r>
    </w:p>
    <w:p w14:paraId="06628DAB">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w:t>
      </w:r>
      <w:r>
        <w:rPr>
          <w:rFonts w:hint="eastAsia" w:ascii="宋体" w:hAnsi="宋体" w:cs="宋体"/>
          <w:kern w:val="0"/>
          <w:sz w:val="24"/>
          <w:szCs w:val="21"/>
          <w:lang w:eastAsia="zh-CN"/>
        </w:rPr>
        <w:t>）</w:t>
      </w:r>
      <w:r>
        <w:rPr>
          <w:rFonts w:hint="eastAsia" w:ascii="宋体" w:hAnsi="宋体" w:cs="宋体"/>
          <w:kern w:val="0"/>
          <w:sz w:val="24"/>
          <w:szCs w:val="21"/>
          <w:lang w:val="en-US" w:eastAsia="zh-CN"/>
        </w:rPr>
        <w:t>供应商账户信息：</w:t>
      </w:r>
    </w:p>
    <w:p w14:paraId="30A730FC">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开户银行：</w:t>
      </w:r>
    </w:p>
    <w:p w14:paraId="6B03D772">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cs="宋体"/>
          <w:kern w:val="0"/>
          <w:sz w:val="24"/>
          <w:szCs w:val="21"/>
          <w:lang w:val="en-US" w:eastAsia="zh-CN"/>
        </w:rPr>
      </w:pPr>
      <w:r>
        <w:rPr>
          <w:rFonts w:hint="eastAsia" w:ascii="宋体" w:hAnsi="宋体" w:cs="宋体"/>
          <w:kern w:val="0"/>
          <w:sz w:val="24"/>
          <w:szCs w:val="21"/>
          <w:lang w:val="en-US" w:eastAsia="zh-CN"/>
        </w:rPr>
        <w:t>开户账号：</w:t>
      </w:r>
    </w:p>
    <w:p w14:paraId="44E28BB1">
      <w:pPr>
        <w:numPr>
          <w:ilvl w:val="0"/>
          <w:numId w:val="1"/>
        </w:numPr>
        <w:spacing w:line="360" w:lineRule="auto"/>
        <w:ind w:firstLine="482" w:firstLineChars="200"/>
        <w:rPr>
          <w:rFonts w:hint="eastAsia" w:ascii="宋体" w:hAnsi="宋体" w:cs="宋体"/>
          <w:b/>
          <w:sz w:val="24"/>
          <w:lang w:val="en-US" w:eastAsia="zh-CN"/>
        </w:rPr>
      </w:pPr>
      <w:bookmarkStart w:id="2" w:name="_Toc12029"/>
      <w:r>
        <w:rPr>
          <w:rFonts w:hint="eastAsia" w:ascii="宋体" w:hAnsi="宋体" w:cs="宋体"/>
          <w:b/>
          <w:sz w:val="24"/>
          <w:lang w:val="en-US" w:eastAsia="zh-CN"/>
        </w:rPr>
        <w:t>内容及要求</w:t>
      </w:r>
    </w:p>
    <w:p w14:paraId="389C653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1.服务内容</w:t>
      </w:r>
    </w:p>
    <w:p w14:paraId="72C90AA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严格按照统防统治作业要求</w:t>
      </w:r>
      <w:r>
        <w:rPr>
          <w:rFonts w:hint="eastAsia" w:ascii="宋体" w:hAnsi="宋体" w:eastAsia="宋体" w:cs="宋体"/>
          <w:sz w:val="24"/>
          <w:szCs w:val="24"/>
          <w:lang w:eastAsia="zh-CN"/>
        </w:rPr>
        <w:t>，</w:t>
      </w:r>
      <w:r>
        <w:rPr>
          <w:rFonts w:hint="eastAsia" w:ascii="宋体" w:hAnsi="宋体" w:eastAsia="宋体" w:cs="宋体"/>
          <w:sz w:val="24"/>
          <w:szCs w:val="24"/>
        </w:rPr>
        <w:t>对小麦进行促弱转壮增粒重防病虫喷施药剂</w:t>
      </w:r>
      <w:r>
        <w:rPr>
          <w:rFonts w:hint="eastAsia" w:ascii="宋体" w:hAnsi="宋体" w:eastAsia="宋体" w:cs="宋体"/>
          <w:sz w:val="24"/>
          <w:szCs w:val="24"/>
          <w:lang w:eastAsia="zh-CN"/>
        </w:rPr>
        <w:t>、</w:t>
      </w:r>
      <w:r>
        <w:rPr>
          <w:rFonts w:hint="eastAsia" w:ascii="宋体" w:hAnsi="宋体" w:eastAsia="宋体" w:cs="宋体"/>
          <w:sz w:val="24"/>
          <w:szCs w:val="24"/>
        </w:rPr>
        <w:t>做好防治服务。</w:t>
      </w:r>
    </w:p>
    <w:p w14:paraId="20BC548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2.服务</w:t>
      </w:r>
      <w:bookmarkStart w:id="3" w:name="_Hlk98681507"/>
      <w:bookmarkStart w:id="4" w:name="_Hlk98671566"/>
      <w:r>
        <w:rPr>
          <w:rFonts w:hint="eastAsia" w:ascii="宋体" w:hAnsi="宋体" w:eastAsia="宋体" w:cs="宋体"/>
          <w:b/>
          <w:sz w:val="24"/>
          <w:szCs w:val="24"/>
          <w:lang w:val="en-US" w:eastAsia="zh-CN"/>
        </w:rPr>
        <w:t>要求</w:t>
      </w:r>
    </w:p>
    <w:bookmarkEnd w:id="3"/>
    <w:bookmarkEnd w:id="4"/>
    <w:p w14:paraId="7FEAF38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2.1 喷施服务要求</w:t>
      </w:r>
    </w:p>
    <w:p w14:paraId="319CDB6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（1）以机械为主的植保器械，作业能力强，制度健全，管理规范。</w:t>
      </w:r>
    </w:p>
    <w:p w14:paraId="3DE0D35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（2）针对202</w:t>
      </w:r>
      <w:r>
        <w:rPr>
          <w:rFonts w:hint="eastAsia" w:ascii="宋体" w:hAnsi="宋体" w:eastAsia="宋体" w:cs="宋体"/>
          <w:sz w:val="24"/>
          <w:szCs w:val="24"/>
          <w:lang w:val="en-US" w:eastAsia="zh-CN"/>
        </w:rPr>
        <w:t>6</w:t>
      </w:r>
      <w:r>
        <w:rPr>
          <w:rFonts w:hint="eastAsia" w:ascii="宋体" w:hAnsi="宋体" w:eastAsia="宋体" w:cs="宋体"/>
          <w:sz w:val="24"/>
          <w:szCs w:val="24"/>
        </w:rPr>
        <w:t>年小麦病虫特点及生长性状，防效达到9</w:t>
      </w:r>
      <w:r>
        <w:rPr>
          <w:rFonts w:hint="eastAsia" w:ascii="宋体" w:hAnsi="宋体" w:eastAsia="宋体" w:cs="宋体"/>
          <w:sz w:val="24"/>
          <w:szCs w:val="24"/>
          <w:lang w:val="en-US" w:eastAsia="zh-CN"/>
        </w:rPr>
        <w:t>5</w:t>
      </w:r>
      <w:r>
        <w:rPr>
          <w:rFonts w:hint="eastAsia" w:ascii="宋体" w:hAnsi="宋体" w:eastAsia="宋体" w:cs="宋体"/>
          <w:sz w:val="24"/>
          <w:szCs w:val="24"/>
        </w:rPr>
        <w:t>％以上。</w:t>
      </w:r>
    </w:p>
    <w:p w14:paraId="101288C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（3）选择的药剂要符合国家标准，三证齐全，高效低毒、安全环保。</w:t>
      </w:r>
    </w:p>
    <w:p w14:paraId="586B342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（4）要在防治的关键时期完成防治任务，总体防效达9</w:t>
      </w:r>
      <w:r>
        <w:rPr>
          <w:rFonts w:hint="eastAsia" w:ascii="宋体" w:hAnsi="宋体" w:eastAsia="宋体" w:cs="宋体"/>
          <w:sz w:val="24"/>
          <w:szCs w:val="24"/>
          <w:lang w:val="en-US" w:eastAsia="zh-CN"/>
        </w:rPr>
        <w:t>5</w:t>
      </w:r>
      <w:r>
        <w:rPr>
          <w:rFonts w:hint="eastAsia" w:ascii="宋体" w:hAnsi="宋体" w:eastAsia="宋体" w:cs="宋体"/>
          <w:sz w:val="24"/>
          <w:szCs w:val="24"/>
        </w:rPr>
        <w:t>%以上，危害损失率控制在</w:t>
      </w:r>
      <w:r>
        <w:rPr>
          <w:rFonts w:hint="eastAsia" w:ascii="宋体" w:hAnsi="宋体" w:eastAsia="宋体" w:cs="宋体"/>
          <w:sz w:val="24"/>
          <w:szCs w:val="24"/>
          <w:lang w:val="en-US" w:eastAsia="zh-CN"/>
        </w:rPr>
        <w:t>3</w:t>
      </w:r>
      <w:r>
        <w:rPr>
          <w:rFonts w:hint="eastAsia" w:ascii="宋体" w:hAnsi="宋体" w:eastAsia="宋体" w:cs="宋体"/>
          <w:sz w:val="24"/>
          <w:szCs w:val="24"/>
        </w:rPr>
        <w:t>%以内。</w:t>
      </w:r>
    </w:p>
    <w:p w14:paraId="02B3D3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药剂使用要求</w:t>
      </w:r>
    </w:p>
    <w:tbl>
      <w:tblPr>
        <w:tblStyle w:val="8"/>
        <w:tblW w:w="9534"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519"/>
        <w:gridCol w:w="3120"/>
        <w:gridCol w:w="3953"/>
      </w:tblGrid>
      <w:tr w14:paraId="4A928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42" w:type="dxa"/>
            <w:tcBorders>
              <w:top w:val="single" w:color="auto" w:sz="4" w:space="0"/>
              <w:left w:val="single" w:color="auto" w:sz="4" w:space="0"/>
              <w:bottom w:val="single" w:color="auto" w:sz="4" w:space="0"/>
              <w:right w:val="single" w:color="auto" w:sz="4" w:space="0"/>
            </w:tcBorders>
            <w:noWrap w:val="0"/>
            <w:vAlign w:val="center"/>
          </w:tcPr>
          <w:p w14:paraId="126FFE0B">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ascii="仿宋" w:hAnsi="仿宋" w:eastAsia="仿宋"/>
                <w:b/>
                <w:bCs/>
                <w:kern w:val="2"/>
                <w:sz w:val="24"/>
                <w:szCs w:val="24"/>
                <w:u w:val="none"/>
              </w:rPr>
            </w:pPr>
            <w:r>
              <w:rPr>
                <w:rFonts w:hint="eastAsia" w:ascii="仿宋" w:hAnsi="仿宋" w:eastAsia="仿宋"/>
                <w:b/>
                <w:bCs/>
                <w:sz w:val="24"/>
                <w:szCs w:val="24"/>
                <w:u w:val="none"/>
              </w:rPr>
              <w:t>序号</w:t>
            </w:r>
          </w:p>
        </w:tc>
        <w:tc>
          <w:tcPr>
            <w:tcW w:w="1519" w:type="dxa"/>
            <w:tcBorders>
              <w:top w:val="single" w:color="auto" w:sz="4" w:space="0"/>
              <w:left w:val="single" w:color="auto" w:sz="4" w:space="0"/>
              <w:bottom w:val="single" w:color="auto" w:sz="4" w:space="0"/>
              <w:right w:val="single" w:color="auto" w:sz="4" w:space="0"/>
            </w:tcBorders>
            <w:noWrap w:val="0"/>
            <w:vAlign w:val="center"/>
          </w:tcPr>
          <w:p w14:paraId="35C09AE0">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ascii="仿宋" w:hAnsi="仿宋" w:eastAsia="仿宋"/>
                <w:b/>
                <w:bCs/>
                <w:kern w:val="2"/>
                <w:sz w:val="24"/>
                <w:szCs w:val="24"/>
                <w:u w:val="none"/>
              </w:rPr>
            </w:pPr>
            <w:r>
              <w:rPr>
                <w:rFonts w:hint="eastAsia" w:ascii="仿宋" w:hAnsi="仿宋" w:eastAsia="仿宋"/>
                <w:b/>
                <w:bCs/>
                <w:sz w:val="24"/>
                <w:szCs w:val="24"/>
                <w:u w:val="none"/>
              </w:rPr>
              <w:t>药剂名称</w:t>
            </w:r>
          </w:p>
        </w:tc>
        <w:tc>
          <w:tcPr>
            <w:tcW w:w="3120" w:type="dxa"/>
            <w:tcBorders>
              <w:top w:val="single" w:color="auto" w:sz="4" w:space="0"/>
              <w:left w:val="single" w:color="auto" w:sz="4" w:space="0"/>
              <w:bottom w:val="single" w:color="auto" w:sz="4" w:space="0"/>
              <w:right w:val="single" w:color="auto" w:sz="4" w:space="0"/>
            </w:tcBorders>
            <w:noWrap w:val="0"/>
            <w:vAlign w:val="center"/>
          </w:tcPr>
          <w:p w14:paraId="307ABD98">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ascii="仿宋" w:hAnsi="仿宋" w:eastAsia="仿宋"/>
                <w:b/>
                <w:bCs/>
                <w:kern w:val="2"/>
                <w:sz w:val="24"/>
                <w:szCs w:val="24"/>
                <w:u w:val="none"/>
              </w:rPr>
            </w:pPr>
            <w:r>
              <w:rPr>
                <w:rFonts w:hint="eastAsia" w:ascii="仿宋" w:hAnsi="仿宋" w:eastAsia="仿宋"/>
                <w:b/>
                <w:bCs/>
                <w:sz w:val="24"/>
                <w:szCs w:val="24"/>
                <w:u w:val="none"/>
              </w:rPr>
              <w:t>数量</w:t>
            </w:r>
          </w:p>
        </w:tc>
        <w:tc>
          <w:tcPr>
            <w:tcW w:w="3953" w:type="dxa"/>
            <w:tcBorders>
              <w:top w:val="single" w:color="auto" w:sz="4" w:space="0"/>
              <w:left w:val="single" w:color="auto" w:sz="4" w:space="0"/>
              <w:bottom w:val="single" w:color="auto" w:sz="4" w:space="0"/>
              <w:right w:val="single" w:color="auto" w:sz="4" w:space="0"/>
            </w:tcBorders>
            <w:noWrap w:val="0"/>
            <w:vAlign w:val="center"/>
          </w:tcPr>
          <w:p w14:paraId="427DA854">
            <w:pPr>
              <w:pStyle w:val="7"/>
              <w:pBdr>
                <w:top w:val="none" w:color="auto" w:sz="0" w:space="1"/>
                <w:left w:val="none" w:color="auto" w:sz="0" w:space="4"/>
                <w:bottom w:val="none" w:color="auto" w:sz="0" w:space="1"/>
                <w:right w:val="none" w:color="auto" w:sz="0" w:space="4"/>
              </w:pBdr>
              <w:tabs>
                <w:tab w:val="center" w:pos="4153"/>
                <w:tab w:val="right" w:pos="8306"/>
              </w:tabs>
              <w:autoSpaceDE w:val="0"/>
              <w:snapToGrid w:val="0"/>
              <w:spacing w:line="420" w:lineRule="exact"/>
              <w:ind w:firstLine="0" w:firstLineChars="0"/>
              <w:jc w:val="center"/>
              <w:rPr>
                <w:rFonts w:ascii="仿宋" w:hAnsi="仿宋" w:eastAsia="仿宋"/>
                <w:b/>
                <w:bCs/>
                <w:kern w:val="2"/>
                <w:sz w:val="24"/>
                <w:szCs w:val="24"/>
                <w:u w:val="none"/>
              </w:rPr>
            </w:pPr>
            <w:r>
              <w:rPr>
                <w:rFonts w:hint="eastAsia" w:ascii="仿宋" w:hAnsi="仿宋" w:eastAsia="仿宋"/>
                <w:b/>
                <w:bCs/>
                <w:sz w:val="24"/>
                <w:szCs w:val="24"/>
                <w:u w:val="none"/>
              </w:rPr>
              <w:t>技术指标、参数</w:t>
            </w:r>
          </w:p>
        </w:tc>
      </w:tr>
      <w:tr w14:paraId="008E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942" w:type="dxa"/>
            <w:tcBorders>
              <w:top w:val="single" w:color="auto" w:sz="4" w:space="0"/>
              <w:left w:val="single" w:color="auto" w:sz="4" w:space="0"/>
              <w:bottom w:val="single" w:color="auto" w:sz="4" w:space="0"/>
              <w:right w:val="single" w:color="auto" w:sz="4" w:space="0"/>
            </w:tcBorders>
            <w:noWrap w:val="0"/>
            <w:vAlign w:val="center"/>
          </w:tcPr>
          <w:p w14:paraId="634DCDE3">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1</w:t>
            </w:r>
          </w:p>
        </w:tc>
        <w:tc>
          <w:tcPr>
            <w:tcW w:w="1519" w:type="dxa"/>
            <w:tcBorders>
              <w:top w:val="single" w:color="auto" w:sz="4" w:space="0"/>
              <w:left w:val="single" w:color="auto" w:sz="4" w:space="0"/>
              <w:bottom w:val="single" w:color="auto" w:sz="4" w:space="0"/>
              <w:right w:val="single" w:color="auto" w:sz="4" w:space="0"/>
            </w:tcBorders>
            <w:noWrap w:val="0"/>
            <w:vAlign w:val="center"/>
          </w:tcPr>
          <w:p w14:paraId="2739D9EF">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杀虫剂</w:t>
            </w:r>
          </w:p>
        </w:tc>
        <w:tc>
          <w:tcPr>
            <w:tcW w:w="3120" w:type="dxa"/>
            <w:tcBorders>
              <w:top w:val="single" w:color="auto" w:sz="4" w:space="0"/>
              <w:left w:val="single" w:color="auto" w:sz="4" w:space="0"/>
              <w:bottom w:val="single" w:color="auto" w:sz="4" w:space="0"/>
              <w:right w:val="single" w:color="auto" w:sz="4" w:space="0"/>
            </w:tcBorders>
            <w:noWrap w:val="0"/>
            <w:vAlign w:val="center"/>
          </w:tcPr>
          <w:p w14:paraId="5CECF7FC">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ind w:left="-51" w:leftChars="-95" w:hanging="148" w:hangingChars="62"/>
              <w:jc w:val="center"/>
              <w:rPr>
                <w:rFonts w:hint="eastAsia" w:ascii="仿宋" w:hAnsi="仿宋" w:eastAsia="宋体"/>
                <w:sz w:val="24"/>
                <w:szCs w:val="24"/>
                <w:lang w:val="en-US" w:eastAsia="zh-CN"/>
              </w:rPr>
            </w:pPr>
            <w:r>
              <w:rPr>
                <w:rFonts w:hint="eastAsia" w:ascii="仿宋" w:hAnsi="仿宋" w:eastAsia="仿宋"/>
                <w:sz w:val="24"/>
                <w:szCs w:val="24"/>
                <w:lang w:val="en-US" w:eastAsia="zh-CN"/>
              </w:rPr>
              <w:t xml:space="preserve"> </w:t>
            </w:r>
            <w:r>
              <w:rPr>
                <w:rFonts w:hint="eastAsia" w:ascii="仿宋" w:hAnsi="仿宋" w:eastAsia="仿宋"/>
                <w:sz w:val="24"/>
                <w:szCs w:val="24"/>
              </w:rPr>
              <w:t>按农业部登记药剂的推荐剂</w:t>
            </w:r>
            <w:r>
              <w:rPr>
                <w:rFonts w:hint="eastAsia" w:ascii="仿宋" w:hAnsi="仿宋" w:eastAsia="仿宋" w:cs="Times New Roman"/>
                <w:sz w:val="24"/>
                <w:szCs w:val="24"/>
              </w:rPr>
              <w:t>量</w:t>
            </w:r>
            <w:r>
              <w:rPr>
                <w:rFonts w:hint="eastAsia" w:ascii="仿宋" w:hAnsi="仿宋" w:eastAsia="仿宋" w:cs="Times New Roman"/>
                <w:sz w:val="24"/>
                <w:szCs w:val="24"/>
                <w:lang w:eastAsia="zh-CN"/>
              </w:rPr>
              <w:t>，</w:t>
            </w:r>
            <w:r>
              <w:rPr>
                <w:rFonts w:hint="eastAsia" w:ascii="仿宋" w:hAnsi="仿宋" w:eastAsia="仿宋" w:cs="Times New Roman"/>
                <w:sz w:val="24"/>
                <w:szCs w:val="24"/>
                <w:lang w:val="en-US" w:eastAsia="zh-CN"/>
              </w:rPr>
              <w:t>不少于</w:t>
            </w:r>
            <w:r>
              <w:rPr>
                <w:rFonts w:hint="eastAsia" w:ascii="仿宋" w:hAnsi="仿宋" w:eastAsia="仿宋" w:cs="Times New Roman"/>
                <w:sz w:val="24"/>
                <w:szCs w:val="24"/>
              </w:rPr>
              <w:t>32695亩</w:t>
            </w:r>
            <w:r>
              <w:rPr>
                <w:rFonts w:hint="eastAsia" w:ascii="仿宋" w:hAnsi="仿宋" w:eastAsia="仿宋" w:cs="Times New Roman"/>
                <w:sz w:val="24"/>
                <w:szCs w:val="24"/>
                <w:lang w:eastAsia="zh-CN"/>
              </w:rPr>
              <w:t>。</w:t>
            </w:r>
          </w:p>
        </w:tc>
        <w:tc>
          <w:tcPr>
            <w:tcW w:w="3953" w:type="dxa"/>
            <w:tcBorders>
              <w:top w:val="single" w:color="auto" w:sz="4" w:space="0"/>
              <w:left w:val="single" w:color="auto" w:sz="4" w:space="0"/>
              <w:bottom w:val="single" w:color="auto" w:sz="4" w:space="0"/>
              <w:right w:val="single" w:color="auto" w:sz="4" w:space="0"/>
            </w:tcBorders>
            <w:noWrap w:val="0"/>
            <w:vAlign w:val="center"/>
          </w:tcPr>
          <w:p w14:paraId="4A64EFFA">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在作物上使用安全，防治蚜虫、吸浆虫等害虫的复配制剂杀虫剂</w:t>
            </w:r>
          </w:p>
        </w:tc>
      </w:tr>
      <w:tr w14:paraId="1044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942" w:type="dxa"/>
            <w:tcBorders>
              <w:top w:val="single" w:color="auto" w:sz="4" w:space="0"/>
              <w:left w:val="single" w:color="auto" w:sz="4" w:space="0"/>
              <w:bottom w:val="single" w:color="auto" w:sz="4" w:space="0"/>
              <w:right w:val="single" w:color="auto" w:sz="4" w:space="0"/>
            </w:tcBorders>
            <w:noWrap w:val="0"/>
            <w:vAlign w:val="center"/>
          </w:tcPr>
          <w:p w14:paraId="52861501">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2</w:t>
            </w:r>
          </w:p>
        </w:tc>
        <w:tc>
          <w:tcPr>
            <w:tcW w:w="1519" w:type="dxa"/>
            <w:tcBorders>
              <w:top w:val="single" w:color="auto" w:sz="4" w:space="0"/>
              <w:left w:val="single" w:color="auto" w:sz="4" w:space="0"/>
              <w:bottom w:val="single" w:color="auto" w:sz="4" w:space="0"/>
              <w:right w:val="single" w:color="auto" w:sz="4" w:space="0"/>
            </w:tcBorders>
            <w:noWrap w:val="0"/>
            <w:vAlign w:val="center"/>
          </w:tcPr>
          <w:p w14:paraId="6B65DE08">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杀菌剂</w:t>
            </w:r>
          </w:p>
        </w:tc>
        <w:tc>
          <w:tcPr>
            <w:tcW w:w="3120" w:type="dxa"/>
            <w:tcBorders>
              <w:top w:val="single" w:color="auto" w:sz="4" w:space="0"/>
              <w:left w:val="single" w:color="auto" w:sz="4" w:space="0"/>
              <w:bottom w:val="single" w:color="auto" w:sz="4" w:space="0"/>
              <w:right w:val="single" w:color="auto" w:sz="4" w:space="0"/>
            </w:tcBorders>
            <w:noWrap w:val="0"/>
            <w:vAlign w:val="center"/>
          </w:tcPr>
          <w:p w14:paraId="57C4D0B6">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hint="eastAsia" w:ascii="仿宋" w:hAnsi="仿宋" w:eastAsia="仿宋"/>
                <w:sz w:val="24"/>
                <w:szCs w:val="24"/>
                <w:lang w:eastAsia="zh-CN"/>
              </w:rPr>
            </w:pPr>
            <w:r>
              <w:rPr>
                <w:rFonts w:hint="eastAsia" w:ascii="仿宋" w:hAnsi="仿宋" w:eastAsia="仿宋"/>
                <w:sz w:val="24"/>
                <w:szCs w:val="24"/>
              </w:rPr>
              <w:t>按农业部登记药剂的推荐剂量</w:t>
            </w:r>
            <w:r>
              <w:rPr>
                <w:rFonts w:hint="eastAsia" w:ascii="仿宋" w:hAnsi="仿宋" w:eastAsia="仿宋" w:cs="Times New Roman"/>
                <w:sz w:val="24"/>
                <w:szCs w:val="24"/>
                <w:lang w:eastAsia="zh-CN"/>
              </w:rPr>
              <w:t>，</w:t>
            </w:r>
            <w:r>
              <w:rPr>
                <w:rFonts w:hint="eastAsia" w:ascii="仿宋" w:hAnsi="仿宋" w:eastAsia="仿宋" w:cs="Times New Roman"/>
                <w:sz w:val="24"/>
                <w:szCs w:val="24"/>
                <w:lang w:val="en-US" w:eastAsia="zh-CN"/>
              </w:rPr>
              <w:t>不少于</w:t>
            </w:r>
            <w:r>
              <w:rPr>
                <w:rFonts w:hint="eastAsia" w:ascii="仿宋" w:hAnsi="仿宋" w:eastAsia="仿宋" w:cs="Times New Roman"/>
                <w:sz w:val="24"/>
                <w:szCs w:val="24"/>
              </w:rPr>
              <w:t>32695亩</w:t>
            </w:r>
            <w:r>
              <w:rPr>
                <w:rFonts w:hint="eastAsia" w:ascii="仿宋" w:hAnsi="仿宋" w:eastAsia="仿宋" w:cs="Times New Roman"/>
                <w:sz w:val="24"/>
                <w:szCs w:val="24"/>
                <w:lang w:eastAsia="zh-CN"/>
              </w:rPr>
              <w:t>。</w:t>
            </w:r>
          </w:p>
        </w:tc>
        <w:tc>
          <w:tcPr>
            <w:tcW w:w="3953" w:type="dxa"/>
            <w:tcBorders>
              <w:top w:val="single" w:color="auto" w:sz="4" w:space="0"/>
              <w:left w:val="single" w:color="auto" w:sz="4" w:space="0"/>
              <w:bottom w:val="single" w:color="auto" w:sz="4" w:space="0"/>
              <w:right w:val="single" w:color="auto" w:sz="4" w:space="0"/>
            </w:tcBorders>
            <w:noWrap w:val="0"/>
            <w:vAlign w:val="center"/>
          </w:tcPr>
          <w:p w14:paraId="0D83CDF9">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防治小麦赤霉病、条锈病、白粉病的复配制剂杀菌剂</w:t>
            </w:r>
          </w:p>
        </w:tc>
      </w:tr>
      <w:tr w14:paraId="7ACF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942" w:type="dxa"/>
            <w:tcBorders>
              <w:top w:val="single" w:color="auto" w:sz="4" w:space="0"/>
              <w:left w:val="single" w:color="auto" w:sz="4" w:space="0"/>
              <w:bottom w:val="single" w:color="auto" w:sz="4" w:space="0"/>
              <w:right w:val="single" w:color="auto" w:sz="4" w:space="0"/>
            </w:tcBorders>
            <w:noWrap w:val="0"/>
            <w:vAlign w:val="center"/>
          </w:tcPr>
          <w:p w14:paraId="3B06ABDA">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3</w:t>
            </w:r>
          </w:p>
        </w:tc>
        <w:tc>
          <w:tcPr>
            <w:tcW w:w="1519" w:type="dxa"/>
            <w:tcBorders>
              <w:top w:val="single" w:color="auto" w:sz="4" w:space="0"/>
              <w:left w:val="single" w:color="auto" w:sz="4" w:space="0"/>
              <w:bottom w:val="single" w:color="auto" w:sz="4" w:space="0"/>
              <w:right w:val="single" w:color="auto" w:sz="4" w:space="0"/>
            </w:tcBorders>
            <w:noWrap w:val="0"/>
            <w:vAlign w:val="center"/>
          </w:tcPr>
          <w:p w14:paraId="25D96EA8">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叶面肥</w:t>
            </w:r>
          </w:p>
        </w:tc>
        <w:tc>
          <w:tcPr>
            <w:tcW w:w="3120" w:type="dxa"/>
            <w:tcBorders>
              <w:top w:val="single" w:color="auto" w:sz="4" w:space="0"/>
              <w:left w:val="single" w:color="auto" w:sz="4" w:space="0"/>
              <w:bottom w:val="single" w:color="auto" w:sz="4" w:space="0"/>
              <w:right w:val="single" w:color="auto" w:sz="4" w:space="0"/>
            </w:tcBorders>
            <w:noWrap w:val="0"/>
            <w:vAlign w:val="center"/>
          </w:tcPr>
          <w:p w14:paraId="53552B9F">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按农业部登记药剂的推荐剂量</w:t>
            </w:r>
            <w:r>
              <w:rPr>
                <w:rFonts w:hint="eastAsia" w:ascii="仿宋" w:hAnsi="仿宋" w:eastAsia="仿宋" w:cs="Times New Roman"/>
                <w:sz w:val="24"/>
                <w:szCs w:val="24"/>
                <w:lang w:eastAsia="zh-CN"/>
              </w:rPr>
              <w:t>，</w:t>
            </w:r>
            <w:r>
              <w:rPr>
                <w:rFonts w:hint="eastAsia" w:ascii="仿宋" w:hAnsi="仿宋" w:eastAsia="仿宋" w:cs="Times New Roman"/>
                <w:sz w:val="24"/>
                <w:szCs w:val="24"/>
                <w:lang w:val="en-US" w:eastAsia="zh-CN"/>
              </w:rPr>
              <w:t>不少于</w:t>
            </w:r>
            <w:r>
              <w:rPr>
                <w:rFonts w:hint="eastAsia" w:ascii="仿宋" w:hAnsi="仿宋" w:eastAsia="仿宋" w:cs="Times New Roman"/>
                <w:sz w:val="24"/>
                <w:szCs w:val="24"/>
              </w:rPr>
              <w:t>32695亩</w:t>
            </w:r>
            <w:r>
              <w:rPr>
                <w:rFonts w:hint="eastAsia" w:ascii="仿宋" w:hAnsi="仿宋" w:eastAsia="仿宋" w:cs="Times New Roman"/>
                <w:sz w:val="24"/>
                <w:szCs w:val="24"/>
                <w:lang w:eastAsia="zh-CN"/>
              </w:rPr>
              <w:t>。</w:t>
            </w:r>
          </w:p>
        </w:tc>
        <w:tc>
          <w:tcPr>
            <w:tcW w:w="3953" w:type="dxa"/>
            <w:tcBorders>
              <w:top w:val="single" w:color="auto" w:sz="4" w:space="0"/>
              <w:left w:val="single" w:color="auto" w:sz="4" w:space="0"/>
              <w:bottom w:val="single" w:color="auto" w:sz="4" w:space="0"/>
              <w:right w:val="single" w:color="auto" w:sz="4" w:space="0"/>
            </w:tcBorders>
            <w:noWrap w:val="0"/>
            <w:vAlign w:val="center"/>
          </w:tcPr>
          <w:p w14:paraId="44F019A2">
            <w:pPr>
              <w:pBdr>
                <w:top w:val="none" w:color="auto" w:sz="0" w:space="1"/>
                <w:left w:val="none" w:color="auto" w:sz="0" w:space="4"/>
                <w:bottom w:val="none" w:color="auto" w:sz="0" w:space="1"/>
                <w:right w:val="none" w:color="auto" w:sz="0" w:space="4"/>
              </w:pBd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在作物上应用的水溶性叶面肥</w:t>
            </w:r>
          </w:p>
        </w:tc>
      </w:tr>
      <w:tr w14:paraId="240D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942" w:type="dxa"/>
            <w:noWrap w:val="0"/>
            <w:vAlign w:val="center"/>
          </w:tcPr>
          <w:p w14:paraId="0C12730C">
            <w:pPr>
              <w:tabs>
                <w:tab w:val="center" w:pos="4153"/>
                <w:tab w:val="right" w:pos="8306"/>
              </w:tabs>
              <w:snapToGrid w:val="0"/>
              <w:spacing w:line="420" w:lineRule="exact"/>
              <w:jc w:val="center"/>
              <w:rPr>
                <w:rFonts w:ascii="仿宋" w:hAnsi="仿宋" w:eastAsia="仿宋"/>
                <w:sz w:val="24"/>
                <w:szCs w:val="24"/>
              </w:rPr>
            </w:pPr>
            <w:r>
              <w:rPr>
                <w:rFonts w:hint="eastAsia" w:ascii="仿宋" w:hAnsi="仿宋" w:eastAsia="仿宋"/>
                <w:sz w:val="24"/>
                <w:szCs w:val="24"/>
              </w:rPr>
              <w:t>4</w:t>
            </w:r>
          </w:p>
        </w:tc>
        <w:tc>
          <w:tcPr>
            <w:tcW w:w="1519" w:type="dxa"/>
            <w:noWrap w:val="0"/>
            <w:vAlign w:val="center"/>
          </w:tcPr>
          <w:p w14:paraId="72B1E633">
            <w:pPr>
              <w:ind w:left="112"/>
              <w:jc w:val="center"/>
              <w:rPr>
                <w:rFonts w:ascii="仿宋" w:hAnsi="仿宋" w:eastAsia="仿宋" w:cs="仿宋"/>
                <w:b/>
                <w:sz w:val="24"/>
                <w:szCs w:val="24"/>
              </w:rPr>
            </w:pPr>
            <w:r>
              <w:rPr>
                <w:rFonts w:hint="eastAsia" w:ascii="仿宋" w:hAnsi="仿宋" w:eastAsia="仿宋"/>
                <w:sz w:val="24"/>
                <w:szCs w:val="24"/>
              </w:rPr>
              <w:t>生长调节剂</w:t>
            </w:r>
          </w:p>
        </w:tc>
        <w:tc>
          <w:tcPr>
            <w:tcW w:w="3120" w:type="dxa"/>
            <w:noWrap w:val="0"/>
            <w:vAlign w:val="center"/>
          </w:tcPr>
          <w:p w14:paraId="76A1B24E">
            <w:pPr>
              <w:ind w:left="112"/>
              <w:jc w:val="center"/>
              <w:rPr>
                <w:rFonts w:ascii="仿宋" w:hAnsi="仿宋" w:eastAsia="仿宋" w:cs="仿宋"/>
                <w:b/>
                <w:sz w:val="24"/>
                <w:szCs w:val="24"/>
              </w:rPr>
            </w:pPr>
            <w:r>
              <w:rPr>
                <w:rFonts w:hint="eastAsia" w:ascii="仿宋" w:hAnsi="仿宋" w:eastAsia="仿宋"/>
                <w:sz w:val="24"/>
                <w:szCs w:val="24"/>
              </w:rPr>
              <w:t>按农业部登记药剂的推荐剂量</w:t>
            </w:r>
            <w:r>
              <w:rPr>
                <w:rFonts w:hint="eastAsia" w:ascii="仿宋" w:hAnsi="仿宋" w:eastAsia="仿宋" w:cs="Times New Roman"/>
                <w:sz w:val="24"/>
                <w:szCs w:val="24"/>
                <w:lang w:eastAsia="zh-CN"/>
              </w:rPr>
              <w:t>，</w:t>
            </w:r>
            <w:r>
              <w:rPr>
                <w:rFonts w:hint="eastAsia" w:ascii="仿宋" w:hAnsi="仿宋" w:eastAsia="仿宋" w:cs="Times New Roman"/>
                <w:sz w:val="24"/>
                <w:szCs w:val="24"/>
                <w:lang w:val="en-US" w:eastAsia="zh-CN"/>
              </w:rPr>
              <w:t>不少于</w:t>
            </w:r>
            <w:r>
              <w:rPr>
                <w:rFonts w:hint="eastAsia" w:ascii="仿宋" w:hAnsi="仿宋" w:eastAsia="仿宋" w:cs="Times New Roman"/>
                <w:sz w:val="24"/>
                <w:szCs w:val="24"/>
              </w:rPr>
              <w:t>32695亩</w:t>
            </w:r>
            <w:r>
              <w:rPr>
                <w:rFonts w:hint="eastAsia" w:ascii="仿宋" w:hAnsi="仿宋" w:eastAsia="仿宋" w:cs="Times New Roman"/>
                <w:sz w:val="24"/>
                <w:szCs w:val="24"/>
                <w:lang w:eastAsia="zh-CN"/>
              </w:rPr>
              <w:t>。</w:t>
            </w:r>
          </w:p>
        </w:tc>
        <w:tc>
          <w:tcPr>
            <w:tcW w:w="3953" w:type="dxa"/>
            <w:noWrap w:val="0"/>
            <w:vAlign w:val="center"/>
          </w:tcPr>
          <w:p w14:paraId="6D872039">
            <w:pPr>
              <w:ind w:left="112"/>
              <w:jc w:val="center"/>
              <w:rPr>
                <w:rFonts w:ascii="仿宋" w:hAnsi="仿宋" w:eastAsia="仿宋" w:cs="仿宋"/>
                <w:b/>
                <w:sz w:val="24"/>
                <w:szCs w:val="24"/>
              </w:rPr>
            </w:pPr>
            <w:r>
              <w:rPr>
                <w:rFonts w:hint="eastAsia" w:ascii="仿宋" w:hAnsi="仿宋" w:eastAsia="仿宋"/>
                <w:sz w:val="24"/>
                <w:szCs w:val="24"/>
              </w:rPr>
              <w:t>在作物上应用的生长调节剂</w:t>
            </w:r>
          </w:p>
        </w:tc>
      </w:tr>
      <w:tr w14:paraId="6F52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9534" w:type="dxa"/>
            <w:gridSpan w:val="4"/>
            <w:noWrap w:val="0"/>
            <w:vAlign w:val="center"/>
          </w:tcPr>
          <w:p w14:paraId="415613A8">
            <w:pPr>
              <w:ind w:left="112"/>
              <w:jc w:val="left"/>
              <w:rPr>
                <w:rFonts w:hint="eastAsia" w:ascii="仿宋" w:hAnsi="仿宋" w:eastAsia="仿宋"/>
                <w:sz w:val="24"/>
                <w:szCs w:val="24"/>
              </w:rPr>
            </w:pPr>
            <w:r>
              <w:rPr>
                <w:rFonts w:hint="eastAsia" w:ascii="仿宋" w:hAnsi="仿宋" w:eastAsia="仿宋"/>
                <w:sz w:val="24"/>
                <w:szCs w:val="24"/>
              </w:rPr>
              <w:t>注:本次药剂使用数量根据面积配备，采购杀虫剂+杀菌剂+叶面肥+生长调节剂，配备的每种药剂亩用量须符合农业农村部登记药剂的推荐剂量。</w:t>
            </w:r>
          </w:p>
        </w:tc>
      </w:tr>
    </w:tbl>
    <w:p w14:paraId="727762B7">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p>
    <w:p w14:paraId="7467221F">
      <w:pPr>
        <w:spacing w:line="360" w:lineRule="auto"/>
        <w:ind w:firstLine="482" w:firstLineChars="200"/>
        <w:rPr>
          <w:rFonts w:hint="eastAsia" w:ascii="宋体" w:hAnsi="宋体" w:cs="宋体"/>
          <w:b w:val="0"/>
          <w:bCs/>
          <w:sz w:val="24"/>
          <w:lang w:val="en-US" w:eastAsia="zh-CN"/>
        </w:rPr>
      </w:pPr>
      <w:bookmarkStart w:id="10" w:name="_GoBack"/>
      <w:bookmarkEnd w:id="10"/>
      <w:r>
        <w:rPr>
          <w:rFonts w:hint="eastAsia" w:ascii="宋体" w:hAnsi="宋体" w:cs="宋体"/>
          <w:b/>
          <w:sz w:val="24"/>
          <w:lang w:val="en-US" w:eastAsia="zh-CN"/>
        </w:rPr>
        <w:t>3.服务期：</w:t>
      </w:r>
      <w:r>
        <w:rPr>
          <w:rFonts w:hint="eastAsia" w:ascii="宋体" w:hAnsi="宋体" w:cs="宋体"/>
          <w:b/>
          <w:sz w:val="24"/>
          <w:u w:val="single"/>
          <w:lang w:val="en-US" w:eastAsia="zh-CN"/>
        </w:rPr>
        <w:t xml:space="preserve">      </w:t>
      </w:r>
      <w:r>
        <w:rPr>
          <w:rFonts w:hint="eastAsia" w:ascii="宋体" w:hAnsi="宋体" w:cs="宋体"/>
          <w:b w:val="0"/>
          <w:bCs/>
          <w:sz w:val="24"/>
          <w:u w:val="none"/>
          <w:lang w:val="en-US" w:eastAsia="zh-CN"/>
        </w:rPr>
        <w:t>日历天</w:t>
      </w:r>
      <w:r>
        <w:rPr>
          <w:rFonts w:hint="eastAsia" w:ascii="宋体" w:hAnsi="宋体" w:cs="宋体"/>
          <w:b w:val="0"/>
          <w:bCs/>
          <w:sz w:val="24"/>
          <w:lang w:val="en-US" w:eastAsia="zh-CN"/>
        </w:rPr>
        <w:t>；</w:t>
      </w:r>
    </w:p>
    <w:p w14:paraId="069012E3">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sz w:val="24"/>
          <w:lang w:val="en-US" w:eastAsia="zh-CN"/>
        </w:rPr>
      </w:pPr>
      <w:r>
        <w:rPr>
          <w:rFonts w:hint="eastAsia" w:ascii="宋体" w:hAnsi="宋体" w:cs="宋体"/>
          <w:b/>
          <w:sz w:val="24"/>
          <w:highlight w:val="none"/>
          <w:lang w:val="en-US" w:eastAsia="zh-CN"/>
        </w:rPr>
        <w:t>4.服务面积：</w:t>
      </w:r>
      <w:r>
        <w:rPr>
          <w:rFonts w:hint="eastAsia" w:ascii="宋体" w:hAnsi="宋体" w:cs="宋体"/>
          <w:b w:val="0"/>
          <w:bCs w:val="0"/>
          <w:kern w:val="0"/>
          <w:sz w:val="24"/>
          <w:szCs w:val="21"/>
          <w:highlight w:val="none"/>
          <w:u w:val="single"/>
          <w:lang w:val="en-US" w:eastAsia="zh-CN"/>
        </w:rPr>
        <w:t xml:space="preserve">       </w:t>
      </w:r>
      <w:r>
        <w:rPr>
          <w:rFonts w:hint="eastAsia" w:ascii="宋体" w:hAnsi="宋体" w:cs="宋体"/>
          <w:b w:val="0"/>
          <w:bCs w:val="0"/>
          <w:kern w:val="0"/>
          <w:sz w:val="24"/>
          <w:szCs w:val="21"/>
          <w:highlight w:val="none"/>
          <w:u w:val="none"/>
          <w:lang w:val="en-US" w:eastAsia="zh-CN"/>
        </w:rPr>
        <w:t>亩</w:t>
      </w:r>
      <w:r>
        <w:rPr>
          <w:rFonts w:hint="eastAsia" w:ascii="宋体" w:hAnsi="宋体" w:eastAsia="宋体" w:cs="宋体"/>
          <w:b w:val="0"/>
          <w:bCs w:val="0"/>
          <w:kern w:val="0"/>
          <w:sz w:val="24"/>
          <w:szCs w:val="21"/>
          <w:highlight w:val="none"/>
          <w:lang w:val="en-US" w:eastAsia="zh-CN"/>
        </w:rPr>
        <w:t>。</w:t>
      </w:r>
      <w:r>
        <w:rPr>
          <w:rFonts w:hint="eastAsia" w:ascii="宋体" w:hAnsi="宋体" w:eastAsia="宋体" w:cs="宋体"/>
          <w:b w:val="0"/>
          <w:bCs w:val="0"/>
          <w:sz w:val="24"/>
          <w:highlight w:val="none"/>
          <w:lang w:val="en-US" w:eastAsia="zh-CN"/>
        </w:rPr>
        <w:t xml:space="preserve">  </w:t>
      </w:r>
      <w:r>
        <w:rPr>
          <w:rFonts w:hint="eastAsia" w:ascii="宋体" w:hAnsi="宋体" w:eastAsia="宋体" w:cs="宋体"/>
          <w:b/>
          <w:sz w:val="24"/>
          <w:highlight w:val="none"/>
          <w:lang w:val="en-US" w:eastAsia="zh-CN"/>
        </w:rPr>
        <w:t xml:space="preserve"> </w:t>
      </w:r>
      <w:r>
        <w:rPr>
          <w:rFonts w:hint="eastAsia" w:ascii="宋体" w:hAnsi="宋体" w:eastAsia="宋体" w:cs="宋体"/>
          <w:b/>
          <w:sz w:val="24"/>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5" w:name="_Hlk73203142"/>
      <w:r>
        <w:rPr>
          <w:rFonts w:hint="eastAsia" w:ascii="宋体" w:hAnsi="宋体" w:eastAsia="宋体" w:cs="宋体"/>
          <w:kern w:val="0"/>
          <w:sz w:val="24"/>
          <w:szCs w:val="21"/>
          <w:highlight w:val="none"/>
        </w:rPr>
        <w:t>供应商</w:t>
      </w:r>
      <w:bookmarkEnd w:id="5"/>
      <w:r>
        <w:rPr>
          <w:rFonts w:hint="eastAsia" w:ascii="宋体" w:hAnsi="宋体" w:eastAsia="宋体" w:cs="宋体"/>
          <w:kern w:val="0"/>
          <w:sz w:val="24"/>
          <w:szCs w:val="21"/>
          <w:highlight w:val="none"/>
        </w:rPr>
        <w:t>应按</w:t>
      </w:r>
      <w:r>
        <w:rPr>
          <w:rFonts w:hint="eastAsia" w:ascii="宋体" w:hAnsi="宋体" w:cs="宋体"/>
          <w:kern w:val="0"/>
          <w:sz w:val="24"/>
          <w:szCs w:val="21"/>
          <w:highlight w:val="none"/>
          <w:lang w:val="en-US" w:eastAsia="zh-CN"/>
        </w:rPr>
        <w:t>采购</w:t>
      </w:r>
      <w:r>
        <w:rPr>
          <w:rFonts w:hint="eastAsia" w:ascii="宋体" w:hAnsi="宋体" w:eastAsia="宋体" w:cs="宋体"/>
          <w:kern w:val="0"/>
          <w:sz w:val="24"/>
          <w:szCs w:val="21"/>
          <w:highlight w:val="none"/>
        </w:rPr>
        <w:t>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6"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6"/>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7"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7"/>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0879590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bookmarkStart w:id="8" w:name="_Toc534"/>
      <w:r>
        <w:rPr>
          <w:rFonts w:hint="eastAsia" w:ascii="宋体" w:hAnsi="宋体" w:eastAsia="宋体" w:cs="宋体"/>
          <w:kern w:val="0"/>
          <w:sz w:val="24"/>
          <w:szCs w:val="21"/>
        </w:rPr>
        <w:t>1.农药选择：选择三证齐全（农药登记证、农药生产批准证、企业标准），符合国家《农药安全使用标准》、《农药合理使用准则》和农药安全使用规范总则的农药产品。</w:t>
      </w:r>
    </w:p>
    <w:p w14:paraId="7A94BAC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w:t>
      </w:r>
      <w:r>
        <w:rPr>
          <w:rFonts w:hint="eastAsia" w:ascii="宋体" w:hAnsi="宋体" w:cs="宋体"/>
          <w:kern w:val="0"/>
          <w:sz w:val="24"/>
          <w:szCs w:val="21"/>
          <w:lang w:val="en-US" w:eastAsia="zh-CN"/>
        </w:rPr>
        <w:t>成交</w:t>
      </w:r>
      <w:r>
        <w:rPr>
          <w:rFonts w:hint="eastAsia" w:ascii="宋体" w:hAnsi="宋体" w:eastAsia="宋体" w:cs="宋体"/>
          <w:kern w:val="0"/>
          <w:sz w:val="24"/>
          <w:szCs w:val="21"/>
          <w:lang w:eastAsia="zh-CN"/>
        </w:rPr>
        <w:t>后，供应商派驻一名负责人对作业过程中作业进度、服务质量、作业人员管理进行总协调，确保技术措施的落实，按时参加采购人组织的相关会议和活动，服从采购人的工作制度和工作规范</w:t>
      </w:r>
      <w:r>
        <w:rPr>
          <w:rFonts w:hint="eastAsia" w:ascii="宋体" w:hAnsi="宋体" w:eastAsia="宋体" w:cs="宋体"/>
          <w:kern w:val="0"/>
          <w:sz w:val="24"/>
          <w:szCs w:val="21"/>
        </w:rPr>
        <w:t>。</w:t>
      </w:r>
    </w:p>
    <w:p w14:paraId="2A0C846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w:t>
      </w:r>
      <w:r>
        <w:rPr>
          <w:rFonts w:hint="eastAsia" w:ascii="宋体" w:hAnsi="宋体" w:cs="宋体"/>
          <w:kern w:val="0"/>
          <w:sz w:val="24"/>
          <w:szCs w:val="21"/>
          <w:lang w:val="en-US" w:eastAsia="zh-CN"/>
        </w:rPr>
        <w:t>成交</w:t>
      </w:r>
      <w:r>
        <w:rPr>
          <w:rFonts w:hint="eastAsia" w:ascii="宋体" w:hAnsi="宋体" w:eastAsia="宋体" w:cs="宋体"/>
          <w:kern w:val="0"/>
          <w:sz w:val="24"/>
          <w:szCs w:val="21"/>
          <w:lang w:val="en-US" w:eastAsia="zh-CN"/>
        </w:rPr>
        <w:t>后，供应商向采购人提供项目作业计划和安全责任协议等，其内容包括管理机构的设置、各主要岗位的技术人员和管理人员名单、资质、联系方式及各工种技术工人的安排、项目实施进度安排、技术措施等状况</w:t>
      </w:r>
      <w:r>
        <w:rPr>
          <w:rFonts w:hint="eastAsia" w:ascii="宋体" w:hAnsi="宋体" w:eastAsia="宋体" w:cs="宋体"/>
          <w:kern w:val="0"/>
          <w:sz w:val="24"/>
          <w:szCs w:val="21"/>
        </w:rPr>
        <w:t>。</w:t>
      </w:r>
    </w:p>
    <w:p w14:paraId="6AA772A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3.严格按照项目要求进行作业，作业前按项目要求筹备各项防治器械、材料、工具等，按技术规定进行作业。作业过程中每天汇报作业进度和安全情况。</w:t>
      </w:r>
    </w:p>
    <w:p w14:paraId="38B32A8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4.协助采购人及时组织召开检查验收、防治效果评价和防治竣工验收工作会议。</w:t>
      </w:r>
    </w:p>
    <w:p w14:paraId="231A3AB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5.中标供应商向采购人提交施工作业过程性资料和防效报告，按相关要求执行。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lang w:val="en-US" w:eastAsia="zh-CN"/>
        </w:rPr>
        <w:t>6、有各类突发事件的应急预案和措施，有明确具体的承诺。</w:t>
      </w:r>
      <w:r>
        <w:rPr>
          <w:rFonts w:hint="eastAsia" w:ascii="宋体" w:hAnsi="宋体" w:eastAsia="宋体" w:cs="宋体"/>
          <w:kern w:val="0"/>
          <w:sz w:val="24"/>
          <w:szCs w:val="21"/>
        </w:rPr>
        <w:t>。</w:t>
      </w:r>
    </w:p>
    <w:p w14:paraId="5CF24657">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eastAsia="宋体" w:cs="宋体"/>
          <w:b/>
          <w:kern w:val="0"/>
          <w:sz w:val="24"/>
          <w:szCs w:val="21"/>
        </w:rPr>
        <w:t>十、服务保证</w:t>
      </w:r>
      <w:bookmarkEnd w:id="8"/>
    </w:p>
    <w:p w14:paraId="5A575BE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bookmarkStart w:id="9" w:name="_Toc26949"/>
      <w:r>
        <w:rPr>
          <w:rFonts w:hint="eastAsia" w:ascii="宋体" w:hAnsi="宋体" w:eastAsia="宋体" w:cs="宋体"/>
          <w:kern w:val="0"/>
          <w:sz w:val="24"/>
          <w:szCs w:val="21"/>
          <w:lang w:val="en-US" w:eastAsia="zh-CN"/>
        </w:rPr>
        <w:t>服务必须符合《农作物病虫害防治条例》（</w:t>
      </w:r>
      <w:r>
        <w:rPr>
          <w:rFonts w:hint="eastAsia" w:ascii="宋体" w:hAnsi="宋体" w:eastAsia="宋体" w:cs="宋体"/>
          <w:kern w:val="0"/>
          <w:sz w:val="24"/>
          <w:szCs w:val="21"/>
          <w:lang w:val="en-US" w:eastAsia="zh-CN"/>
        </w:rPr>
        <w:fldChar w:fldCharType="begin"/>
      </w:r>
      <w:r>
        <w:rPr>
          <w:rFonts w:hint="eastAsia" w:ascii="宋体" w:hAnsi="宋体" w:eastAsia="宋体" w:cs="宋体"/>
          <w:kern w:val="0"/>
          <w:sz w:val="24"/>
          <w:szCs w:val="21"/>
          <w:lang w:val="en-US" w:eastAsia="zh-CN"/>
        </w:rPr>
        <w:instrText xml:space="preserve"> HYPERLINK "https://www.baidu.com/link?url=FqQcnaVA6xMYC4S9aEKd3l8oKGvyTcGQD2ckAp_f11ZUlah3WQUGzDwWnLp5Io_f0QP2HFDLH5p5jkgXMAckrsTO3G8Uy1KQt69jrueD-ty&amp;wd=&amp;eqid=af4d18c10008ac510000000664c1221b" \t "https://www.baidu.com/_blank" </w:instrText>
      </w:r>
      <w:r>
        <w:rPr>
          <w:rFonts w:hint="eastAsia" w:ascii="宋体" w:hAnsi="宋体" w:eastAsia="宋体" w:cs="宋体"/>
          <w:kern w:val="0"/>
          <w:sz w:val="24"/>
          <w:szCs w:val="21"/>
          <w:lang w:val="en-US" w:eastAsia="zh-CN"/>
        </w:rPr>
        <w:fldChar w:fldCharType="separate"/>
      </w:r>
      <w:r>
        <w:rPr>
          <w:rFonts w:hint="eastAsia" w:ascii="宋体" w:hAnsi="宋体" w:eastAsia="宋体" w:cs="宋体"/>
          <w:kern w:val="0"/>
          <w:sz w:val="24"/>
          <w:szCs w:val="21"/>
          <w:lang w:val="en-US" w:eastAsia="zh-CN"/>
        </w:rPr>
        <w:t>中华人民共和国国务院令(第725号) </w:t>
      </w:r>
      <w:r>
        <w:rPr>
          <w:rFonts w:hint="eastAsia" w:ascii="宋体" w:hAnsi="宋体" w:eastAsia="宋体" w:cs="宋体"/>
          <w:kern w:val="0"/>
          <w:sz w:val="24"/>
          <w:szCs w:val="21"/>
          <w:lang w:val="en-US" w:eastAsia="zh-CN"/>
        </w:rPr>
        <w:fldChar w:fldCharType="end"/>
      </w:r>
      <w:r>
        <w:rPr>
          <w:rFonts w:hint="eastAsia" w:ascii="宋体" w:hAnsi="宋体" w:eastAsia="宋体" w:cs="宋体"/>
          <w:kern w:val="0"/>
          <w:sz w:val="24"/>
          <w:szCs w:val="21"/>
          <w:lang w:val="en-US" w:eastAsia="zh-CN"/>
        </w:rPr>
        <w:t>要求及国家、陕西省及行业相关标准、规范的规定，还需满足行业主管部门项目审批要求及采购人需求。</w:t>
      </w:r>
    </w:p>
    <w:bookmarkEnd w:id="9"/>
    <w:p w14:paraId="4D1B953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01D5C25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1.质量标准：服务达到国家及行业验收合格标准。</w:t>
      </w:r>
    </w:p>
    <w:p w14:paraId="7656C93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2.存在未喷、漏喷、喷施防治效果未达到项目要求的，立即进行人工地面补喷，如因未喷、漏喷、飞防未达到要求的或造成损失的，由供应商承担相应的法律责任。</w:t>
      </w:r>
    </w:p>
    <w:p w14:paraId="44A9874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3.本项目由采购人及相关部门定期对项目进行一次性验收。</w:t>
      </w:r>
    </w:p>
    <w:p w14:paraId="5BFA35D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4.验收标准：按采购文件、响应文件及澄清函、项目检查情况等综合指标进行验收。各项指标均应符合验收标准及要求。</w:t>
      </w:r>
    </w:p>
    <w:p w14:paraId="0CB24F9F">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二</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乙方未按合同要求及时提供喷药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甲方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五</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2"/>
        <w:rPr>
          <w:rFonts w:hint="eastAsia" w:ascii="宋体" w:hAnsi="宋体" w:eastAsia="宋体" w:cs="宋体"/>
          <w:spacing w:val="-8"/>
          <w:kern w:val="0"/>
          <w:sz w:val="24"/>
          <w:szCs w:val="21"/>
        </w:rPr>
      </w:pPr>
    </w:p>
    <w:p w14:paraId="7CAFF422">
      <w:pPr>
        <w:pStyle w:val="2"/>
        <w:rPr>
          <w:rFonts w:hint="eastAsia"/>
        </w:rPr>
      </w:pPr>
    </w:p>
    <w:p w14:paraId="49BF39A2">
      <w:pPr>
        <w:pStyle w:val="2"/>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2"/>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2"/>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B4B6A87">
      <w:pPr>
        <w:spacing w:line="360" w:lineRule="auto"/>
        <w:jc w:val="center"/>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sectPr>
      <w:pgSz w:w="11906" w:h="16838"/>
      <w:pgMar w:top="1440" w:right="1349" w:bottom="1440" w:left="134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0C5303"/>
    <w:multiLevelType w:val="singleLevel"/>
    <w:tmpl w:val="6D0C53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64C2FE0"/>
    <w:rsid w:val="0C10198B"/>
    <w:rsid w:val="0D0E115E"/>
    <w:rsid w:val="0D501777"/>
    <w:rsid w:val="10152804"/>
    <w:rsid w:val="145514C5"/>
    <w:rsid w:val="1F840D33"/>
    <w:rsid w:val="233139A1"/>
    <w:rsid w:val="23E91014"/>
    <w:rsid w:val="2B5116C7"/>
    <w:rsid w:val="2DB9081B"/>
    <w:rsid w:val="303348B4"/>
    <w:rsid w:val="34425A65"/>
    <w:rsid w:val="35F82884"/>
    <w:rsid w:val="37505C96"/>
    <w:rsid w:val="3B3C3253"/>
    <w:rsid w:val="3FF676AC"/>
    <w:rsid w:val="40C41707"/>
    <w:rsid w:val="49BC54C3"/>
    <w:rsid w:val="52DC6BD6"/>
    <w:rsid w:val="59A044B9"/>
    <w:rsid w:val="5B4134F3"/>
    <w:rsid w:val="5C191D98"/>
    <w:rsid w:val="5C3B671B"/>
    <w:rsid w:val="5FA406FE"/>
    <w:rsid w:val="6470717E"/>
    <w:rsid w:val="6AC20E70"/>
    <w:rsid w:val="6D04467D"/>
    <w:rsid w:val="7183054D"/>
    <w:rsid w:val="777032C5"/>
    <w:rsid w:val="77AB4063"/>
    <w:rsid w:val="7CB974BC"/>
    <w:rsid w:val="7F8E6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Title"/>
    <w:basedOn w:val="1"/>
    <w:next w:val="1"/>
    <w:qFormat/>
    <w:uiPriority w:val="99"/>
    <w:pPr>
      <w:jc w:val="center"/>
      <w:outlineLvl w:val="0"/>
    </w:pPr>
    <w:rPr>
      <w:rFonts w:ascii="Arial" w:hAnsi="Arial" w:cs="Arial"/>
      <w:b/>
      <w:bCs/>
      <w:sz w:val="32"/>
      <w:szCs w:val="32"/>
    </w:rPr>
  </w:style>
  <w:style w:type="paragraph" w:styleId="7">
    <w:name w:val="Body Text First Indent 2"/>
    <w:basedOn w:val="4"/>
    <w:qFormat/>
    <w:uiPriority w:val="0"/>
    <w:pPr>
      <w:ind w:firstLine="420"/>
    </w:pPr>
  </w:style>
  <w:style w:type="paragraph" w:customStyle="1" w:styleId="10">
    <w:name w:val="正文缩进1"/>
    <w:basedOn w:val="1"/>
    <w:qFormat/>
    <w:uiPriority w:val="0"/>
    <w:pPr>
      <w:ind w:firstLine="420" w:firstLineChars="200"/>
    </w:p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2982</Words>
  <Characters>3055</Characters>
  <Lines>0</Lines>
  <Paragraphs>0</Paragraphs>
  <TotalTime>0</TotalTime>
  <ScaleCrop>false</ScaleCrop>
  <LinksUpToDate>false</LinksUpToDate>
  <CharactersWithSpaces>3339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田晶lovelife</cp:lastModifiedBy>
  <dcterms:modified xsi:type="dcterms:W3CDTF">2026-04-13T07:09:29Z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D1EFC0AF08A14CABA586F890E04936C5_11</vt:lpwstr>
  </property>
  <property fmtid="{D5CDD505-2E9C-101B-9397-08002B2CF9AE}" pid="4" name="KSOTemplateDocerSaveRecord">
    <vt:lpwstr>eyJoZGlkIjoiYjhkMGZjZGYzZDNmM2JkYzM4YTQzYjJmZTU3OThhMGEiLCJ1c2VySWQiOiI0OTk3NzY1ODMifQ==</vt:lpwstr>
  </property>
</Properties>
</file>