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版本号：ZCSP-渭南高新区-2026-0001420260402001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渭南高新区2026年粮油作物促弱转壮项目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ZCSP-渭南高新区-2026-00014</w:t>
      </w:r>
      <w:r>
        <w:br/>
      </w:r>
      <w:r>
        <w:br/>
      </w:r>
      <w:r>
        <w:br/>
      </w:r>
    </w:p>
    <w:p>
      <w:pPr>
        <w:pStyle w:val="null3"/>
        <w:jc w:val="center"/>
        <w:outlineLvl w:val="2"/>
      </w:pPr>
      <w:r>
        <w:rPr>
          <w:rFonts w:ascii="仿宋_GB2312" w:hAnsi="仿宋_GB2312" w:cs="仿宋_GB2312" w:eastAsia="仿宋_GB2312"/>
          <w:sz w:val="28"/>
          <w:b/>
        </w:rPr>
        <w:t>渭南高新区北区管理办公室</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渭南高新区北区管理办公室</w:t>
      </w:r>
      <w:r>
        <w:rPr>
          <w:rFonts w:ascii="仿宋_GB2312" w:hAnsi="仿宋_GB2312" w:cs="仿宋_GB2312" w:eastAsia="仿宋_GB2312"/>
        </w:rPr>
        <w:t>委托，拟对</w:t>
      </w:r>
      <w:r>
        <w:rPr>
          <w:rFonts w:ascii="仿宋_GB2312" w:hAnsi="仿宋_GB2312" w:cs="仿宋_GB2312" w:eastAsia="仿宋_GB2312"/>
        </w:rPr>
        <w:t>渭南高新区2026年粮油作物促弱转壮项目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ZCSP-渭南高新区-2026-00014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渭南高新区2026年粮油作物促弱转壮项目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采购包1（一标段：辛市街道粮油作物促弱转壮）：属于专门面向中小企业采购。</w:t>
      </w:r>
    </w:p>
    <w:p>
      <w:pPr>
        <w:pStyle w:val="null3"/>
      </w:pPr>
      <w:r>
        <w:rPr>
          <w:rFonts w:ascii="仿宋_GB2312" w:hAnsi="仿宋_GB2312" w:cs="仿宋_GB2312" w:eastAsia="仿宋_GB2312"/>
        </w:rPr>
        <w:t>采购包2（二标段：阳曲街道粮油作物促弱转壮）：属于专门面向中小企业采购。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参与磋商时需提供法定代表人身份证明书（附法定代表人身份证复印件）；被授权人参与磋商时需提供法定代表人身份证明书与法定代表人授权委托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书/法定代表人授权书：法定代表人参与磋商时需提供法定代表人身份证明书（附法定代表人身份证复印件）；被授权人参与磋商时需提供法定代表人身份证明书与法定代表人授权委托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渭南高新区北区管理办公室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渭南高新区北区香山大道3号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程欣玉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采购包1：212,500.00元</w:t>
            </w:r>
          </w:p>
          <w:p>
            <w:pPr>
              <w:pStyle w:val="null3"/>
            </w:pPr>
            <w:r>
              <w:rPr>
                <w:rFonts w:ascii="仿宋_GB2312" w:hAnsi="仿宋_GB2312" w:cs="仿宋_GB2312" w:eastAsia="仿宋_GB2312"/>
              </w:rPr>
              <w:t>采购包2：212,500.00元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渭南高新区北区管理办公室</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渭南高新区北区管理办公室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渭南高新区北区管理办公室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212,500.00</w:t>
      </w:r>
    </w:p>
    <w:p>
      <w:pPr>
        <w:pStyle w:val="null3"/>
      </w:pPr>
      <w:r>
        <w:rPr>
          <w:rFonts w:ascii="仿宋_GB2312" w:hAnsi="仿宋_GB2312" w:cs="仿宋_GB2312" w:eastAsia="仿宋_GB2312"/>
        </w:rPr>
        <w:t>采购包最高限价（元）: 212,500.00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辛市街道粮油作物促弱转壮</w:t>
            </w:r>
          </w:p>
        </w:tc>
        <w:tc>
          <w:tcPr>
            <w:tcW w:type="dxa" w:w="831"/>
          </w:tcPr>
          <w:p>
            <w:pPr>
              <w:pStyle w:val="null3"/>
              <w:jc w:val="right"/>
            </w:pPr>
            <w:r>
              <w:rPr>
                <w:rFonts w:ascii="仿宋_GB2312" w:hAnsi="仿宋_GB2312" w:cs="仿宋_GB2312" w:eastAsia="仿宋_GB2312"/>
              </w:rPr>
              <w:t>10,600.00</w:t>
            </w:r>
          </w:p>
        </w:tc>
        <w:tc>
          <w:tcPr>
            <w:tcW w:type="dxa" w:w="831"/>
          </w:tcPr>
          <w:p>
            <w:pPr>
              <w:pStyle w:val="null3"/>
              <w:jc w:val="right"/>
            </w:pPr>
            <w:r>
              <w:rPr>
                <w:rFonts w:ascii="仿宋_GB2312" w:hAnsi="仿宋_GB2312" w:cs="仿宋_GB2312" w:eastAsia="仿宋_GB2312"/>
              </w:rPr>
              <w:t>212,500.00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212,500.00</w:t>
      </w:r>
    </w:p>
    <w:p>
      <w:pPr>
        <w:pStyle w:val="null3"/>
      </w:pPr>
      <w:r>
        <w:rPr>
          <w:rFonts w:ascii="仿宋_GB2312" w:hAnsi="仿宋_GB2312" w:cs="仿宋_GB2312" w:eastAsia="仿宋_GB2312"/>
        </w:rPr>
        <w:t>采购包最高限价（元）: 212,500.00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阳曲街道粮油作物促弱转壮</w:t>
            </w:r>
          </w:p>
        </w:tc>
        <w:tc>
          <w:tcPr>
            <w:tcW w:type="dxa" w:w="831"/>
          </w:tcPr>
          <w:p>
            <w:pPr>
              <w:pStyle w:val="null3"/>
              <w:jc w:val="right"/>
            </w:pPr>
            <w:r>
              <w:rPr>
                <w:rFonts w:ascii="仿宋_GB2312" w:hAnsi="仿宋_GB2312" w:cs="仿宋_GB2312" w:eastAsia="仿宋_GB2312"/>
              </w:rPr>
              <w:t>10,600.00</w:t>
            </w:r>
          </w:p>
        </w:tc>
        <w:tc>
          <w:tcPr>
            <w:tcW w:type="dxa" w:w="831"/>
          </w:tcPr>
          <w:p>
            <w:pPr>
              <w:pStyle w:val="null3"/>
              <w:jc w:val="right"/>
            </w:pPr>
            <w:r>
              <w:rPr>
                <w:rFonts w:ascii="仿宋_GB2312" w:hAnsi="仿宋_GB2312" w:cs="仿宋_GB2312" w:eastAsia="仿宋_GB2312"/>
              </w:rPr>
              <w:t>212,500.00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标的名称：辛市街道粮油作物促弱转壮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rPr>
              <w:t>1、项目概况</w:t>
            </w:r>
          </w:p>
          <w:p>
            <w:pPr>
              <w:pStyle w:val="null3"/>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及时实施促弱转壮服务，通过喷施杀虫剂、杀菌剂、叶面肥等，防病治虫，增强小麦等粮油作物产量。夯实我区粮食安全生产基础，保障粮油作物产量稳中有增。</w:t>
            </w:r>
          </w:p>
          <w:p>
            <w:pPr>
              <w:pStyle w:val="null3"/>
            </w:pPr>
            <w:r>
              <w:rPr>
                <w:rFonts w:ascii="仿宋_GB2312" w:hAnsi="仿宋_GB2312" w:cs="仿宋_GB2312" w:eastAsia="仿宋_GB2312"/>
              </w:rPr>
              <w:t>3、使用药剂要求</w:t>
            </w:r>
          </w:p>
          <w:p>
            <w:pPr>
              <w:pStyle w:val="null3"/>
            </w:pPr>
            <w:r>
              <w:rPr>
                <w:rFonts w:ascii="仿宋_GB2312" w:hAnsi="仿宋_GB2312" w:cs="仿宋_GB2312" w:eastAsia="仿宋_GB2312"/>
              </w:rPr>
              <w:t>一标段：</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磷酸二氢钾或含黄腐酸酸水溶肥、含氨基酸水溶肥等。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芸苔素内酯或氨基寡糖素等。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高效氯氟氰菊酯、氟啶虫酰胺、呋虫胺、噻虫嗪、噻虫胺等药剂的复配制剂。</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氰烯菌酯或丙硫菌唑及其复配剂。</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农药助剂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有机硅类或植物油类、复合类等。</w:t>
                  </w:r>
                </w:p>
              </w:tc>
            </w:tr>
          </w:tbl>
          <w:p>
            <w:pPr>
              <w:pStyle w:val="null3"/>
            </w:pPr>
            <w:r>
              <w:rPr>
                <w:rFonts w:ascii="仿宋_GB2312" w:hAnsi="仿宋_GB2312" w:cs="仿宋_GB2312" w:eastAsia="仿宋_GB2312"/>
              </w:rPr>
              <w:t>4、服务面积</w:t>
            </w:r>
          </w:p>
          <w:p>
            <w:pPr>
              <w:pStyle w:val="null3"/>
            </w:pPr>
            <w:r>
              <w:rPr>
                <w:rFonts w:ascii="仿宋_GB2312" w:hAnsi="仿宋_GB2312" w:cs="仿宋_GB2312" w:eastAsia="仿宋_GB2312"/>
              </w:rPr>
              <w:t>本标段服务实施面积不少于1.06万亩（实际喷施面积以最终喷施亩数为准）</w:t>
            </w:r>
          </w:p>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（1）植保器械先进，作业能力强，制度健全，管理规范；</w:t>
            </w:r>
          </w:p>
          <w:p>
            <w:pPr>
              <w:pStyle w:val="null3"/>
            </w:pPr>
            <w:r>
              <w:rPr>
                <w:rFonts w:ascii="仿宋_GB2312" w:hAnsi="仿宋_GB2312" w:cs="仿宋_GB2312" w:eastAsia="仿宋_GB2312"/>
              </w:rPr>
              <w:t>（2）针对2026年小麦等粮油作物因前期晚播、土壤墒情不足、病虫害基数较高等因素造成的弱苗情况，制定有效的技术方案和工作方案科学；</w:t>
            </w:r>
          </w:p>
          <w:p>
            <w:pPr>
              <w:pStyle w:val="null3"/>
            </w:pPr>
            <w:r>
              <w:rPr>
                <w:rFonts w:ascii="仿宋_GB2312" w:hAnsi="仿宋_GB2312" w:cs="仿宋_GB2312" w:eastAsia="仿宋_GB2312"/>
              </w:rPr>
              <w:t>（3）服务内容包括采购药剂及喷施服务，选择的药剂使用符合本项目要求，必须增加飞防助剂，要符合国家标准，三证齐全，高效低毒、安全环保（提供农药三证）。</w:t>
            </w:r>
          </w:p>
          <w:p>
            <w:pPr>
              <w:pStyle w:val="null3"/>
            </w:pPr>
            <w:r>
              <w:rPr>
                <w:rFonts w:ascii="仿宋_GB2312" w:hAnsi="仿宋_GB2312" w:cs="仿宋_GB2312" w:eastAsia="仿宋_GB2312"/>
              </w:rPr>
              <w:t>（4）要在防治的关键时期完成防治任务，总体防效达95%以上，危害损失率控制在3%以内。</w:t>
            </w:r>
          </w:p>
          <w:p>
            <w:pPr>
              <w:pStyle w:val="null3"/>
            </w:pPr>
            <w:r>
              <w:rPr>
                <w:rFonts w:ascii="仿宋_GB2312" w:hAnsi="仿宋_GB2312" w:cs="仿宋_GB2312" w:eastAsia="仿宋_GB2312"/>
              </w:rPr>
              <w:t>（5）农药助剂选用飞防助剂，防治作业器械选用植保无人机和自走式喷杆喷雾机。</w:t>
            </w:r>
          </w:p>
          <w:p>
            <w:pPr>
              <w:pStyle w:val="null3"/>
            </w:pPr>
            <w:r>
              <w:rPr>
                <w:rFonts w:ascii="仿宋_GB2312" w:hAnsi="仿宋_GB2312" w:cs="仿宋_GB2312" w:eastAsia="仿宋_GB2312"/>
              </w:rPr>
              <w:t>6、采购包1总价最高限价:212500.00元;单价最高限价:防治服务(含药剂):20元/亩。磋商总价及单价均不应超过最高限价，若超过最高限价，其响应文件按无效处理。</w:t>
            </w:r>
          </w:p>
          <w:p>
            <w:pPr>
              <w:pStyle w:val="null3"/>
            </w:pPr>
            <w:r>
              <w:rPr>
                <w:rFonts w:ascii="仿宋_GB2312" w:hAnsi="仿宋_GB2312" w:cs="仿宋_GB2312" w:eastAsia="仿宋_GB2312"/>
              </w:rPr>
              <w:t>7、采购包1采购预算212500.00元为不可竞争费用;磋商总报价必须等于采购预算。投标单价*投标亩数=采购预算。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标的名称：阳曲街道粮油作物促弱转壮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rPr>
              <w:t>1、项目概况</w:t>
            </w:r>
          </w:p>
          <w:p>
            <w:pPr>
              <w:pStyle w:val="null3"/>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及时实施促弱转壮服务，通过喷施杀虫剂、杀菌剂、叶面肥等，防病治虫，增强小麦等粮油作物产量。夯实我区粮食安全生产基础，保障粮油作物产量稳中有增。</w:t>
            </w:r>
          </w:p>
          <w:p>
            <w:pPr>
              <w:pStyle w:val="null3"/>
            </w:pPr>
            <w:r>
              <w:rPr>
                <w:rFonts w:ascii="仿宋_GB2312" w:hAnsi="仿宋_GB2312" w:cs="仿宋_GB2312" w:eastAsia="仿宋_GB2312"/>
              </w:rPr>
              <w:t>3、使用药剂要求</w:t>
            </w:r>
          </w:p>
          <w:p>
            <w:pPr>
              <w:pStyle w:val="null3"/>
            </w:pPr>
            <w:r>
              <w:rPr>
                <w:rFonts w:ascii="仿宋_GB2312" w:hAnsi="仿宋_GB2312" w:cs="仿宋_GB2312" w:eastAsia="仿宋_GB2312"/>
              </w:rPr>
              <w:t>二标段：</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磷酸二氢钾或含黄腐酸酸水溶肥、含氨基酸水溶肥等。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芸苔素内酯或氨基寡糖素等。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高效氯氟氰菊酯、氟啶虫酰胺、呋虫胺、噻虫嗪、噻虫胺等药剂的复配制剂。</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氰烯菌酯或丙硫菌唑及其复配剂。</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农药助剂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有机硅类或植物油类、复合类等。</w:t>
                  </w:r>
                </w:p>
              </w:tc>
            </w:tr>
          </w:tbl>
          <w:p>
            <w:pPr>
              <w:pStyle w:val="null3"/>
            </w:pPr>
            <w:r>
              <w:rPr>
                <w:rFonts w:ascii="仿宋_GB2312" w:hAnsi="仿宋_GB2312" w:cs="仿宋_GB2312" w:eastAsia="仿宋_GB2312"/>
              </w:rPr>
              <w:t>4、服务面积</w:t>
            </w:r>
          </w:p>
          <w:p>
            <w:pPr>
              <w:pStyle w:val="null3"/>
            </w:pPr>
            <w:r>
              <w:rPr>
                <w:rFonts w:ascii="仿宋_GB2312" w:hAnsi="仿宋_GB2312" w:cs="仿宋_GB2312" w:eastAsia="仿宋_GB2312"/>
              </w:rPr>
              <w:t>本标段服务实施面积不少于1.06万亩（实际喷施面积以最终喷施亩数为准）</w:t>
            </w:r>
          </w:p>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（1）植保器械先进，作业能力强，制度健全，管理规范；</w:t>
            </w:r>
          </w:p>
          <w:p>
            <w:pPr>
              <w:pStyle w:val="null3"/>
            </w:pPr>
            <w:r>
              <w:rPr>
                <w:rFonts w:ascii="仿宋_GB2312" w:hAnsi="仿宋_GB2312" w:cs="仿宋_GB2312" w:eastAsia="仿宋_GB2312"/>
              </w:rPr>
              <w:t>（2）针对2026年小麦等粮油作物因前期晚播、土壤墒情不足、病虫害基数较高等因素造成的弱苗情况，制定有效的技术方案和工作方案科学；</w:t>
            </w:r>
          </w:p>
          <w:p>
            <w:pPr>
              <w:pStyle w:val="null3"/>
            </w:pPr>
            <w:r>
              <w:rPr>
                <w:rFonts w:ascii="仿宋_GB2312" w:hAnsi="仿宋_GB2312" w:cs="仿宋_GB2312" w:eastAsia="仿宋_GB2312"/>
              </w:rPr>
              <w:t>（3）服务内容包括采购药剂及喷施服务，选择的药剂使用符合本项目要求，必须增加飞防助剂，要符合国家标准，三证齐全，高效低毒、安全环保（提供农药三证）。</w:t>
            </w:r>
          </w:p>
          <w:p>
            <w:pPr>
              <w:pStyle w:val="null3"/>
            </w:pPr>
            <w:r>
              <w:rPr>
                <w:rFonts w:ascii="仿宋_GB2312" w:hAnsi="仿宋_GB2312" w:cs="仿宋_GB2312" w:eastAsia="仿宋_GB2312"/>
              </w:rPr>
              <w:t>（4）要在防治的关键时期完成防治任务，总体防效达95%以上，危害损失率控制在3%以内。</w:t>
            </w:r>
          </w:p>
          <w:p>
            <w:pPr>
              <w:pStyle w:val="null3"/>
            </w:pPr>
            <w:r>
              <w:rPr>
                <w:rFonts w:ascii="仿宋_GB2312" w:hAnsi="仿宋_GB2312" w:cs="仿宋_GB2312" w:eastAsia="仿宋_GB2312"/>
              </w:rPr>
              <w:t>（5）农药助剂选用飞防助剂，防治作业器械选用植保无人机和自走式喷杆喷雾机。</w:t>
            </w:r>
          </w:p>
          <w:p>
            <w:pPr>
              <w:pStyle w:val="null3"/>
            </w:pPr>
            <w:r>
              <w:rPr>
                <w:rFonts w:ascii="仿宋_GB2312" w:hAnsi="仿宋_GB2312" w:cs="仿宋_GB2312" w:eastAsia="仿宋_GB2312"/>
              </w:rPr>
              <w:t>6、采购包2总价最高限价:212500.00元;单价最高限价:防治服务(含药剂):20元/亩。磋商总价及单价均不应超过最高限价，若超过最高限价，其响应文件按无效处理。</w:t>
            </w:r>
          </w:p>
          <w:p>
            <w:pPr>
              <w:pStyle w:val="null3"/>
            </w:pPr>
            <w:r>
              <w:rPr>
                <w:rFonts w:ascii="仿宋_GB2312" w:hAnsi="仿宋_GB2312" w:cs="仿宋_GB2312" w:eastAsia="仿宋_GB2312"/>
              </w:rPr>
              <w:t>7、采购包2采购预算212500.00元为不可竞争费用;磋商总报价必须等于采购预算。投标单价*投标亩数=采购预算。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派驻一名负责人对作业过程中作业进度、服务质量、作业人员管理进行总协调，确保技术措施的落实，按时参加采购人组织的相关会议和活动，服从采购人的工作制度和工作规范。2.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后，供应商派驻一名负责人对作业过程中作业进度、服务质量、作业人员管理进行总协调，确保技术措施的落实，按时参加采购人组织的相关会议和活动，服从采购人的工作制度和工作规范。2.人员配备合理。有针对本项目的专项服务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向采购人提供项目作业计划和安全责任协议等，其内容包括管理机构的设置、各主要岗位的技术和管理员名单、资质、联系方式及各工种技术工人的安排、项目实施进度安排、技术措施等状况。 2、严格按照项目要求进行作业，作业前按项目要求筹备各项器械、材料、工具等，按技术规定进行作业。 3、协助采购人及时组织召开检查验收、效果评价和竣工验收工作会议。 4、成交供应商向采购人提交施工作业过程性资料和工作总结报告，按相关要求执行。 5、有各类突发事件的应急预案和措施，有明确具体的承诺。 6、供应商在服务过程中必须达到下述标准、规范（不限于）：《农作物病虫害防治条例》（中华人民共和国国务院令第725号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后，供应商向采购人提供项目作业计划和安全责任协议等，其内容包括管理机构的设置、各主要岗位的技术和管理员名单、资质、联系方式及各工种技术工人的安排、项目实施进度安排、技术措施等状况。 2、严格按照项目要求进行作业，作业前按项目要求筹备各项器械、材料、工具等，按技术规定进行作业。 3、协助采购人及时组织召开检查验收、效果评价和竣工验收工作会议。 4、成交供应商向采购人提交施工作业过程性资料和工作总结报告，按相关要求执行。 5、有各类突发事件的应急预案和措施，有明确具体的承诺。 6、供应商在服务过程中必须达到下述标准、规范（不限于）：《农作物病虫害防治条例》（中华人民共和国国务院令第725号 ）。</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辛市街道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阳曲街道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2.存在服务效果未达到项目要求的，立即进行补充服务，如因服务效果未达到要求的或造成损失的，由供应商承担相应的法律责任。 3.本项目由采购人及相关部门定期对项目进行阶段性验收。 4.验收标准：按磋商文件、响应文件及澄清函、项目检查情况等综合指标进行验收。各项指标均应符合验收标准及要求。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1.质量标准：达到国家及行业验收合格标准。 2.存在服务效果未达到项目要求的，立即进行补充服务，如因服务效果未达到要求的或造成损失的，由供应商承担相应的法律责任。 3.本项目由采购人及相关部门定期对项目进行阶段性验收。 4.验收标准：按磋商文件、响应文件及澄清函、项目检查情况等综合指标进行验收。各项指标均应符合验收标准及要求。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服务结束后经相关部门验收合格后，一次性付支付合同总价款的100%。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服务结束后经相关部门验收合格后，一次性付支付合同总价款的100%。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中标（成交）供应商在中标（成交）结果公告发布后3个工作日内提供叁套纸质响应文件（经编标工具生成的文件直接打印并胶装成册），递交的纸质版文件内容确保与线上电子文件保持一致，不允许修改和补充；（2）根据《政府采购法实施条例》释义，银行、保险、石油石化、电力、电信等有行业特殊情况的，允许法人的分支机构参加政府采购活动；（3）本项目专门面向中小企业采购，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详见附件1），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无重大违法记录的承诺</w:t>
            </w:r>
          </w:p>
        </w:tc>
        <w:tc>
          <w:tcPr>
            <w:tcW w:type="dxa" w:w="3322"/>
          </w:tcPr>
          <w:p>
            <w:pPr>
              <w:pStyle w:val="null3"/>
            </w:pPr>
            <w:r>
              <w:rPr>
                <w:rFonts w:ascii="仿宋_GB2312" w:hAnsi="仿宋_GB2312" w:cs="仿宋_GB2312" w:eastAsia="仿宋_GB2312"/>
              </w:rPr>
              <w:t>参加政府采购活动前三年内在经营活动中无重大违法记录的承诺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详见附件1），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无重大违法记录承诺</w:t>
            </w:r>
          </w:p>
        </w:tc>
        <w:tc>
          <w:tcPr>
            <w:tcW w:type="dxa" w:w="3322"/>
          </w:tcPr>
          <w:p>
            <w:pPr>
              <w:pStyle w:val="null3"/>
            </w:pPr>
            <w:r>
              <w:rPr>
                <w:rFonts w:ascii="仿宋_GB2312" w:hAnsi="仿宋_GB2312" w:cs="仿宋_GB2312" w:eastAsia="仿宋_GB2312"/>
              </w:rPr>
              <w:t>参加政府采购活动前三年内在经营活动中无重大违法记录的承诺；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法定代表人参与磋商时需提供法定代表人身份证明书（附法定代表人身份证复印件）；被授权人参与磋商时需提供法定代表人身份证明书与法定代表人授权委托书（附法定代表人及被授权人身份证复印件）；</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法定代表人参与磋商时需提供法定代表人身份证明书（附法定代表人身份证复印件）；被授权人参与磋商时需提供法定代表人身份证明书与法定代表人授权委托书（附法定代表人及被授权人身份证复印件）；</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磋商总报价为不可竞争费用，必须等于采购预算；单价报价没有超出单价最高限价。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政府采购供应商拒绝政府采购领域商业贿赂承诺书.docx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磋商总报价为不可竞争费用，必须等于采购预算；单价报价没有超出单价最高限价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整体管理措施。（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作业面的划分；②作业器械选择方案；③作业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保障体系；②药剂用量标准；③质量保障措施。（二）评审标准：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（一）评审内容：应急处理包含：①在作业过程中出现突发问题的应急处置方案；②应急响应时间；③出现突发状况应急人员安排。 （二）评审标准：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在作业过程中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含：①服务中严格按照国家及行业标准进行服务；②配合采购人进行汇报、验收、必要的外勤配合等工作；③及时响应本服务中采购人所需的远程指导及协助需求等。（二）评审标准：每项评审内容不存在缺陷得2分；每项评审内容每存在一处缺陷扣0.4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 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1.项目组人员中（项目负责人除外）每具有一个农业方面专业技术人员得1分，本项最高得6分。 2.项目组人员中（项目负责人除外），每有1名持有无人机操作证书人员得0.5分，本项最高得3分； 注：提供人员相关证明材料，未提供不得分。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供应商具有近三年（2023年3月至今）的类似业绩（合同扫描件并加盖供应商公章，以合同签订时间为准）每个计1分，最多得3分；未提供不得分。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(1)磋商单价不高于本项目单价最高限价，且经磋商小组评审不低于成本价的最终磋商单价报价为有效磋商单价报价。 (2) 满足竞争性磋商文件要求且磋商单价价格最低的最终磋商单价报价为磋商基准价，得满分20分； (3) 磋商单价报价得分=(磋商基准价／最终磋商单价报价)×20%×100。 备注：当磋商小组认为某个供应商的单价报价明显低于其他通过符合性审查供应商的单价报价，有可能影响服务质量和不能诚信履约的，可以要求该供应商提供书面说明，必要时提交相关证明材料；供应商不能证明其单价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整体管理措施。（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作业面的划分；②作业器械选择方案；③作业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保障体系；②药剂用量标准；③质量保障措施。（二）评审标准：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（一）评审内容：应急处理包含：①在作业过程中出现突发问题的应急处置方案；②应急响应时间；③出现突发状况应急人员安排。 （二）评审标准：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在作业过程中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含：①服务中严格按照国家及行业标准进行服务；②配合采购人进行汇报、验收、必要的外勤配合等工作；③及时响应本服务中采购人所需的远程指导及协助需求等。（二）评审标准：每项评审内容不存在缺陷得2分；每项评审内容每存在一处缺陷扣0.4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 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1.项目组人员中（项目负责人除外）每具有一个农业方面专业技术人员得1分，本项最高得6分。 2.项目组人员中（项目负责人除外），每有1名持有无人机操作证书人员得0.5分，本项最高得3分； 注：提供人员相关证明材料，未提供不得分。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供应商具有近三年（2023年3月至今）的类似业绩（合同扫描件并加盖供应商公章，以合同签订时间为准）每个计1分，最多得3分；未提供不得分。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(1)磋商单价不高于本项目单价最高限价，且经磋商小组评审不低于成本价的最终磋商单价报价为有效磋商单价报价。 (2) 满足竞争性磋商文件要求且磋商单价价格最低的最终磋商单价报价为磋商基准价，得满分20分； (3) 磋商单价报价得分=(磋商基准价／最终磋商单价报价)×20%×100。 备注：当磋商小组认为某个供应商的单价报价明显低于其他通过符合性审查供应商的单价报价，有可能影响服务质量和不能诚信履约的，可以要求该供应商提供书面说明，必要时提交相关证明材料；供应商不能证明其单价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