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版本号：ZX-ZC-PC-2025-04920251225004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渭南经开区新材料产业聚集区一体化运维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ZX-ZC-PC-2025-049</w:t>
      </w:r>
      <w:r>
        <w:br/>
      </w:r>
      <w:r>
        <w:br/>
      </w:r>
      <w:r>
        <w:br/>
      </w:r>
    </w:p>
    <w:p>
      <w:pPr>
        <w:pStyle w:val="null3"/>
        <w:jc w:val="center"/>
        <w:outlineLvl w:val="2"/>
      </w:pPr>
      <w:r>
        <w:rPr>
          <w:rFonts w:ascii="仿宋_GB2312" w:hAnsi="仿宋_GB2312" w:cs="仿宋_GB2312" w:eastAsia="仿宋_GB2312"/>
          <w:sz w:val="28"/>
          <w:b/>
        </w:rPr>
        <w:t>渭南经开区新材料产业聚集区管理办公室</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渭南经开区新材料产业聚集区管理办公室</w:t>
      </w:r>
      <w:r>
        <w:rPr>
          <w:rFonts w:ascii="仿宋_GB2312" w:hAnsi="仿宋_GB2312" w:cs="仿宋_GB2312" w:eastAsia="仿宋_GB2312"/>
        </w:rPr>
        <w:t>委托，拟对</w:t>
      </w:r>
      <w:r>
        <w:rPr>
          <w:rFonts w:ascii="仿宋_GB2312" w:hAnsi="仿宋_GB2312" w:cs="仿宋_GB2312" w:eastAsia="仿宋_GB2312"/>
        </w:rPr>
        <w:t>渭南经开区新材料产业聚集区一体化运维</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ZX-ZC-PC-2025-049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渭南经开区新材料产业聚集区一体化运维</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涵盖四大核心模块：园区智慧平台运维、封闭化园区运维、有毒有害气体监测运维、网络使用服务运维，旨在通过“一体化统筹”实现四大模块运维的深度整合与协同。主要功能或目标:1.构建“统一管理架构、统一服务标准、统一考核体系”的运维模式，打破模块间的运维壁垒，优化管理流程，提升整体运维服务质量与响应效率，适配新材料园区安全、高效的运营特性；2.建立跨模块运维数据联动机制，实现数据实时互通、按需调用，推动人力、设备、信息等资源的协同配置与高效复用，减少资源浪费；3.通过集约化运维降低综合成本，在保障服务稳定性与质量的前提下，提升运维管理的经济性与可持续性。需满足的要求:本项目服务周期共3年，采用“一年一签”的合作模式。首年合同期满后，依据服务质量、响应效率、数据联动、成本控制等进行考核，根据考核情况进行续签，最多续签2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近六个月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4、社会保障资金缴纳证明：提供近六个月已缴存任意一个月社会保障资金缴存单据或社保机构开具的社会保险参保缴费证明，依法不需要缴纳社会保障资金的单位应提供相应证明文件；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5、设备和专业技术能力的书面承诺：提供具备履行合同所必需的设备和专业技术能力的证明材料或书面承诺；</w:t>
      </w:r>
    </w:p>
    <w:p>
      <w:pPr>
        <w:pStyle w:val="null3"/>
      </w:pPr>
      <w:r>
        <w:rPr>
          <w:rFonts w:ascii="仿宋_GB2312" w:hAnsi="仿宋_GB2312" w:cs="仿宋_GB2312" w:eastAsia="仿宋_GB2312"/>
        </w:rPr>
        <w:t>6、无违纪声明：参加政府采购活动前三年内在经营活动中没有重大违法记录的书面声明</w:t>
      </w:r>
    </w:p>
    <w:p>
      <w:pPr>
        <w:pStyle w:val="null3"/>
      </w:pPr>
      <w:r>
        <w:rPr>
          <w:rFonts w:ascii="仿宋_GB2312" w:hAnsi="仿宋_GB2312" w:cs="仿宋_GB2312" w:eastAsia="仿宋_GB2312"/>
        </w:rPr>
        <w:t>7、信用记录：投标人通过“信用中国”网站(www.creditchina.gov.cn)、中国政府采购网(www.ccgp.gov.cn)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8、法定代表人授权书法定代表人身份证明：法定代表人直接参加投标的，须出具法人身份证，并与营业执照上信息一致。法定代表人授权代表参加投标的，须出具法定代表人授权书及授权代表身份证、授权代表本单位证明(开标前的个人养老保险缴纳证明)。法人的分支机构参与投标时，除提供《法定代表人授权委托书》外，还须同时提供法人给分支机构出具的授权书；</w:t>
      </w:r>
    </w:p>
    <w:p>
      <w:pPr>
        <w:pStyle w:val="null3"/>
      </w:pPr>
      <w:r>
        <w:rPr>
          <w:rFonts w:ascii="仿宋_GB2312" w:hAnsi="仿宋_GB2312" w:cs="仿宋_GB2312" w:eastAsia="仿宋_GB2312"/>
        </w:rPr>
        <w:t>9、非联合体不分包投标声明：本项目不接受联合体投标，不允许分包。投标人提供《非联合体不分包投标声明》，视为独立投标，不分包。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渭南经开区新材料产业聚集区管理办公室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陕西省渭南市蒲城县陈庄镇东鲁村纬二路西段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渭南经开区新材料产业聚集区管理办公室经办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0913-7161011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赵强、王涛、王超、李博飞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0913-7203886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卤阳湖开发区政府采购管理股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刘凯</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18729849137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采购包1：4,357,900.00元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开户名称：中昕国际项目管理有限公司</w:t>
            </w:r>
          </w:p>
          <w:p>
            <w:pPr>
              <w:pStyle w:val="null3"/>
            </w:pPr>
            <w:r>
              <w:rPr>
                <w:rFonts w:ascii="仿宋_GB2312" w:hAnsi="仿宋_GB2312" w:cs="仿宋_GB2312" w:eastAsia="仿宋_GB2312"/>
              </w:rPr>
              <w:t>开户银行：平安银行西安经济技术开发区支行</w:t>
            </w:r>
          </w:p>
          <w:p>
            <w:pPr>
              <w:pStyle w:val="null3"/>
            </w:pPr>
            <w:r>
              <w:rPr>
                <w:rFonts w:ascii="仿宋_GB2312" w:hAnsi="仿宋_GB2312" w:cs="仿宋_GB2312" w:eastAsia="仿宋_GB2312"/>
              </w:rPr>
              <w:t>银行账号：30201687008234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代理服务费收费标准：本项目收取代理服务费 代理服务费用收取对象：中标/成交供应商 代理 服务费收费标准：根据国家财政部、国家计委、国家物价局(2002)1980号，国家发改委(2003 )857号等文件规定收取，由中标人在领取中标通知书前一次性全额付清。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渭南经开区新材料产业聚集区管理办公室</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渭南经开区新材料产业聚集区管理办公室</w:t>
      </w:r>
      <w:r>
        <w:rPr>
          <w:rFonts w:ascii="仿宋_GB2312" w:hAnsi="仿宋_GB2312" w:cs="仿宋_GB2312" w:eastAsia="仿宋_GB2312"/>
        </w:rPr>
        <w:t>负责解释。除上述招标文件内容，其他内容由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渭南经开区新材料产业聚集区管理办公室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按照国家标准及合同要求执行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联系电话：0913-7203886</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涵盖四大核心模块：园区智慧平台运维、封闭化园区运维、有毒有害气体监测运维、网络使用服务运维，旨在通过“一体化统筹”实现四大模块运维的深度整合与协同。主要功能或目标:1.构建“统一管理架构、统一服务标准、统一考核体系”的运维模式，打破模块间的运维壁垒，优化管理流程，提升整体运维服务质量与响应效率，适配新材料园区安全、高效的运营特性；2.建立跨模块运维数据联动机制，实现数据实时互通、按需调用，推动人力、设备、信息等资源的协同配置与高效复用，减少资源浪费；3.通过集约化运维降低综合成本，在保障服务稳定性与质量的前提下，提升运维管理的经济性与可持续性。需满足的要求:本项目服务周期共3年，采用“一年一签”的合作模式。首年合同期满后，依据服务质量、响应效率、数据联动、成本控制等进行考核，根据考核情况进行续签，最多续签2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4,357,900.00</w:t>
      </w:r>
    </w:p>
    <w:p>
      <w:pPr>
        <w:pStyle w:val="null3"/>
      </w:pPr>
      <w:r>
        <w:rPr>
          <w:rFonts w:ascii="仿宋_GB2312" w:hAnsi="仿宋_GB2312" w:cs="仿宋_GB2312" w:eastAsia="仿宋_GB2312"/>
        </w:rPr>
        <w:t>采购包最高限价（元）: 4,357,900.00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渭南经开区新材料产业聚集区一体化运维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4,357,900.00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标的名称：渭南经开区新材料产业聚集区一体化运维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一、项目概述</w:t>
            </w:r>
          </w:p>
          <w:p>
            <w:pPr>
              <w:pStyle w:val="null3"/>
            </w:pPr>
            <w:r>
              <w:rPr>
                <w:rFonts w:ascii="仿宋_GB2312" w:hAnsi="仿宋_GB2312" w:cs="仿宋_GB2312" w:eastAsia="仿宋_GB2312"/>
                <w:sz w:val="21"/>
                <w:color w:val="000000"/>
              </w:rPr>
              <w:t xml:space="preserve">   采购内容:涵盖四大核心模块：园区智慧平台运维、封闭化园区运维、有毒有害气体监测运维、网络使用服务运维，旨在通</w:t>
            </w:r>
            <w:r>
              <w:rPr>
                <w:rFonts w:ascii="仿宋_GB2312" w:hAnsi="仿宋_GB2312" w:cs="仿宋_GB2312" w:eastAsia="仿宋_GB2312"/>
                <w:sz w:val="21"/>
                <w:color w:val="000000"/>
              </w:rPr>
              <w:t>过“一体化统筹”实现四大模块运维的深度整合与协同。主要功能或目标:1.构建“统一管理架构、统一服务标准、统一考核体系”的运维模式，打破模块间的运维壁垒，优化管理流程，提升整体运维服务质量与响应效率，适配新材料园区安全、高效的运营特性；2.建立跨模块运维数据联动机制，实现数据实时互通、按需调用，推动人力、设备、信息等资源的协同配置与高效复用，减少资源浪费；3.通过集约化运维降低综合成本，在保障服务稳定性与质量的前提下，提升运维管理的经济性与可持续性。需满足的要求:本项目服务周期共3年，采用“一年一签”的合作模式。首年合同期满后，依据服务质量、响应效率、数据联动、成本控制等进行考核，根据考核情况进行续签，最多续签2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color w:val="000000"/>
              </w:rPr>
              <w:t>二、渭南经开区新材料产业聚集区一体化运维费用总表</w:t>
            </w:r>
          </w:p>
          <w:tbl>
            <w:tblPr>
              <w:tblInd w:type="dxa" w:w="90"/>
              <w:tblBorders>
                <w:top w:val="none" w:color="000000" w:sz="4"/>
                <w:left w:val="none" w:color="000000" w:sz="4"/>
                <w:bottom w:val="none" w:color="000000" w:sz="4"/>
                <w:right w:val="none" w:color="000000" w:sz="4"/>
                <w:insideH w:val="none"/>
                <w:insideV w:val="none"/>
              </w:tblBorders>
            </w:tblPr>
            <w:tblGrid>
              <w:gridCol w:w="352"/>
              <w:gridCol w:w="1439"/>
              <w:gridCol w:w="757"/>
            </w:tblGrid>
            <w:tr>
              <w:tc>
                <w:tcPr>
                  <w:tcW w:type="dxa" w:w="254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渭南经开区新材料产业聚集区一体化运维费用总表</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智慧平台运维费用</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万元</w:t>
                  </w:r>
                  <w:r>
                    <w:rPr>
                      <w:rFonts w:ascii="仿宋_GB2312" w:hAnsi="仿宋_GB2312" w:cs="仿宋_GB2312" w:eastAsia="仿宋_GB2312"/>
                      <w:sz w:val="21"/>
                      <w:color w:val="000000"/>
                    </w:rPr>
                    <w:t>/年</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封闭化园区运维费用</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万元</w:t>
                  </w:r>
                  <w:r>
                    <w:rPr>
                      <w:rFonts w:ascii="仿宋_GB2312" w:hAnsi="仿宋_GB2312" w:cs="仿宋_GB2312" w:eastAsia="仿宋_GB2312"/>
                      <w:sz w:val="21"/>
                      <w:color w:val="000000"/>
                    </w:rPr>
                    <w:t>/年</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有毒有害气体监测运维费用</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万元</w:t>
                  </w:r>
                  <w:r>
                    <w:rPr>
                      <w:rFonts w:ascii="仿宋_GB2312" w:hAnsi="仿宋_GB2312" w:cs="仿宋_GB2312" w:eastAsia="仿宋_GB2312"/>
                      <w:sz w:val="21"/>
                      <w:color w:val="000000"/>
                    </w:rPr>
                    <w:t>/年</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网络使用服务费</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万元</w:t>
                  </w:r>
                  <w:r>
                    <w:rPr>
                      <w:rFonts w:ascii="仿宋_GB2312" w:hAnsi="仿宋_GB2312" w:cs="仿宋_GB2312" w:eastAsia="仿宋_GB2312"/>
                      <w:sz w:val="21"/>
                      <w:color w:val="000000"/>
                    </w:rPr>
                    <w:t>/年</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color w:val="000000"/>
              </w:rPr>
              <w:t>三、园区智慧平台运维</w:t>
            </w:r>
          </w:p>
          <w:tbl>
            <w:tblPr>
              <w:tblInd w:type="dxa" w:w="90"/>
              <w:tblBorders>
                <w:top w:val="none" w:color="000000" w:sz="4"/>
                <w:left w:val="none" w:color="000000" w:sz="4"/>
                <w:bottom w:val="none" w:color="000000" w:sz="4"/>
                <w:right w:val="none" w:color="000000" w:sz="4"/>
                <w:insideH w:val="none"/>
                <w:insideV w:val="none"/>
              </w:tblBorders>
            </w:tblPr>
            <w:tblGrid>
              <w:gridCol w:w="511"/>
              <w:gridCol w:w="288"/>
              <w:gridCol w:w="686"/>
              <w:gridCol w:w="537"/>
              <w:gridCol w:w="515"/>
            </w:tblGrid>
            <w:tr>
              <w:tc>
                <w:tcPr>
                  <w:tcW w:type="dxa" w:w="253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渭南经开区新材料产业聚集区智慧园区管理中心运行管理服务项目</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运维价格</w:t>
                  </w:r>
                </w:p>
                <w:p>
                  <w:pPr>
                    <w:pStyle w:val="null3"/>
                    <w:jc w:val="center"/>
                  </w:pP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511"/>
                  <w:vMerge/>
                  <w:tcBorders>
                    <w:top w:val="none" w:color="000000" w:sz="4"/>
                    <w:left w:val="singl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人工费用</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r>
            <w:tr>
              <w:tc>
                <w:tcPr>
                  <w:tcW w:type="dxa" w:w="511"/>
                  <w:vMerge/>
                  <w:tcBorders>
                    <w:top w:val="none" w:color="000000" w:sz="4"/>
                    <w:left w:val="singl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办公设备及耗材费用</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r>
            <w:tr>
              <w:tc>
                <w:tcPr>
                  <w:tcW w:type="dxa" w:w="511"/>
                  <w:vMerge/>
                  <w:tcBorders>
                    <w:top w:val="none" w:color="000000" w:sz="4"/>
                    <w:left w:val="singl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管理费（</w:t>
                  </w:r>
                  <w:r>
                    <w:rPr>
                      <w:rFonts w:ascii="仿宋_GB2312" w:hAnsi="仿宋_GB2312" w:cs="仿宋_GB2312" w:eastAsia="仿宋_GB2312"/>
                      <w:sz w:val="21"/>
                      <w:color w:val="000000"/>
                    </w:rPr>
                    <w:t>％）</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r>
            <w:tr>
              <w:tc>
                <w:tcPr>
                  <w:tcW w:type="dxa" w:w="511"/>
                  <w:vMerge/>
                  <w:tcBorders>
                    <w:top w:val="none" w:color="000000" w:sz="4"/>
                    <w:left w:val="singl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利润（</w:t>
                  </w:r>
                  <w:r>
                    <w:rPr>
                      <w:rFonts w:ascii="仿宋_GB2312" w:hAnsi="仿宋_GB2312" w:cs="仿宋_GB2312" w:eastAsia="仿宋_GB2312"/>
                      <w:sz w:val="21"/>
                      <w:color w:val="000000"/>
                    </w:rPr>
                    <w:t>％）</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r>
            <w:tr>
              <w:tc>
                <w:tcPr>
                  <w:tcW w:type="dxa" w:w="511"/>
                  <w:vMerge/>
                  <w:tcBorders>
                    <w:top w:val="none" w:color="000000" w:sz="4"/>
                    <w:left w:val="singl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税金（</w:t>
                  </w:r>
                  <w:r>
                    <w:rPr>
                      <w:rFonts w:ascii="仿宋_GB2312" w:hAnsi="仿宋_GB2312" w:cs="仿宋_GB2312" w:eastAsia="仿宋_GB2312"/>
                      <w:sz w:val="21"/>
                      <w:color w:val="000000"/>
                    </w:rPr>
                    <w:t>％）</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r>
            <w:tr>
              <w:tc>
                <w:tcPr>
                  <w:tcW w:type="dxa" w:w="511"/>
                  <w:vMerge/>
                  <w:tcBorders>
                    <w:top w:val="none" w:color="000000" w:sz="4"/>
                    <w:left w:val="single" w:color="000000" w:sz="4"/>
                    <w:bottom w:val="single" w:color="000000" w:sz="4"/>
                    <w:right w:val="single" w:color="000000" w:sz="4"/>
                  </w:tcBorders>
                </w:tcP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10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运行管理服务费合计（</w:t>
                  </w:r>
                  <w:r>
                    <w:rPr>
                      <w:rFonts w:ascii="仿宋_GB2312" w:hAnsi="仿宋_GB2312" w:cs="仿宋_GB2312" w:eastAsia="仿宋_GB2312"/>
                      <w:sz w:val="21"/>
                      <w:color w:val="000000"/>
                    </w:rPr>
                    <w:t>1年）</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2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运行管理服务期限（</w:t>
                  </w:r>
                  <w:r>
                    <w:rPr>
                      <w:rFonts w:ascii="仿宋_GB2312" w:hAnsi="仿宋_GB2312" w:cs="仿宋_GB2312" w:eastAsia="仿宋_GB2312"/>
                      <w:sz w:val="21"/>
                      <w:color w:val="000000"/>
                    </w:rPr>
                    <w:t>1年）</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运行管理服务范围</w:t>
                  </w:r>
                </w:p>
              </w:tc>
              <w:tc>
                <w:tcPr>
                  <w:tcW w:type="dxa" w:w="202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运行管理服务范围：其中基础设施及硬件部分主要内容为园区专网，安防监控、环境监测、数据机房、指挥中心。其中安防监测包括智慧监控单元、全结构化摄像机、全结构化球机、危险源监测、观测型北斗烟感双目热成像云台、全景摄像机、半球摄像机、网络摄像机、灵瞳人脸抓拍摄像机，共</w:t>
                  </w:r>
                  <w:r>
                    <w:rPr>
                      <w:rFonts w:ascii="仿宋_GB2312" w:hAnsi="仿宋_GB2312" w:cs="仿宋_GB2312" w:eastAsia="仿宋_GB2312"/>
                      <w:sz w:val="21"/>
                      <w:color w:val="000000"/>
                    </w:rPr>
                    <w:t>105处，排水口环境监测1处，涉及到区域面积约23.3公顷；</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运维服务内容</w:t>
                  </w:r>
                </w:p>
                <w:p>
                  <w:pPr>
                    <w:pStyle w:val="null3"/>
                    <w:jc w:val="center"/>
                  </w:pPr>
                </w:p>
              </w:tc>
              <w:tc>
                <w:tcPr>
                  <w:tcW w:type="dxa" w:w="202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1、负责编制智慧园区管理中心运行管理的各项规范、标准及规章制度的编制与制定；</w:t>
                  </w:r>
                </w:p>
              </w:tc>
            </w:tr>
            <w:tr>
              <w:tc>
                <w:tcPr>
                  <w:tcW w:type="dxa" w:w="511"/>
                  <w:vMerge/>
                  <w:tcBorders>
                    <w:top w:val="none" w:color="000000" w:sz="4"/>
                    <w:left w:val="single" w:color="000000" w:sz="4"/>
                    <w:bottom w:val="single" w:color="000000" w:sz="4"/>
                    <w:right w:val="single" w:color="000000" w:sz="4"/>
                  </w:tcBorders>
                </w:tcPr>
                <w:p/>
              </w:tc>
              <w:tc>
                <w:tcPr>
                  <w:tcW w:type="dxa" w:w="202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2、统筹管理驻场运行管理人员按照已制定的各项规范、标准及规章制度开展运维服务工作；</w:t>
                  </w:r>
                </w:p>
              </w:tc>
            </w:tr>
            <w:tr>
              <w:tc>
                <w:tcPr>
                  <w:tcW w:type="dxa" w:w="511"/>
                  <w:vMerge/>
                  <w:tcBorders>
                    <w:top w:val="none" w:color="000000" w:sz="4"/>
                    <w:left w:val="single" w:color="000000" w:sz="4"/>
                    <w:bottom w:val="single" w:color="000000" w:sz="4"/>
                    <w:right w:val="single" w:color="000000" w:sz="4"/>
                  </w:tcBorders>
                </w:tcPr>
                <w:p/>
              </w:tc>
              <w:tc>
                <w:tcPr>
                  <w:tcW w:type="dxa" w:w="202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3、保障智慧园区管理中心已建设监管平台稳定运行，根据监管平台规范要求，掌握平台各板块的内容，能熟练解决运行中出现的问题；</w:t>
                  </w:r>
                </w:p>
              </w:tc>
            </w:tr>
            <w:tr>
              <w:tc>
                <w:tcPr>
                  <w:tcW w:type="dxa" w:w="511"/>
                  <w:vMerge/>
                  <w:tcBorders>
                    <w:top w:val="none" w:color="000000" w:sz="4"/>
                    <w:left w:val="single" w:color="000000" w:sz="4"/>
                    <w:bottom w:val="single" w:color="000000" w:sz="4"/>
                    <w:right w:val="single" w:color="000000" w:sz="4"/>
                  </w:tcBorders>
                </w:tcPr>
                <w:p/>
              </w:tc>
              <w:tc>
                <w:tcPr>
                  <w:tcW w:type="dxa" w:w="202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4、负责智慧园区管理中心监管平台现场演示讲解、交流答疑；</w:t>
                  </w:r>
                </w:p>
              </w:tc>
            </w:tr>
            <w:tr>
              <w:tc>
                <w:tcPr>
                  <w:tcW w:type="dxa" w:w="511"/>
                  <w:vMerge/>
                  <w:tcBorders>
                    <w:top w:val="none" w:color="000000" w:sz="4"/>
                    <w:left w:val="single" w:color="000000" w:sz="4"/>
                    <w:bottom w:val="single" w:color="000000" w:sz="4"/>
                    <w:right w:val="single" w:color="000000" w:sz="4"/>
                  </w:tcBorders>
                </w:tcPr>
                <w:p/>
              </w:tc>
              <w:tc>
                <w:tcPr>
                  <w:tcW w:type="dxa" w:w="202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5、负责监管平台内报警信息处理及台账记录等闭环工作；</w:t>
                  </w:r>
                </w:p>
              </w:tc>
            </w:tr>
            <w:tr>
              <w:tc>
                <w:tcPr>
                  <w:tcW w:type="dxa" w:w="511"/>
                  <w:vMerge/>
                  <w:tcBorders>
                    <w:top w:val="none" w:color="000000" w:sz="4"/>
                    <w:left w:val="single" w:color="000000" w:sz="4"/>
                    <w:bottom w:val="single" w:color="000000" w:sz="4"/>
                    <w:right w:val="single" w:color="000000" w:sz="4"/>
                  </w:tcBorders>
                </w:tcPr>
                <w:p/>
              </w:tc>
              <w:tc>
                <w:tcPr>
                  <w:tcW w:type="dxa" w:w="202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6、负责智慧园区管理中心日常巡检及台账记录工作，监控平台。</w:t>
                  </w:r>
                </w:p>
              </w:tc>
            </w:tr>
            <w:tr>
              <w:tc>
                <w:tcPr>
                  <w:tcW w:type="dxa" w:w="511"/>
                  <w:vMerge/>
                  <w:tcBorders>
                    <w:top w:val="none" w:color="000000" w:sz="4"/>
                    <w:left w:val="single" w:color="000000" w:sz="4"/>
                    <w:bottom w:val="single" w:color="000000" w:sz="4"/>
                    <w:right w:val="single" w:color="000000" w:sz="4"/>
                  </w:tcBorders>
                </w:tcPr>
                <w:p/>
              </w:tc>
              <w:tc>
                <w:tcPr>
                  <w:tcW w:type="dxa" w:w="202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7、7*24小时驻场运行管理服务，主要负责上述监管运行管理服务事项等</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四、封闭化园区运维</w:t>
            </w:r>
          </w:p>
          <w:tbl>
            <w:tblPr>
              <w:tblInd w:type="dxa" w:w="90"/>
              <w:tblBorders>
                <w:top w:val="none" w:color="000000" w:sz="4"/>
                <w:left w:val="none" w:color="000000" w:sz="4"/>
                <w:bottom w:val="none" w:color="000000" w:sz="4"/>
                <w:right w:val="none" w:color="000000" w:sz="4"/>
                <w:insideH w:val="none"/>
                <w:insideV w:val="none"/>
              </w:tblBorders>
            </w:tblPr>
            <w:tblGrid>
              <w:gridCol w:w="374"/>
              <w:gridCol w:w="1119"/>
              <w:gridCol w:w="344"/>
              <w:gridCol w:w="348"/>
              <w:gridCol w:w="352"/>
            </w:tblGrid>
            <w:tr>
              <w:tc>
                <w:tcPr>
                  <w:tcW w:type="dxa" w:w="253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渭南经开区新材料产业聚集区封闭化管理运营维护服务项目</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标的名称</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监控卡口运维</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物理围栏运维</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电子围栏运维</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其他硬件设施运维</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封闭化管理</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园区运维管理</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园区卡口</w:t>
                  </w:r>
                  <w:r>
                    <w:rPr>
                      <w:rFonts w:ascii="仿宋_GB2312" w:hAnsi="仿宋_GB2312" w:cs="仿宋_GB2312" w:eastAsia="仿宋_GB2312"/>
                      <w:sz w:val="21"/>
                      <w:color w:val="000000"/>
                    </w:rPr>
                    <w:t>24 小时人员值守</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园区人员及车辆管理</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配套基本设施日常检查与维护</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安全防护设施运维</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消防设施运维</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环境保护设施日常检查与维护</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园区危化品运输车辆管控</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定期组织应急演练</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r>
                    <w:rPr>
                      <w:rFonts w:ascii="仿宋_GB2312" w:hAnsi="仿宋_GB2312" w:cs="仿宋_GB2312" w:eastAsia="仿宋_GB2312"/>
                      <w:sz w:val="21"/>
                      <w:color w:val="000000"/>
                    </w:rPr>
                    <w:t>/年</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五、有毒有害气体监测运维</w:t>
            </w:r>
          </w:p>
          <w:tbl>
            <w:tblPr>
              <w:tblBorders>
                <w:top w:val="none" w:color="000000" w:sz="4"/>
                <w:left w:val="none" w:color="000000" w:sz="4"/>
                <w:bottom w:val="none" w:color="000000" w:sz="4"/>
                <w:right w:val="none" w:color="000000" w:sz="4"/>
                <w:insideH w:val="none"/>
                <w:insideV w:val="none"/>
              </w:tblBorders>
            </w:tblPr>
            <w:tblGrid>
              <w:gridCol w:w="374"/>
              <w:gridCol w:w="1113"/>
              <w:gridCol w:w="339"/>
              <w:gridCol w:w="369"/>
              <w:gridCol w:w="339"/>
            </w:tblGrid>
            <w:tr>
              <w:tc>
                <w:tcPr>
                  <w:tcW w:type="dxa" w:w="253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渭南经开区新材料产业聚集区有毒有害气体监测运维</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69"/>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中心站房</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r>
                    <w:rPr>
                      <w:rFonts w:ascii="仿宋_GB2312" w:hAnsi="仿宋_GB2312" w:cs="仿宋_GB2312" w:eastAsia="仿宋_GB2312"/>
                      <w:sz w:val="20"/>
                      <w:color w:val="000000"/>
                    </w:rPr>
                    <w:t>/年</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上下风向站点</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r>
                    <w:rPr>
                      <w:rFonts w:ascii="仿宋_GB2312" w:hAnsi="仿宋_GB2312" w:cs="仿宋_GB2312" w:eastAsia="仿宋_GB2312"/>
                      <w:sz w:val="20"/>
                      <w:color w:val="000000"/>
                    </w:rPr>
                    <w:t>/年</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恶臭监测点</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r>
                    <w:rPr>
                      <w:rFonts w:ascii="仿宋_GB2312" w:hAnsi="仿宋_GB2312" w:cs="仿宋_GB2312" w:eastAsia="仿宋_GB2312"/>
                      <w:sz w:val="20"/>
                      <w:color w:val="000000"/>
                    </w:rPr>
                    <w:t>/年</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常规易耗品及设备备品备件</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r>
                    <w:rPr>
                      <w:rFonts w:ascii="仿宋_GB2312" w:hAnsi="仿宋_GB2312" w:cs="仿宋_GB2312" w:eastAsia="仿宋_GB2312"/>
                      <w:sz w:val="20"/>
                      <w:color w:val="000000"/>
                    </w:rPr>
                    <w:t>/年</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90"/>
              <w:tblBorders>
                <w:top w:val="none" w:color="000000" w:sz="4"/>
                <w:left w:val="none" w:color="000000" w:sz="4"/>
                <w:bottom w:val="none" w:color="000000" w:sz="4"/>
                <w:right w:val="none" w:color="000000" w:sz="4"/>
                <w:insideH w:val="none"/>
                <w:insideV w:val="none"/>
              </w:tblBorders>
            </w:tblPr>
            <w:tblGrid>
              <w:gridCol w:w="435"/>
              <w:gridCol w:w="688"/>
              <w:gridCol w:w="697"/>
              <w:gridCol w:w="396"/>
              <w:gridCol w:w="326"/>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附件</w:t>
                  </w:r>
                  <w:r>
                    <w:rPr>
                      <w:rFonts w:ascii="仿宋_GB2312" w:hAnsi="仿宋_GB2312" w:cs="仿宋_GB2312" w:eastAsia="仿宋_GB2312"/>
                      <w:sz w:val="20"/>
                      <w:b/>
                      <w:color w:val="000000"/>
                    </w:rPr>
                    <w:t>01-常规易耗品耗材</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站点名称</w:t>
                  </w:r>
                </w:p>
              </w:tc>
              <w:tc>
                <w:tcPr>
                  <w:tcW w:type="dxa" w:w="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耗</w:t>
                  </w:r>
                  <w:r>
                    <w:rPr>
                      <w:rFonts w:ascii="仿宋_GB2312" w:hAnsi="仿宋_GB2312" w:cs="仿宋_GB2312" w:eastAsia="仿宋_GB2312"/>
                      <w:sz w:val="20"/>
                      <w:b/>
                      <w:color w:val="000000"/>
                    </w:rPr>
                    <w:t>材</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现有耗材厂家或规格</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4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恶臭站点（</w:t>
                  </w:r>
                  <w:r>
                    <w:rPr>
                      <w:rFonts w:ascii="仿宋_GB2312" w:hAnsi="仿宋_GB2312" w:cs="仿宋_GB2312" w:eastAsia="仿宋_GB2312"/>
                      <w:sz w:val="20"/>
                      <w:color w:val="000000"/>
                    </w:rPr>
                    <w:t>7个站点）</w:t>
                  </w:r>
                </w:p>
                <w:p>
                  <w:pPr>
                    <w:pStyle w:val="null3"/>
                    <w:jc w:val="center"/>
                  </w:p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PTFE过滤膜</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采样泵耗材</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GAST</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阀片、阀限制片、气缸</w:t>
                  </w:r>
                  <w:r>
                    <w:rPr>
                      <w:rFonts w:ascii="仿宋_GB2312" w:hAnsi="仿宋_GB2312" w:cs="仿宋_GB2312" w:eastAsia="仿宋_GB2312"/>
                      <w:sz w:val="20"/>
                      <w:color w:val="000000"/>
                    </w:rPr>
                    <w:t>O型圈</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臭氧净化用硅胶颗粒物</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杭州华东医药</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颗粒物过滤器</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PARKER</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SO2去除剂</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4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上下风向颗粒物设备</w:t>
                  </w:r>
                </w:p>
                <w:p>
                  <w:pPr>
                    <w:pStyle w:val="null3"/>
                    <w:jc w:val="center"/>
                  </w:p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过滤器</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汇精</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颗粒物纸带</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奥瑞定制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过滤膜</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驱动电机</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4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上下风向大气污染物设备</w:t>
                  </w:r>
                </w:p>
                <w:p>
                  <w:pPr>
                    <w:pStyle w:val="null3"/>
                    <w:jc w:val="center"/>
                  </w:p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采样滤膜</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25mm*1μm</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r>
                    <w:rPr>
                      <w:rFonts w:ascii="仿宋_GB2312" w:hAnsi="仿宋_GB2312" w:cs="仿宋_GB2312" w:eastAsia="仿宋_GB2312"/>
                      <w:sz w:val="20"/>
                      <w:color w:val="000000"/>
                    </w:rPr>
                    <w:t>25片）</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变色硅胶</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500g</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氢氧化钾（</w:t>
                  </w:r>
                  <w:r>
                    <w:rPr>
                      <w:rFonts w:ascii="仿宋_GB2312" w:hAnsi="仿宋_GB2312" w:cs="仿宋_GB2312" w:eastAsia="仿宋_GB2312"/>
                      <w:sz w:val="20"/>
                      <w:color w:val="000000"/>
                    </w:rPr>
                    <w:t>500g）</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采样泵耗材</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定购件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空压机耗材</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定购件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气体流量计</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定购件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氢气发生器耗材</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气体洗涤器</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4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中心站</w:t>
                  </w:r>
                </w:p>
                <w:p>
                  <w:pPr>
                    <w:pStyle w:val="null3"/>
                    <w:jc w:val="center"/>
                  </w:p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过滤器滤芯</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精度</w:t>
                  </w:r>
                  <w:r>
                    <w:rPr>
                      <w:rFonts w:ascii="仿宋_GB2312" w:hAnsi="仿宋_GB2312" w:cs="仿宋_GB2312" w:eastAsia="仿宋_GB2312"/>
                      <w:sz w:val="20"/>
                      <w:color w:val="000000"/>
                    </w:rPr>
                    <w:t>:5μm ，适用于空气过滤</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气体采样袋</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500ml</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蝶形囊式过滤器</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PTFE，过滤精度：1um，过滤面积:7.3mm2 ，3.8mm宝塔接头</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4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标准气体</w:t>
                  </w:r>
                </w:p>
                <w:p>
                  <w:pPr>
                    <w:pStyle w:val="null3"/>
                    <w:jc w:val="center"/>
                  </w:p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H2S标气</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50ppm，8L</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NO标气（二级）</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50ppm，8L</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NH3标气</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50ppm，8L</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SO2标气（二级）</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50ppm，8L</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标气</w:t>
                  </w:r>
                  <w:r>
                    <w:rPr>
                      <w:rFonts w:ascii="仿宋_GB2312" w:hAnsi="仿宋_GB2312" w:cs="仿宋_GB2312" w:eastAsia="仿宋_GB2312"/>
                      <w:sz w:val="20"/>
                      <w:color w:val="000000"/>
                    </w:rPr>
                    <w:t>TO-15/N2&amp;TO-15</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标准因子</w:t>
                  </w:r>
                  <w:r>
                    <w:rPr>
                      <w:rFonts w:ascii="仿宋_GB2312" w:hAnsi="仿宋_GB2312" w:cs="仿宋_GB2312" w:eastAsia="仿宋_GB2312"/>
                      <w:sz w:val="20"/>
                      <w:color w:val="000000"/>
                    </w:rPr>
                    <w:t>65种：1ppm&amp;余N2&amp;8L&amp;含瓶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苯系物标气</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1ppm，3组分（苯\甲苯\二甲苯），8L</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有机胺标气</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1ppm，8L</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PAMS57组分</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1ppm，8L</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空调耗材</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附件</w:t>
                  </w:r>
                  <w:r>
                    <w:rPr>
                      <w:rFonts w:ascii="仿宋_GB2312" w:hAnsi="仿宋_GB2312" w:cs="仿宋_GB2312" w:eastAsia="仿宋_GB2312"/>
                      <w:sz w:val="20"/>
                      <w:b/>
                      <w:color w:val="000000"/>
                    </w:rPr>
                    <w:t>02-设备备品备件耗材</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站点名称</w:t>
                  </w:r>
                </w:p>
              </w:tc>
              <w:tc>
                <w:tcPr>
                  <w:tcW w:type="dxa" w:w="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备件耗材</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耗材厂家</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4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中心站</w:t>
                  </w:r>
                </w:p>
                <w:p>
                  <w:pPr>
                    <w:pStyle w:val="null3"/>
                    <w:jc w:val="center"/>
                  </w:p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转子流量计</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两位两通比例阀</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两通电磁阀</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微通道板</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三口分子泵</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抽速</w:t>
                  </w:r>
                  <w:r>
                    <w:rPr>
                      <w:rFonts w:ascii="仿宋_GB2312" w:hAnsi="仿宋_GB2312" w:cs="仿宋_GB2312" w:eastAsia="仿宋_GB2312"/>
                      <w:sz w:val="20"/>
                      <w:color w:val="000000"/>
                    </w:rPr>
                    <w:t>H:200l/s H1:250l/s H2:20l/s</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涡轮泵</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峰值泵速</w:t>
                  </w:r>
                  <w:r>
                    <w:rPr>
                      <w:rFonts w:ascii="仿宋_GB2312" w:hAnsi="仿宋_GB2312" w:cs="仿宋_GB2312" w:eastAsia="仿宋_GB2312"/>
                      <w:sz w:val="20"/>
                      <w:color w:val="000000"/>
                    </w:rPr>
                    <w:t>15.1m3h-1/8.9ft3min-1，工作温度10-40C</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气体质量传感器</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数据采集卡</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上下风向站</w:t>
                  </w:r>
                </w:p>
                <w:p>
                  <w:pPr>
                    <w:pStyle w:val="null3"/>
                    <w:jc w:val="center"/>
                  </w:p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FID点火丝</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富集管模块</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两位十四通阀</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采样泵</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扩展</w:t>
                  </w:r>
                  <w:r>
                    <w:rPr>
                      <w:rFonts w:ascii="仿宋_GB2312" w:hAnsi="仿宋_GB2312" w:cs="仿宋_GB2312" w:eastAsia="仿宋_GB2312"/>
                      <w:sz w:val="20"/>
                      <w:color w:val="000000"/>
                    </w:rPr>
                    <w:t>IO板</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GPDP触摸显示屏</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压力传感器板</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流量传感器板</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氙灯</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光度计汞灯及驱动板</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恶臭站点（</w:t>
                  </w:r>
                  <w:r>
                    <w:rPr>
                      <w:rFonts w:ascii="仿宋_GB2312" w:hAnsi="仿宋_GB2312" w:cs="仿宋_GB2312" w:eastAsia="仿宋_GB2312"/>
                      <w:sz w:val="20"/>
                      <w:color w:val="000000"/>
                    </w:rPr>
                    <w:t>7个站点）</w:t>
                  </w:r>
                </w:p>
                <w:p>
                  <w:pPr>
                    <w:pStyle w:val="null3"/>
                    <w:jc w:val="center"/>
                  </w:p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流量板、流量传感器</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氨转换炉</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435"/>
                  <w:vMerge/>
                  <w:tcBorders>
                    <w:top w:val="none" w:color="000000" w:sz="4"/>
                    <w:left w:val="single" w:color="000000" w:sz="4"/>
                    <w:bottom w:val="single" w:color="000000" w:sz="4"/>
                    <w:right w:val="single" w:color="000000" w:sz="4"/>
                  </w:tcBorders>
                </w:tcP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钼炉</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六、网络使用服务运维</w:t>
            </w:r>
          </w:p>
          <w:tbl>
            <w:tblPr>
              <w:tblInd w:type="dxa" w:w="90"/>
              <w:tblBorders>
                <w:top w:val="none" w:color="000000" w:sz="4"/>
                <w:left w:val="none" w:color="000000" w:sz="4"/>
                <w:bottom w:val="none" w:color="000000" w:sz="4"/>
                <w:right w:val="none" w:color="000000" w:sz="4"/>
                <w:insideH w:val="none"/>
                <w:insideV w:val="none"/>
              </w:tblBorders>
            </w:tblPr>
            <w:tblGrid>
              <w:gridCol w:w="342"/>
              <w:gridCol w:w="587"/>
              <w:gridCol w:w="377"/>
              <w:gridCol w:w="302"/>
              <w:gridCol w:w="263"/>
              <w:gridCol w:w="671"/>
            </w:tblGrid>
            <w:tr>
              <w:tc>
                <w:tcPr>
                  <w:tcW w:type="dxa" w:w="2542"/>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渭南经开区新材料产业聚集区一体化运维网络服务费用</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类型</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用途</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200M OTN数字电路</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东区汇聚至平台</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200M OTN数字电路</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西区汇聚至平台</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20M数字电路</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平台103个监控至东西区汇聚电路，园区道路、企业门口、危险源等</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200M云宽通光纤专线</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平台网络</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云主机</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平台</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2台数据库云主机、5台安全生产云主机、5台数据中台云主机、1台环测云主机</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20M数字电路</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周界</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周界47个监控至汇聚电路</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20M数字电路（包月优惠）</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企业数据接入</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企业自建监控数据汇聚至平台</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云主机</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封闭化园区</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查询实际使用核数</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安全卫士</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封闭化园区</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入侵检测、防火墙、漏洞扫描、防病毒</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200M互联网专线</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封闭化园区</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封闭化平台使用</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20M数字电路</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封闭化园区</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广播、卡口、围栏</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50M数字电路</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封闭化园区</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测速、卡口</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100M数字电路</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封闭化园区</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卡口</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150M数字电路</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封闭化园区</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卡口</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150M数字电路</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封闭化园区</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云主机</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西区恶臭检测</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50M互联网专线</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西区恶臭检测</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云桌面计算单元</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西区恶臭检测</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移动单机</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西区恶臭检测</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普通宽带</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西区恶臭检测</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全国行业短信群组产品</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西区恶臭检测</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智慧翼房</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办公网络</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5楼网络及电视</w:t>
                  </w:r>
                </w:p>
              </w:tc>
            </w:tr>
            <w:tr>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100M互联网专线</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办公网络</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1-4楼办公</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本项目服务周期共3年，采用“一年一签”的合作模式。首年合同期满后，依据服务质量、响应效率、数据联动、成本控制等进行考核，根据考核情况进行续签，最多续签2次。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按照国家标准及合同要求执行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依据服务质量、响应效率、数据联动、成本控制等进行考核，合格后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依据服务质量、响应效率、数据联动、成本控制等进行考核，合格后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依据服务质量、响应效率、数据联动、成本控制等进行考核，合格后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依据服务质量、响应效率、数据联动、成本控制等进行考核，合格后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按照国家标准及合同要求执行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提供近六个月已缴纳任意一个月纳税证明或税务机关开具的完税证明(时间以税款所属日期为准，凭据应有税务机关或代收机关的公章或业务专用章。)依法免税或无须缴纳税收的单位应提供相应证明文件；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提供近六个月已缴存任意一个月社会保障资金缴存单据或社保机构开具的社会保险参保缴费证明，依法不需要缴纳社会保障资金的单位应提供相应证明文件；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设备和专业技术能力的书面承诺</w:t>
            </w:r>
          </w:p>
        </w:tc>
        <w:tc>
          <w:tcPr>
            <w:tcW w:type="dxa" w:w="3322"/>
          </w:tcPr>
          <w:p>
            <w:pPr>
              <w:pStyle w:val="null3"/>
            </w:pPr>
            <w:r>
              <w:rPr>
                <w:rFonts w:ascii="仿宋_GB2312" w:hAnsi="仿宋_GB2312" w:cs="仿宋_GB2312" w:eastAsia="仿宋_GB2312"/>
              </w:rPr>
              <w:t>提供具备履行合同所必需的设备和专业技术能力的证明材料或书面承诺；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无违纪声明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（1）投标文件封面 （2）投标函 （3）法定代表人（单位负责人）身份证明\法定代表人（单位负责人）委托授权书</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服务方案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应符合招标文件要求。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完全响应招标文件要求的实质性条款，实质性条款须在采购文件中特别说明。</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完全理解并接受法律法规和采购文件对供应商合法经营的各类规约和责任义务要求，没有出现法律法规或采购文件规定的其他无效情形。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对本项目的理解和分析</w:t>
            </w:r>
          </w:p>
        </w:tc>
        <w:tc>
          <w:tcPr>
            <w:tcW w:type="dxa" w:w="2492"/>
          </w:tcPr>
          <w:p>
            <w:pPr>
              <w:pStyle w:val="null3"/>
            </w:pPr>
            <w:r>
              <w:rPr>
                <w:rFonts w:ascii="仿宋_GB2312" w:hAnsi="仿宋_GB2312" w:cs="仿宋_GB2312" w:eastAsia="仿宋_GB2312"/>
              </w:rPr>
              <w:t>①、对本项目运维内容、规模理解透彻，针对本项目制定规范化的方案，并能提供针对本项目的整体拓扑图、整体部署图，根据方案的合理性进行打分。方案完全符合用户需求，得[4-5]分;方案基本符合用户需求，得[2-4]分;方案一般，可行性较差，得[0-2]分;不提供不得分。 ②、组织架构完整、人员搭配合理、需求理解正确、服务计划可操作性强，并能提供针对本项目的相关资料、方案，根据方案的合理性进行打分。方案完全符合用户需求，得[4-5]分;方案基本符合用户需求，得[2-4]分;方案一般，可行性较差，得[0-2]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运维服务组织方案</w:t>
            </w:r>
          </w:p>
        </w:tc>
        <w:tc>
          <w:tcPr>
            <w:tcW w:type="dxa" w:w="2492"/>
          </w:tcPr>
          <w:p>
            <w:pPr>
              <w:pStyle w:val="null3"/>
            </w:pPr>
            <w:r>
              <w:rPr>
                <w:rFonts w:ascii="仿宋_GB2312" w:hAnsi="仿宋_GB2312" w:cs="仿宋_GB2312" w:eastAsia="仿宋_GB2312"/>
              </w:rPr>
              <w:t>①、方案包含运维服务内容的日常巡检、故障处置、应急演练、现场技术保障、重点时期保障服务、技术文档管理等工作内容，根据方案的合理性、可行性进行打分。方案合理，可行性强得［7-10］分；方案基本合理，可行性较强得［4-7］分；方案不合理，可行性差得［0-4］分；不提供不得分。 ②、提供详细完整的项目组织方案，包含项目组织架构、项目进度计划、项目实施方案等。有很强的的针对性，完全符合运维项目要求，得［7-10］分；提供了简单、通用的组织方案；基本满足项目要求得［4-7］分；方案可行性较差，得［0-4）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故障响应和应急服务保障方案</w:t>
            </w:r>
          </w:p>
        </w:tc>
        <w:tc>
          <w:tcPr>
            <w:tcW w:type="dxa" w:w="2492"/>
          </w:tcPr>
          <w:p>
            <w:pPr>
              <w:pStyle w:val="null3"/>
            </w:pPr>
            <w:r>
              <w:rPr>
                <w:rFonts w:ascii="仿宋_GB2312" w:hAnsi="仿宋_GB2312" w:cs="仿宋_GB2312" w:eastAsia="仿宋_GB2312"/>
              </w:rPr>
              <w:t>特殊情况处理办法针对性强，各类故障处置应急预案完整，后备技术支撑团队技术保障能力充分，得 ［7-10］分；特殊情况处理办法针对性一般， 各类故障处置应急预案较完整，有一定的后备技术支撑团队技术保障能力，得［4-7）分；特殊情况处理办法不完整，各类故障处置应急预案不完整，备技术支撑团队技术保障能力较弱，得［0-4）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1、项目经理为化工园区管理岗工作 ，具有化工或安全相关专业高级及以上工程师职称的得3分，具有化工或安全相关专业中级工程师职称的得2分；项目经理具备硕士研究生学历的得2分，项目经理具备本科学历的得1分；本项最多得5分。 2、技术负责人需统筹化工园区环境、安全相关工作，具有环境或安全相关专业高级及以上工程师职称的得3分，具有环境或安全相关专业中级工程师职称的得2分；技术负责人具备硕士研究生学历的得2分，技术负责人具备本科学历的得1分；本项最多得5分。 3、投标人根据项目情况提供拟承担本项目的运维团队成员（团队人员不包含项目经理及技术负责人），团队成员具有化工或环境或安全相关专业高级及以上工程师职称的每提供一人的2分，团队成员具有化工或环境或安全相关专业中级工程师职称的每提供一人的1分；人员职称不重复计分，本项最多得15分。 注：上述人员要求提供身份证复印件、资质证书复印件、学历证书复印件、单位缴纳的2025年9月1日至投标截止之日连续三个月社保缴纳证明材料复印件，并加盖公章，未提供不得分。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质量保证解决方案</w:t>
            </w:r>
          </w:p>
        </w:tc>
        <w:tc>
          <w:tcPr>
            <w:tcW w:type="dxa" w:w="2492"/>
          </w:tcPr>
          <w:p>
            <w:pPr>
              <w:pStyle w:val="null3"/>
            </w:pPr>
            <w:r>
              <w:rPr>
                <w:rFonts w:ascii="仿宋_GB2312" w:hAnsi="仿宋_GB2312" w:cs="仿宋_GB2312" w:eastAsia="仿宋_GB2312"/>
              </w:rPr>
              <w:t>制定了完善的质量保障解决方案，科学合理可行得 ［6-8］分；提供了简单、通用的质量保障解决方案，得［3-6）分；质量保证解决方案可行性较差得 ［0-3）分，不提供不得分。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应用培训方案（包括现场培训、远程培训）全面完善、科学，可行性及针对性强，能够完全满足招标人实际需要的，得［4-6］分；应用培训方案（包括现场培训、远程培训）较为全面、科学，可行性 ，能够较好满足招标人实际需要的，得［2-4）分 ；应用培训方案（包括现场培训、远程培训）不完整，可行性较差，无法满足招标人实际需要的，得［0-2）分；不提供不得分。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为更好的服务于本项目，对项目提出合理化建议， 提出的合理化建议切实针对本项目，有前瞻性具有很好 借鉴意义得［4-5］分；提出的合理化建议可行但并不具备借鉴意义得［2-4）分；提出的合理化建议有明显漏洞得［0-2）分，不提供不得分。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12月 1 日至今的类似业绩（合同签订日期或中标通知书发出日期），每提供 1 个业绩得2 分，最高得 6分。以合同复印件或中标通知书复印件加盖单位公章为准。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 10 分。 3.按(有效最低报价/有效投标报价)x10的公式计算其得分。 4.投标报价不完整的，不进入评标标准价的计算，本项得0分, 5.经评委一致认定，投标人的投标总报价低于公认市场成本，或超过采购预算，其投标将被拒绝。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