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版本号：ZCSP-卤阳湖开发区-2025-00004-0220250925001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渭南经开区国民经济和社会发展第十五个五年规划纲要编制项目(二次)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ZCSP-卤阳湖开发区-2025-00004-02</w:t>
      </w:r>
      <w:r>
        <w:br/>
      </w:r>
      <w:r>
        <w:br/>
      </w:r>
      <w:r>
        <w:br/>
      </w:r>
    </w:p>
    <w:p>
      <w:pPr>
        <w:pStyle w:val="null3"/>
        <w:jc w:val="center"/>
        <w:outlineLvl w:val="2"/>
      </w:pPr>
      <w:r>
        <w:rPr>
          <w:rFonts w:ascii="仿宋_GB2312" w:hAnsi="仿宋_GB2312" w:cs="仿宋_GB2312" w:eastAsia="仿宋_GB2312"/>
          <w:sz w:val="28"/>
          <w:b/>
        </w:rPr>
        <w:t>渭南经开区发展和改革局（渭南经开区行政审批局）</w:t>
      </w:r>
    </w:p>
    <w:p>
      <w:pPr>
        <w:pStyle w:val="null3"/>
        <w:jc w:val="center"/>
        <w:outlineLvl w:val="2"/>
      </w:pPr>
      <w:r>
        <w:rPr>
          <w:rFonts w:ascii="仿宋_GB2312" w:hAnsi="仿宋_GB2312" w:cs="仿宋_GB2312" w:eastAsia="仿宋_GB2312"/>
          <w:sz w:val="28"/>
          <w:b/>
        </w:rPr>
        <w:t>国正聚源工程咨询集团有限公司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国正聚源工程咨询集团有限公司</w:t>
      </w:r>
      <w:r>
        <w:rPr>
          <w:rFonts w:ascii="仿宋_GB2312" w:hAnsi="仿宋_GB2312" w:cs="仿宋_GB2312" w:eastAsia="仿宋_GB2312"/>
        </w:rPr>
        <w:t>（以下简称“代理机构”）受</w:t>
      </w:r>
      <w:r>
        <w:rPr>
          <w:rFonts w:ascii="仿宋_GB2312" w:hAnsi="仿宋_GB2312" w:cs="仿宋_GB2312" w:eastAsia="仿宋_GB2312"/>
        </w:rPr>
        <w:t>渭南经开区发展和改革局（渭南经开区行政审批局）</w:t>
      </w:r>
      <w:r>
        <w:rPr>
          <w:rFonts w:ascii="仿宋_GB2312" w:hAnsi="仿宋_GB2312" w:cs="仿宋_GB2312" w:eastAsia="仿宋_GB2312"/>
        </w:rPr>
        <w:t>委托，拟对</w:t>
      </w:r>
      <w:r>
        <w:rPr>
          <w:rFonts w:ascii="仿宋_GB2312" w:hAnsi="仿宋_GB2312" w:cs="仿宋_GB2312" w:eastAsia="仿宋_GB2312"/>
        </w:rPr>
        <w:t>渭南经开区国民经济和社会发展第十五个五年规划纲要编制项目(二次)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ZCSP-卤阳湖开发区-2025-00004-02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渭南经开区国民经济和社会发展第十五个五年规划纲要编制项目(二次)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渭南经开区国民经济和社会发展第十五个五年规划纲要编制，并审核通过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1、具有独立承担民事责任的能力：具有独立承担民事责任能力的法人或其他组织提供营业执照等合法证明文件</w:t>
      </w:r>
    </w:p>
    <w:p>
      <w:pPr>
        <w:pStyle w:val="null3"/>
      </w:pPr>
      <w:r>
        <w:rPr>
          <w:rFonts w:ascii="仿宋_GB2312" w:hAnsi="仿宋_GB2312" w:cs="仿宋_GB2312" w:eastAsia="仿宋_GB2312"/>
        </w:rPr>
        <w:t>2、应授权合法的人员参加投标全过程：供应商应授权合法的人员参加投标，其中法定代表人直接参加投标，须出具法定代表人身份证，并与营业执照上信息一致。法定代表人授权代表参加投标，须出具法定代表人授权书及授权代表身份证原件</w:t>
      </w:r>
    </w:p>
    <w:p>
      <w:pPr>
        <w:pStyle w:val="null3"/>
      </w:pPr>
      <w:r>
        <w:rPr>
          <w:rFonts w:ascii="仿宋_GB2312" w:hAnsi="仿宋_GB2312" w:cs="仿宋_GB2312" w:eastAsia="仿宋_GB2312"/>
        </w:rPr>
        <w:t>3、健全的财务会计制度的证明材料：提供具有财务审计资质单位出具的2024年度财务审计报告（成立时间至投标文件递交截止时间前不足一年的可提供成立后任意时段的资产负债表）或投标文件递交截止时间前六个月内其基本账户银行出具的资信证明（附基本账户证明）或政府采购信用担保机构出具的担保函。</w:t>
      </w:r>
    </w:p>
    <w:p>
      <w:pPr>
        <w:pStyle w:val="null3"/>
      </w:pPr>
      <w:r>
        <w:rPr>
          <w:rFonts w:ascii="仿宋_GB2312" w:hAnsi="仿宋_GB2312" w:cs="仿宋_GB2312" w:eastAsia="仿宋_GB2312"/>
        </w:rPr>
        <w:t>4、税收缴纳证明和社会保障资金缴纳证明：有依法缴纳税收和社会保障资料的良好记录，提供投标文件递交截止时间前一年内任意一个月的完税证明或缴费凭据（依法免税的供应商应提供相关文件证明）</w:t>
      </w:r>
    </w:p>
    <w:p>
      <w:pPr>
        <w:pStyle w:val="null3"/>
      </w:pPr>
      <w:r>
        <w:rPr>
          <w:rFonts w:ascii="仿宋_GB2312" w:hAnsi="仿宋_GB2312" w:cs="仿宋_GB2312" w:eastAsia="仿宋_GB2312"/>
        </w:rPr>
        <w:t>5、具有履行本合同所必需的设备和专业技术能力的说明及承诺：具有履行本合同所必需的设备和专业技术能力的说明及承诺，提供承诺书</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企业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9、投标保证金：投标保证金缴纳符合要求</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渭南经开区发展和改革局（渭南经开区行政审批局）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渭南经济技术开发区南阳大道101号创业大楼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0913-3338160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国正聚源工程咨询集团有限公司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陕西省西安市雁塔区陕西省西安市雁塔区小寨东路126号百隆广场1幢1单元1803-1804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15129916448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卤阳湖开发区政府采购管理股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刘凯</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18729849137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开户名称：国正聚源工程咨询集团有限公司渭南分公司</w:t>
            </w:r>
          </w:p>
          <w:p>
            <w:pPr>
              <w:pStyle w:val="null3"/>
            </w:pPr>
            <w:r>
              <w:rPr>
                <w:rFonts w:ascii="仿宋_GB2312" w:hAnsi="仿宋_GB2312" w:cs="仿宋_GB2312" w:eastAsia="仿宋_GB2312"/>
              </w:rPr>
              <w:t>开户银行：中国建设银行股份有限公司渭南电信支行</w:t>
            </w:r>
          </w:p>
          <w:p>
            <w:pPr>
              <w:pStyle w:val="null3"/>
            </w:pPr>
            <w:r>
              <w:rPr>
                <w:rFonts w:ascii="仿宋_GB2312" w:hAnsi="仿宋_GB2312" w:cs="仿宋_GB2312" w:eastAsia="仿宋_GB2312"/>
              </w:rPr>
              <w:t>银行账号：61050164280000000282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渭南经开区发展和改革局（渭南经开区行政审批局）</w:t>
      </w:r>
      <w:r>
        <w:rPr>
          <w:rFonts w:ascii="仿宋_GB2312" w:hAnsi="仿宋_GB2312" w:cs="仿宋_GB2312" w:eastAsia="仿宋_GB2312"/>
        </w:rPr>
        <w:t>和</w:t>
      </w:r>
      <w:r>
        <w:rPr>
          <w:rFonts w:ascii="仿宋_GB2312" w:hAnsi="仿宋_GB2312" w:cs="仿宋_GB2312" w:eastAsia="仿宋_GB2312"/>
        </w:rPr>
        <w:t>国正聚源工程咨询集团有限公司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渭南经开区发展和改革局（渭南经开区行政审批局）</w:t>
      </w:r>
      <w:r>
        <w:rPr>
          <w:rFonts w:ascii="仿宋_GB2312" w:hAnsi="仿宋_GB2312" w:cs="仿宋_GB2312" w:eastAsia="仿宋_GB2312"/>
        </w:rPr>
        <w:t>负责解释。除上述招标文件内容，其他内容由</w:t>
      </w:r>
      <w:r>
        <w:rPr>
          <w:rFonts w:ascii="仿宋_GB2312" w:hAnsi="仿宋_GB2312" w:cs="仿宋_GB2312" w:eastAsia="仿宋_GB2312"/>
        </w:rPr>
        <w:t>国正聚源工程咨询集团有限公司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渭南经开区发展和改革局（渭南经开区行政审批局）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国正聚源工程咨询集团有限公司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符合行业规范，达到合格要求且符合采购人要求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联系人：席工</w:t>
      </w:r>
    </w:p>
    <w:p>
      <w:pPr>
        <w:pStyle w:val="null3"/>
      </w:pPr>
      <w:r>
        <w:rPr>
          <w:rFonts w:ascii="仿宋_GB2312" w:hAnsi="仿宋_GB2312" w:cs="仿宋_GB2312" w:eastAsia="仿宋_GB2312"/>
        </w:rPr>
        <w:t>联系电话：15129916448</w:t>
      </w:r>
    </w:p>
    <w:p>
      <w:pPr>
        <w:pStyle w:val="null3"/>
      </w:pPr>
      <w:r>
        <w:rPr>
          <w:rFonts w:ascii="仿宋_GB2312" w:hAnsi="仿宋_GB2312" w:cs="仿宋_GB2312" w:eastAsia="仿宋_GB2312"/>
        </w:rPr>
        <w:t>地址：陕西省西安市雁塔区陕西省西安市雁塔区小寨东路126号百隆广场1幢1单元1803-1804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渭南经开区国民经济和社会发展第十五个五年规划纲要编制，并审核通过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渭南经开区国民经济和社会发展第十五个五年规划纲要编制项目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标的名称：渭南经开区国民经济和社会发展第十五个五年规划纲要编制项目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color w:val="000000"/>
              </w:rPr>
              <w:t>采购内容：</w:t>
            </w:r>
            <w:r>
              <w:rPr>
                <w:rFonts w:ascii="仿宋_GB2312" w:hAnsi="仿宋_GB2312" w:cs="仿宋_GB2312" w:eastAsia="仿宋_GB2312"/>
                <w:sz w:val="21"/>
                <w:color w:val="000000"/>
              </w:rPr>
              <w:t>渭南经开区国民经济和社会发展第十五个五年规划纲要编制，并审核通过。</w:t>
            </w:r>
          </w:p>
          <w:p>
            <w:pPr>
              <w:pStyle w:val="null3"/>
            </w:pPr>
            <w:r>
              <w:rPr>
                <w:rFonts w:ascii="仿宋_GB2312" w:hAnsi="仿宋_GB2312" w:cs="仿宋_GB2312" w:eastAsia="仿宋_GB2312"/>
                <w:sz w:val="21"/>
                <w:color w:val="000000"/>
              </w:rPr>
              <w:t>2、服务内容：</w:t>
            </w:r>
          </w:p>
          <w:p>
            <w:pPr>
              <w:pStyle w:val="null3"/>
            </w:pPr>
            <w:r>
              <w:rPr>
                <w:rFonts w:ascii="仿宋_GB2312" w:hAnsi="仿宋_GB2312" w:cs="仿宋_GB2312" w:eastAsia="仿宋_GB2312"/>
                <w:sz w:val="21"/>
                <w:color w:val="000000"/>
              </w:rPr>
              <w:t>总结评估渭南经开区“十四五”时期的发展情况，科学谋划全区“十五五”时期发展思路、主要目标指标、重点任务举措、重大工程项目等，高标准高质量编制“十五五”规划纲要。</w:t>
            </w:r>
          </w:p>
          <w:p>
            <w:pPr>
              <w:pStyle w:val="null3"/>
            </w:pPr>
            <w:r>
              <w:rPr>
                <w:rFonts w:ascii="仿宋_GB2312" w:hAnsi="仿宋_GB2312" w:cs="仿宋_GB2312" w:eastAsia="仿宋_GB2312"/>
                <w:sz w:val="21"/>
                <w:color w:val="000000"/>
              </w:rPr>
              <w:t>3、时间要求：自合同签订之日起至2026年3月31日。确保</w:t>
            </w:r>
            <w:r>
              <w:rPr>
                <w:rFonts w:ascii="仿宋_GB2312" w:hAnsi="仿宋_GB2312" w:cs="仿宋_GB2312" w:eastAsia="仿宋_GB2312"/>
                <w:sz w:val="21"/>
                <w:color w:val="000000"/>
              </w:rPr>
              <w:t>渭南经开区国民经济和社会发展第十五个五年规划纲要编制项目按程序报区党</w:t>
            </w:r>
            <w:r>
              <w:rPr>
                <w:rFonts w:ascii="仿宋_GB2312" w:hAnsi="仿宋_GB2312" w:cs="仿宋_GB2312" w:eastAsia="仿宋_GB2312"/>
                <w:sz w:val="21"/>
                <w:color w:val="000000"/>
              </w:rPr>
              <w:t>工委、管委会，并通过审定。</w:t>
            </w:r>
          </w:p>
          <w:p>
            <w:pPr>
              <w:pStyle w:val="null3"/>
            </w:pPr>
            <w:r>
              <w:rPr>
                <w:rFonts w:ascii="仿宋_GB2312" w:hAnsi="仿宋_GB2312" w:cs="仿宋_GB2312" w:eastAsia="仿宋_GB2312"/>
                <w:sz w:val="21"/>
                <w:color w:val="000000"/>
              </w:rPr>
              <w:t>4、其他要求：</w:t>
            </w:r>
          </w:p>
          <w:p>
            <w:pPr>
              <w:pStyle w:val="null3"/>
            </w:pPr>
            <w:r>
              <w:rPr>
                <w:rFonts w:ascii="仿宋_GB2312" w:hAnsi="仿宋_GB2312" w:cs="仿宋_GB2312" w:eastAsia="仿宋_GB2312"/>
                <w:sz w:val="21"/>
                <w:color w:val="000000"/>
              </w:rPr>
              <w:t>（1）具体要求</w:t>
            </w:r>
          </w:p>
          <w:p>
            <w:pPr>
              <w:pStyle w:val="null3"/>
            </w:pPr>
            <w:r>
              <w:rPr>
                <w:rFonts w:ascii="仿宋_GB2312" w:hAnsi="仿宋_GB2312" w:cs="仿宋_GB2312" w:eastAsia="仿宋_GB2312"/>
                <w:sz w:val="21"/>
                <w:color w:val="000000"/>
              </w:rPr>
              <w:t>1）技术要求（内容质量）</w:t>
            </w:r>
          </w:p>
          <w:p>
            <w:pPr>
              <w:pStyle w:val="null3"/>
            </w:pPr>
            <w:r>
              <w:rPr>
                <w:rFonts w:ascii="仿宋_GB2312" w:hAnsi="仿宋_GB2312" w:cs="仿宋_GB2312" w:eastAsia="仿宋_GB2312"/>
                <w:sz w:val="21"/>
                <w:color w:val="000000"/>
              </w:rPr>
              <w:t>①.政策衔接性：需严格符合国家、陕西省、渭南市宏观政策导向，并与国家、陕西省、渭南市“十五五”发展规划等充分衔接。</w:t>
            </w:r>
          </w:p>
          <w:p>
            <w:pPr>
              <w:pStyle w:val="null3"/>
            </w:pPr>
            <w:r>
              <w:rPr>
                <w:rFonts w:ascii="仿宋_GB2312" w:hAnsi="仿宋_GB2312" w:cs="仿宋_GB2312" w:eastAsia="仿宋_GB2312"/>
                <w:sz w:val="21"/>
                <w:color w:val="000000"/>
              </w:rPr>
              <w:t>②.科学性与可操作性：数据准确可靠，采用数据驱动方法（如统计分析、模型预测），合理量化主要目标；路径举措需具实践性、可操作性。</w:t>
            </w:r>
          </w:p>
          <w:p>
            <w:pPr>
              <w:pStyle w:val="null3"/>
            </w:pPr>
            <w:r>
              <w:rPr>
                <w:rFonts w:ascii="仿宋_GB2312" w:hAnsi="仿宋_GB2312" w:cs="仿宋_GB2312" w:eastAsia="仿宋_GB2312"/>
                <w:sz w:val="21"/>
                <w:color w:val="000000"/>
              </w:rPr>
              <w:t>③.创新性：衔接国家“双碳”战略，贯彻新发展理念，促进绿色低碳、人工智能、数字经济等领域发展，探索未来产业发展。</w:t>
            </w:r>
          </w:p>
          <w:p>
            <w:pPr>
              <w:pStyle w:val="null3"/>
            </w:pPr>
            <w:r>
              <w:rPr>
                <w:rFonts w:ascii="仿宋_GB2312" w:hAnsi="仿宋_GB2312" w:cs="仿宋_GB2312" w:eastAsia="仿宋_GB2312"/>
                <w:sz w:val="21"/>
                <w:color w:val="000000"/>
              </w:rPr>
              <w:t>（2）服务要求（执行标准）</w:t>
            </w:r>
          </w:p>
          <w:p>
            <w:pPr>
              <w:pStyle w:val="null3"/>
            </w:pPr>
            <w:r>
              <w:rPr>
                <w:rFonts w:ascii="仿宋_GB2312" w:hAnsi="仿宋_GB2312" w:cs="仿宋_GB2312" w:eastAsia="仿宋_GB2312"/>
                <w:sz w:val="21"/>
                <w:color w:val="000000"/>
              </w:rPr>
              <w:t>①.团队配置：供应商组建专业团队，包括项目负责人1名（须具备相关专业高级职称且在本单位注册）、核心成员不少于5人（中级及以上职称，具有农业林业、水利水电、石化化工医药等专业技术人员，擅长数据收集、处理、战略设计等）、专家支持（建立了专家库）。</w:t>
            </w:r>
          </w:p>
          <w:p>
            <w:pPr>
              <w:pStyle w:val="null3"/>
            </w:pPr>
            <w:r>
              <w:rPr>
                <w:rFonts w:ascii="仿宋_GB2312" w:hAnsi="仿宋_GB2312" w:cs="仿宋_GB2312" w:eastAsia="仿宋_GB2312"/>
                <w:sz w:val="21"/>
                <w:color w:val="000000"/>
              </w:rPr>
              <w:t>②.保密与合规：严格遵守国家保密法律法规，未经采购人同意，关于本项目的任何情况及数据不得私自对外发布或散播。</w:t>
            </w:r>
          </w:p>
          <w:p>
            <w:pPr>
              <w:pStyle w:val="null3"/>
            </w:pPr>
            <w:r>
              <w:rPr>
                <w:rFonts w:ascii="仿宋_GB2312" w:hAnsi="仿宋_GB2312" w:cs="仿宋_GB2312" w:eastAsia="仿宋_GB2312"/>
                <w:sz w:val="21"/>
                <w:color w:val="000000"/>
              </w:rPr>
              <w:t>③.履约保障：制定详细工作计划（含风险管理预案）；需配合现场调研、汇报会议。</w:t>
            </w:r>
          </w:p>
          <w:p>
            <w:pPr>
              <w:pStyle w:val="null3"/>
            </w:pPr>
            <w:r>
              <w:rPr>
                <w:rFonts w:ascii="仿宋_GB2312" w:hAnsi="仿宋_GB2312" w:cs="仿宋_GB2312" w:eastAsia="仿宋_GB2312"/>
                <w:sz w:val="21"/>
                <w:color w:val="000000"/>
              </w:rPr>
              <w:t>（3）质量验收要求</w:t>
            </w:r>
          </w:p>
          <w:p>
            <w:pPr>
              <w:pStyle w:val="null3"/>
            </w:pPr>
            <w:r>
              <w:rPr>
                <w:rFonts w:ascii="仿宋_GB2312" w:hAnsi="仿宋_GB2312" w:cs="仿宋_GB2312" w:eastAsia="仿宋_GB2312"/>
                <w:sz w:val="21"/>
                <w:color w:val="000000"/>
              </w:rPr>
              <w:t>验收标准：需符合国家、地方和行业标准及现行有关规范标准。</w:t>
            </w:r>
          </w:p>
          <w:p>
            <w:pPr>
              <w:pStyle w:val="null3"/>
            </w:pPr>
            <w:r>
              <w:rPr>
                <w:rFonts w:ascii="仿宋_GB2312" w:hAnsi="仿宋_GB2312" w:cs="仿宋_GB2312" w:eastAsia="仿宋_GB2312"/>
                <w:sz w:val="21"/>
                <w:color w:val="000000"/>
              </w:rPr>
              <w:t>5、支付方式：</w:t>
            </w:r>
          </w:p>
          <w:p>
            <w:pPr>
              <w:pStyle w:val="null3"/>
            </w:pPr>
            <w:r>
              <w:rPr>
                <w:rFonts w:ascii="仿宋_GB2312" w:hAnsi="仿宋_GB2312" w:cs="仿宋_GB2312" w:eastAsia="仿宋_GB2312"/>
                <w:sz w:val="21"/>
                <w:color w:val="000000"/>
              </w:rPr>
              <w:t>1.合同签订后，甲方在收到乙方开具发票后向乙方支付30%合同额。达到付款条件起10日内，支付合同总金额的30%。</w:t>
            </w:r>
            <w:r>
              <w:br/>
            </w:r>
            <w:r>
              <w:rPr>
                <w:rFonts w:ascii="仿宋_GB2312" w:hAnsi="仿宋_GB2312" w:cs="仿宋_GB2312" w:eastAsia="仿宋_GB2312"/>
                <w:sz w:val="21"/>
                <w:color w:val="000000"/>
              </w:rPr>
              <w:t xml:space="preserve"> 2.乙方完成《渭南经开区国民经济和社会发展第十五个五年规划纲要》编制后，甲方在收到乙方开具发票后向乙方支付40%合同额。达到付款条件起10日内，支付合同总金额的40%。</w:t>
            </w:r>
            <w:r>
              <w:br/>
            </w:r>
            <w:r>
              <w:rPr>
                <w:rFonts w:ascii="仿宋_GB2312" w:hAnsi="仿宋_GB2312" w:cs="仿宋_GB2312" w:eastAsia="仿宋_GB2312"/>
                <w:sz w:val="21"/>
                <w:color w:val="000000"/>
              </w:rPr>
              <w:t xml:space="preserve"> 3.乙方完成《渭南经开区国民经济和社会发展第十五个五年规划纲要》，经审查通过后，甲方在收到乙方开具发票后向乙方支付30%合同额。达到付款条件起10日内，支付合同总金额的30%。</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项目人员配备合理、专业人员分工、职责明确，能够满足本项目服务需求: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渭南经开区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符合行业规范，达到合格要求且符合采购人要求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合同签订后，甲方在收到乙方开具发票后向乙方支付30%合同额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乙方完成《渭南经开区国民经济和社会发展第十五个五年规划纲要》编制后，甲方在收到乙方开具发票后向乙方支付40%合同额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乙方完成《渭南经开区国民经济和社会发展第十五个五年规划纲要》，经审查通过后，甲方在收到乙方开具发票后向乙方支付30%合同额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服务方案.pdf 投标函 中小企业声明函 残疾人福利性单位声明函 商务应答表 标的清单 投标文件封面 投标人应提交的相关资格证明材料 监狱企业的证明文件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 供应商资格证明文件.pdf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具有独立承担民事责任能力的法人或其他组织提供营业执照等合法证明文件</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应授权合法的人员参加投标全过程</w:t>
            </w:r>
          </w:p>
        </w:tc>
        <w:tc>
          <w:tcPr>
            <w:tcW w:type="dxa" w:w="3322"/>
          </w:tcPr>
          <w:p>
            <w:pPr>
              <w:pStyle w:val="null3"/>
            </w:pPr>
            <w:r>
              <w:rPr>
                <w:rFonts w:ascii="仿宋_GB2312" w:hAnsi="仿宋_GB2312" w:cs="仿宋_GB2312" w:eastAsia="仿宋_GB2312"/>
              </w:rPr>
              <w:t>供应商应授权合法的人员参加投标，其中法定代表人直接参加投标，须出具法定代表人身份证，并与营业执照上信息一致。法定代表人授权代表参加投标，须出具法定代表人授权书及授权代表身份证原件</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审计报告（成立时间至投标文件递交截止时间前不足一年的可提供成立后任意时段的资产负债表）或投标文件递交截止时间前六个月内其基本账户银行出具的资信证明（附基本账户证明）或政府采购信用担保机构出具的担保函。</w:t>
            </w:r>
          </w:p>
        </w:tc>
        <w:tc>
          <w:tcPr>
            <w:tcW w:type="dxa" w:w="1661"/>
          </w:tcPr>
          <w:p>
            <w:pPr>
              <w:pStyle w:val="null3"/>
            </w:pPr>
            <w:r>
              <w:rPr>
                <w:rFonts w:ascii="仿宋_GB2312" w:hAnsi="仿宋_GB2312" w:cs="仿宋_GB2312" w:eastAsia="仿宋_GB2312"/>
              </w:rPr>
              <w:t>供应商资格证明文件.pdf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有依法缴纳税收和社会保障资料的良好记录，提供投标文件递交截止时间前一年内任意一个月的完税证明或缴费凭据（依法免税的供应商应提供相关文件证明）</w:t>
            </w:r>
          </w:p>
        </w:tc>
        <w:tc>
          <w:tcPr>
            <w:tcW w:type="dxa" w:w="1661"/>
          </w:tcPr>
          <w:p>
            <w:pPr>
              <w:pStyle w:val="null3"/>
            </w:pPr>
            <w:r>
              <w:rPr>
                <w:rFonts w:ascii="仿宋_GB2312" w:hAnsi="仿宋_GB2312" w:cs="仿宋_GB2312" w:eastAsia="仿宋_GB2312"/>
              </w:rPr>
              <w:t>供应商资格证明文件.pdf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具有履行本合同所必需的设备和专业技术能力的说明及承诺，提供承诺书</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供应商资格证明文件.pdf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投标保证金缴纳符合要求</w:t>
            </w:r>
          </w:p>
        </w:tc>
        <w:tc>
          <w:tcPr>
            <w:tcW w:type="dxa" w:w="1661"/>
          </w:tcPr>
          <w:p>
            <w:pPr>
              <w:pStyle w:val="null3"/>
            </w:pPr>
            <w:r>
              <w:rPr>
                <w:rFonts w:ascii="仿宋_GB2312" w:hAnsi="仿宋_GB2312" w:cs="仿宋_GB2312" w:eastAsia="仿宋_GB2312"/>
              </w:rPr>
              <w:t>投标人应提交的相关资格证明材料 供应商资格证明文件.pdf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总体工作方案</w:t>
            </w:r>
          </w:p>
        </w:tc>
        <w:tc>
          <w:tcPr>
            <w:tcW w:type="dxa" w:w="2492"/>
          </w:tcPr>
          <w:p>
            <w:pPr>
              <w:pStyle w:val="null3"/>
            </w:pPr>
            <w:r>
              <w:rPr>
                <w:rFonts w:ascii="仿宋_GB2312" w:hAnsi="仿宋_GB2312" w:cs="仿宋_GB2312" w:eastAsia="仿宋_GB2312"/>
              </w:rPr>
              <w:t>1.评审内容：供应商针对本项目制定的总体工作方案，包含①项目需求，②目标任务，③工作流程，④实施方案。 2.评审标准：①完整性：服务方案须全面，思路清晰、分析透彻，内容完整、方案科学、合理；②可实施性；切合本项目实际情况，步骤明确、可操作性强；③针对性：总体方案能够紧扣项目实际情况，专业性强、内容科学、合理。 3.赋分标准（满分20分）：①每一项评审内容完全满足评审标准得5分；②每一项评审内容若存在方案不明确、不够合理、不完整、针对性不强等方面，扣1.5分；③每一项评审内容不提供或完全背离评审标准得0分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1.评审内容：项目实施计划，包含①开展重大工程项目谋划储备培训；②实地调研；③项目评选论证；④编制与入库申报；⑤与国家、陕西省、渭南市衔接等工作。 2.评审标准：①完整性：内容全面，完整、科学、合理；②可实施性；切合本项目实际情况，思路明确、可操作性强；③针对性：能够紧扣项目实际情况，内容科学、合理。 3.赋分标准（满分25分）：①每一项评审内容完全满足评审标准得5分；②每一项评审内容若存在方案不够明确、不够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1.拟任本项目的项目负责人具备相关专业高级职称(提供注册证书，注册单位应与投标单位名称一致)得1分。具有高级职称的计2分；具有中级职称的计1分；其他的不得分，提供相关证书。 2.拟任项目负责人具有类似业绩的得2分；业绩提供中标通知书或合同复印件，能体现项目负责人姓名。 注：拟任项目负责人还需提供在本单位缴纳社会保险证明并加盖供应商公章。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拟投入本项目的其他专业技术人员(不含项目负责人)，技术人员配备合理、专业人员分工、职责明确，能够满足本项目服务需求： （1）技术人员配备充足（10人以上），专业配置合理全面（5个专业以上），专业能力强（5人以上提供类似业绩），能全面高效地完成本项目的计10分； （2）人员配备合理（5人至10人），专业配置合理（3个专业以上），专业能力一般（3人至5人提供类似业绩），满足本项目基本工作需要的计5分； （3）人员配备不足（不足5人），专业配置不足（3个专业以下），专业能力差（3人以下提供类似业绩），无法满足本项目基本工作需要的不得分； 注：①其他专业指：农业、林业；水利水电；电力（火电、水电、核电、新能源）；煤炭；石油天然气；公路；铁路、城市轨道交通；民航；水运（含港口河海工程）；电子、信息工程师（含通信、广电、信息话）；冶金（含钢铁、有色）；石化、化工、医药；核工业；机械（含智能制造）；轻工、纺织；建材；建筑；市政公用工程师；生态建设和环境工程；水文地质、工程测量、岩土工程等。 ②以上人员还需提供在本单位缴纳社会保险证明并加盖投标人公章，退休人员须提供退休证明及本单位劳动合同。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项目进度计划及质量保证措施</w:t>
            </w:r>
          </w:p>
        </w:tc>
        <w:tc>
          <w:tcPr>
            <w:tcW w:type="dxa" w:w="2492"/>
          </w:tcPr>
          <w:p>
            <w:pPr>
              <w:pStyle w:val="null3"/>
            </w:pPr>
            <w:r>
              <w:rPr>
                <w:rFonts w:ascii="仿宋_GB2312" w:hAnsi="仿宋_GB2312" w:cs="仿宋_GB2312" w:eastAsia="仿宋_GB2312"/>
              </w:rPr>
              <w:t>1.评审内容：供应商针对本项目提供项目进度计划及质量保证措施，内容包括：①各阶段工作计划及保证措施；②各阶段质量保证措施。 2.评审标准①完整性：保障措施须全面，完整、科学、合理；②可实施性；切合本项目实际情况，思路明确、可操作性强；③针对性：能够紧扣项目实际情况，内容科学、合理。 3.赋分标准（满分10分）①每一项评审内容完全满足评审标准得5分；②每一项评审内容若存在不够明确、不够合理、不完整、针对性不强等方面，扣1.5分；③每一项评审内容不提供或完全背离评审标准得0分。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1.评审内容：后期服务配合计划，包括①为采购人提供相关技术咨询，②优化建议等措施，③配合采购人提供相应的成果及相关材料，④配合采购人完成汇报演示、成果验收及报批等相关工作。 2.评审标准①完整性：后期服务配合计划全面，完整、科学、合理；②可实施性；切合本项目实际情况，思路明确、可操作性强；③针对性：能够紧扣项目实际情况，内容科学、合理。 3.赋分标准（满分10分）①每一项评审内容完全满足评审标准得2.5分；②每一项评审内容若存在不够明确、不够合理、不完整、针对性不强等方面，扣1分；③每一项评审内容不提供或完全背离评审标准得0分。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投标人提供近3年(2022年1月至今)类似业绩：有一项得2分，本项最高得10分； 投标人需提供中标通知书或合同或成果文件复印件。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格分统一采用低价优先法计算，即满足招标文件要求且投标价格最低的报价为评标基准价，，其价格分为满分。其他投标人的价格分统一按照下列公式计算:报价得分=评审基准价/有效投标报价x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详见附件：服务方案.pdf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