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版本号：LZYZB-2025120320260119001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蒲城高新技术产业开发区发展规划及产业规划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LZYZB-20251203</w:t>
      </w:r>
      <w:r>
        <w:br/>
      </w:r>
      <w:r>
        <w:br/>
      </w:r>
      <w:r>
        <w:br/>
      </w:r>
    </w:p>
    <w:p>
      <w:pPr>
        <w:pStyle w:val="null3"/>
        <w:jc w:val="center"/>
        <w:outlineLvl w:val="2"/>
      </w:pPr>
      <w:r>
        <w:rPr>
          <w:rFonts w:ascii="仿宋_GB2312" w:hAnsi="仿宋_GB2312" w:cs="仿宋_GB2312" w:eastAsia="仿宋_GB2312"/>
          <w:sz w:val="28"/>
          <w:b/>
        </w:rPr>
        <w:t>渭南经开区新材料产业聚集区管理办公室</w:t>
      </w:r>
    </w:p>
    <w:p>
      <w:pPr>
        <w:pStyle w:val="null3"/>
        <w:jc w:val="center"/>
        <w:outlineLvl w:val="2"/>
      </w:pPr>
      <w:r>
        <w:rPr>
          <w:rFonts w:ascii="仿宋_GB2312" w:hAnsi="仿宋_GB2312" w:cs="仿宋_GB2312" w:eastAsia="仿宋_GB2312"/>
          <w:sz w:val="28"/>
          <w:b/>
        </w:rPr>
        <w:t>洛之源项目管理有限公司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洛之源项目管理有限公司</w:t>
      </w:r>
      <w:r>
        <w:rPr>
          <w:rFonts w:ascii="仿宋_GB2312" w:hAnsi="仿宋_GB2312" w:cs="仿宋_GB2312" w:eastAsia="仿宋_GB2312"/>
        </w:rPr>
        <w:t>（以下简称“代理机构”）受</w:t>
      </w:r>
      <w:r>
        <w:rPr>
          <w:rFonts w:ascii="仿宋_GB2312" w:hAnsi="仿宋_GB2312" w:cs="仿宋_GB2312" w:eastAsia="仿宋_GB2312"/>
        </w:rPr>
        <w:t>渭南经开区新材料产业聚集区管理办公室</w:t>
      </w:r>
      <w:r>
        <w:rPr>
          <w:rFonts w:ascii="仿宋_GB2312" w:hAnsi="仿宋_GB2312" w:cs="仿宋_GB2312" w:eastAsia="仿宋_GB2312"/>
        </w:rPr>
        <w:t>委托，拟对</w:t>
      </w:r>
      <w:r>
        <w:rPr>
          <w:rFonts w:ascii="仿宋_GB2312" w:hAnsi="仿宋_GB2312" w:cs="仿宋_GB2312" w:eastAsia="仿宋_GB2312"/>
        </w:rPr>
        <w:t>蒲城高新技术产业开发区发展规划及产业规划</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LZYZB-20251203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蒲城高新技术产业开发区发展规划及产业规划</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1.项目名称：蒲城高新技术产业开发区发展规划及产业规划； 2.工程地点：蒲城县县城南部，距县城3公里，距京昆高速蒲城出口1公里，距西安咸阳国际机场1小时车程，交通便利。分东西两区，东区为渭北煤化工业园区，西区为蒲城高新技术产业开发区精细化工片区； 3.工程范围：本次规划范围涉为蒲城高新技术产业开发区精细化工片区。蒲城高新技术产业开发区精细化工片区规划规划范围东起渭清路，西达东山村，南至纬三路，北至纬一路，规划面积 4.18平方公里。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 提供合法有效的统一社会信用代码营业执照（事业单位法人证书/专业服务机构执业许可证/民办非企业单位登记证书，自然人提供身份证）：具有独立承担民事责任能力的法人、其他组织或自然人， 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财务状况报告：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5、提供具有履行本合同所必需的专业技术能力的书面声明：提供具有履行本合同所必需的专业技术能力的书面声明；</w:t>
      </w:r>
    </w:p>
    <w:p>
      <w:pPr>
        <w:pStyle w:val="null3"/>
      </w:pPr>
      <w:r>
        <w:rPr>
          <w:rFonts w:ascii="仿宋_GB2312" w:hAnsi="仿宋_GB2312" w:cs="仿宋_GB2312" w:eastAsia="仿宋_GB2312"/>
        </w:rPr>
        <w:t>6、书面声明：参加本次政府采购活动前3年内在经营活动中没有重大违纪，以及未被列入失信被执行人、重大税收违法失信主体、政府采购严重违法失信行为记录名单的书面声明;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直接参加磋商的，须出具法定代表人身份证明书及身份证；授权代表参加磋商的，须出具法定代表人授权书及授权代表身份证;：法定代表人直接参加磋商的，须出具法定代表人身份证明书及身份证；授权代表参加磋商的，须出具法定代表人授权书及授权代表身份证;</w:t>
      </w:r>
    </w:p>
    <w:p>
      <w:pPr>
        <w:pStyle w:val="null3"/>
      </w:pPr>
      <w:r>
        <w:rPr>
          <w:rFonts w:ascii="仿宋_GB2312" w:hAnsi="仿宋_GB2312" w:cs="仿宋_GB2312" w:eastAsia="仿宋_GB2312"/>
        </w:rPr>
        <w:t>8、供应商不得为“信用中国”网站（www.creditchina.gov.cn）中列入失信被执行人和重大税收违法失信主体的供应商，不得为中国政府采购网（www.ccgp.gov.cn）政府采购严重违法失信行为记录名单中被财政部门禁止参加政府采购活动的供应商;：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9、供应商同时具有城乡规划编制资质证书乙级资质及工程咨询单位乙级资信评价及以上资质：供应商同时具有城乡规划编制资质证书乙级资质及工程咨询单位乙级资信评价及以上资质；</w:t>
      </w:r>
    </w:p>
    <w:p>
      <w:pPr>
        <w:pStyle w:val="null3"/>
      </w:pPr>
      <w:r>
        <w:rPr>
          <w:rFonts w:ascii="仿宋_GB2312" w:hAnsi="仿宋_GB2312" w:cs="仿宋_GB2312" w:eastAsia="仿宋_GB2312"/>
        </w:rPr>
        <w:t>10、本项目接受联合体响应：本项目接受联合体响应，需提供联合体协议书。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渭南经开区新材料产业聚集区管理办公室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陕西省渭南市蒲城县陈庄镇东鲁村纬二路西段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715511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渭南经开区新材料产业聚集区管理办公室经办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0913-7161011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洛之源项目管理有限公司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陕西省渭南市蒲城县广电大楼东邻4楼401室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715511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0913-2212333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卤阳湖开发区政府采购管理股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刘凯</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0913-7161011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采购包1：1,085,500.00元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开户名称：洛之源项目管理有限公司</w:t>
            </w:r>
          </w:p>
          <w:p>
            <w:pPr>
              <w:pStyle w:val="null3"/>
            </w:pPr>
            <w:r>
              <w:rPr>
                <w:rFonts w:ascii="仿宋_GB2312" w:hAnsi="仿宋_GB2312" w:cs="仿宋_GB2312" w:eastAsia="仿宋_GB2312"/>
              </w:rPr>
              <w:t>开户银行：中国建设银行股份有限公司蒲城县支行</w:t>
            </w:r>
          </w:p>
          <w:p>
            <w:pPr>
              <w:pStyle w:val="null3"/>
            </w:pPr>
            <w:r>
              <w:rPr>
                <w:rFonts w:ascii="仿宋_GB2312" w:hAnsi="仿宋_GB2312" w:cs="仿宋_GB2312" w:eastAsia="仿宋_GB2312"/>
              </w:rPr>
              <w:t>银行账号：61050164780800001150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代理服务费收费标准：国家计委颁发的《招标代理服务收费管理暂行办法》（计价格〔2002〕1980号）及（发改办价格〔2011〕534号）规定计费。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渭南经开区新材料产业聚集区管理办公室</w:t>
      </w:r>
      <w:r>
        <w:rPr>
          <w:rFonts w:ascii="仿宋_GB2312" w:hAnsi="仿宋_GB2312" w:cs="仿宋_GB2312" w:eastAsia="仿宋_GB2312"/>
        </w:rPr>
        <w:t>和</w:t>
      </w:r>
      <w:r>
        <w:rPr>
          <w:rFonts w:ascii="仿宋_GB2312" w:hAnsi="仿宋_GB2312" w:cs="仿宋_GB2312" w:eastAsia="仿宋_GB2312"/>
        </w:rPr>
        <w:t>洛之源项目管理有限公司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渭南经开区新材料产业聚集区管理办公室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洛之源项目管理有限公司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渭南经开区新材料产业聚集区管理办公室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洛之源项目管理有限公司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通过规委会，项目批复</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洛之源项目管理有限公司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洛之源项目管理有限公司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洛之源项目管理有限公司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联系人：苏蕊</w:t>
      </w:r>
    </w:p>
    <w:p>
      <w:pPr>
        <w:pStyle w:val="null3"/>
      </w:pPr>
      <w:r>
        <w:rPr>
          <w:rFonts w:ascii="仿宋_GB2312" w:hAnsi="仿宋_GB2312" w:cs="仿宋_GB2312" w:eastAsia="仿宋_GB2312"/>
        </w:rPr>
        <w:t>联系电话：0913-2212333</w:t>
      </w:r>
    </w:p>
    <w:p>
      <w:pPr>
        <w:pStyle w:val="null3"/>
      </w:pPr>
      <w:r>
        <w:rPr>
          <w:rFonts w:ascii="仿宋_GB2312" w:hAnsi="仿宋_GB2312" w:cs="仿宋_GB2312" w:eastAsia="仿宋_GB2312"/>
        </w:rPr>
        <w:t>地址：陕西省渭南市蒲城县广电大楼东邻4楼401室</w:t>
      </w:r>
    </w:p>
    <w:p>
      <w:pPr>
        <w:pStyle w:val="null3"/>
      </w:pPr>
      <w:r>
        <w:rPr>
          <w:rFonts w:ascii="仿宋_GB2312" w:hAnsi="仿宋_GB2312" w:cs="仿宋_GB2312" w:eastAsia="仿宋_GB2312"/>
        </w:rPr>
        <w:t>邮编：715511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1.项目名称：蒲城高新技术产业开发区发展规划及产业规划； 2.工程地点：蒲城县县城南部，距县城3公里，距京昆高速蒲城出口1公里，距西安咸阳国际机场1小时车程，交通便利。分东西两区，东区为渭北煤化工业园区，西区为蒲城高新技术产业开发区精细化工片区； 3.工程范围：本次规划范围涉为蒲城高新技术产业开发区精细化工片区。蒲城高新技术产业开发区精细化工片区规划规划范围东起渭清路，西达东山村，南至纬三路，北至纬一路，规划面积 4.18平方公里。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1,085,500.00</w:t>
      </w:r>
    </w:p>
    <w:p>
      <w:pPr>
        <w:pStyle w:val="null3"/>
      </w:pPr>
      <w:r>
        <w:rPr>
          <w:rFonts w:ascii="仿宋_GB2312" w:hAnsi="仿宋_GB2312" w:cs="仿宋_GB2312" w:eastAsia="仿宋_GB2312"/>
        </w:rPr>
        <w:t>采购包最高限价（元）: 1,085,500.00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蒲城高新技术产业开发区发展规划及产业规划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1,085,500.00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标的名称：蒲城高新技术产业开发区发展规划及产业规划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）验收标准：按照采购合同的约定和现行国家标准、行业标准。</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）在各项文件编制工作过程中，应坚持独立、客观、公正的原则，认真执行有关法律和法规</w:t>
            </w:r>
            <w:r>
              <w:rPr>
                <w:rFonts w:ascii="仿宋_GB2312" w:hAnsi="仿宋_GB2312" w:cs="仿宋_GB2312" w:eastAsia="仿宋_GB2312"/>
                <w:sz w:val="19"/>
                <w:color w:val="000000"/>
              </w:rPr>
              <w:t>，对出具的文件负相应的法律责任；</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3</w:t>
            </w:r>
            <w:r>
              <w:rPr>
                <w:rFonts w:ascii="仿宋_GB2312" w:hAnsi="仿宋_GB2312" w:cs="仿宋_GB2312" w:eastAsia="仿宋_GB2312"/>
                <w:sz w:val="19"/>
                <w:color w:val="000000"/>
              </w:rPr>
              <w:t>）供应商在执业过程中知悉的国家秘密和商业秘密应遵守国家和有关的保密条例，不得向他</w:t>
            </w:r>
            <w:r>
              <w:rPr>
                <w:rFonts w:ascii="仿宋_GB2312" w:hAnsi="仿宋_GB2312" w:cs="仿宋_GB2312" w:eastAsia="仿宋_GB2312"/>
                <w:sz w:val="19"/>
                <w:color w:val="000000"/>
              </w:rPr>
              <w:t>人提供或泄密。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365日历天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蒲城高新技术产业开发区发</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（1）国家相应的标准及规范，通过专家评审会、规委会及项目批复文件验收通过后视为完成所有服务内容。 （2）验收依据：合同文本；国家有关的验收标准及规范；磋商文件；响应文件；按照合同和根据磋商文件所编写的响应文件中相关的全部文档。</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专家会后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规委会后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成果提交后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 提供合法有效的统一社会信用代码营业执照（事业单位法人证书/专业服务机构执业许可证/民办非企业单位登记证书，自然人提供身份证）</w:t>
            </w:r>
          </w:p>
        </w:tc>
        <w:tc>
          <w:tcPr>
            <w:tcW w:type="dxa" w:w="3322"/>
          </w:tcPr>
          <w:p>
            <w:pPr>
              <w:pStyle w:val="null3"/>
            </w:pPr>
            <w:r>
              <w:rPr>
                <w:rFonts w:ascii="仿宋_GB2312" w:hAnsi="仿宋_GB2312" w:cs="仿宋_GB2312" w:eastAsia="仿宋_GB2312"/>
              </w:rPr>
              <w:t>具有独立承担民事责任能力的法人、其他组织或自然人， 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提供具有履行本合同所必需的专业技术能力的书面声明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法定代表人直接参加磋商的，须出具法定代表人身份证明书及身份证；授权代表参加磋商的，须出具法定代表人授权书及授权代表身份证;</w:t>
            </w:r>
          </w:p>
        </w:tc>
        <w:tc>
          <w:tcPr>
            <w:tcW w:type="dxa" w:w="3322"/>
          </w:tcPr>
          <w:p>
            <w:pPr>
              <w:pStyle w:val="null3"/>
            </w:pPr>
            <w:r>
              <w:rPr>
                <w:rFonts w:ascii="仿宋_GB2312" w:hAnsi="仿宋_GB2312" w:cs="仿宋_GB2312" w:eastAsia="仿宋_GB2312"/>
              </w:rPr>
              <w:t>法定代表人直接参加磋商的，须出具法定代表人身份证明书及身份证；授权代表参加磋商的，须出具法定代表人授权书及授权代表身份证;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供应商同时具有城乡规划编制资质证书乙级资质及工程咨询单位乙级资信评价及以上资质</w:t>
            </w:r>
          </w:p>
        </w:tc>
        <w:tc>
          <w:tcPr>
            <w:tcW w:type="dxa" w:w="3322"/>
          </w:tcPr>
          <w:p>
            <w:pPr>
              <w:pStyle w:val="null3"/>
            </w:pPr>
            <w:r>
              <w:rPr>
                <w:rFonts w:ascii="仿宋_GB2312" w:hAnsi="仿宋_GB2312" w:cs="仿宋_GB2312" w:eastAsia="仿宋_GB2312"/>
              </w:rPr>
              <w:t>供应商同时具有城乡规划编制资质证书乙级资质及工程咨询单位乙级资信评价及以上资质；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本项目接受联合体响应</w:t>
            </w:r>
          </w:p>
        </w:tc>
        <w:tc>
          <w:tcPr>
            <w:tcW w:type="dxa" w:w="3322"/>
          </w:tcPr>
          <w:p>
            <w:pPr>
              <w:pStyle w:val="null3"/>
            </w:pPr>
            <w:r>
              <w:rPr>
                <w:rFonts w:ascii="仿宋_GB2312" w:hAnsi="仿宋_GB2312" w:cs="仿宋_GB2312" w:eastAsia="仿宋_GB2312"/>
              </w:rPr>
              <w:t>本项目接受联合体响应，需提供联合体协议书。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磋商报价未高于磋商文件公布的预算金额或最 高限价。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磋商有效期不少于性磋商文件要求，否则其响 应文件作为无效处理。</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出现不符合法律、法规和磋商文件中规定的其 他实质性要求的情况，响应文件作为无效处理 。</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项目成果质量保障</w:t>
            </w:r>
          </w:p>
        </w:tc>
        <w:tc>
          <w:tcPr>
            <w:tcW w:type="dxa" w:w="2492"/>
          </w:tcPr>
          <w:p>
            <w:pPr>
              <w:pStyle w:val="null3"/>
            </w:pPr>
            <w:r>
              <w:rPr>
                <w:rFonts w:ascii="仿宋_GB2312" w:hAnsi="仿宋_GB2312" w:cs="仿宋_GB2312" w:eastAsia="仿宋_GB2312"/>
              </w:rPr>
              <w:t>一、评审内容 供应商针对本项目编制严格规范的项目成果质量保障，内容包含：①质量目 标控制办法；②成果质量的检验。 二、评审标准 1、完整性:保障措施必须全面，对评审 内容中的各项要求有详细描述； 2、可行性:保障措施必须要紧扣本项目实际情况，且步骤 清晰、措施可行； 3、针对性:保障措施必须要紧扣本项目实际情况，且目标明确、内容科 学合理。 三、赋分标准 ①质量目标控制办法：每完全满足一个评审标准得1.5分，满分4. 5分； ②成果质量的检验：每完全满足一个评审标准得1.5分，满分4.5分。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投入本项目的项目负责人具有注册城乡规划师（在本单位注册）并持有相关专业高级及以上职称的得2分，具有注册城乡规划师（在本单位注册）并持有相关专业中级职称的得1分；（提供职称证书复印件加盖公章）。 2.拟投入本项目的项目负责人2022年1月至今负责过类似业绩的，每项得2分，最高得4分。（以合同或中标通知书签订时间为准，提供合同或中标通知书复印件加盖公章。） 3.项目团队：供应商须为本项目配备足够的人员且工作经验丰富，具有相关专业高级职称的，每有一个得2分；具有相关专业中级职称的，每有一个得1分；须提供有效职称证书扫描件或复印件（联合体牵头单位或成员单位人员均可得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一、评审内容 针对本项目提供项目理解，包括但不限于①项目需求理解；②项目情况分析。 二、评审标准 1、完整性:方案必须全面，对评审内容中的各项要求有详细描述； 2、可行性:方案必须紧扣本项目实际情况，且步骤清晰、切实可行； 3、针对性:方案必须紧扣本项目实际情况，且目标明确、内容科学合理。 三、赋分标准 ①项目需求理解：每完全满足一个评审标准得1分，满分3分。 ②项目情况分析：每完全满足一个评审标准得1分，满分3分。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供应商针对本项目编制科学合理的实施方案，内容包含：①项目研究拟解决 的关键问题；②研究内容重、难点分析；③项目研究技术路线；④工作流程；⑤前期工作 基础。 二、评审标准 1、完整性:方案必须全面，对评审内容中的各项要求有详细描述； 2、可行性:方案必须紧扣本项目实际情况，且步骤清晰、切实可行； 3、针对性:方案必须 紧扣本项目实际情况，且目标明确、内容科学合理。 三、赋分标准 ①项目研究拟解决的 关键问题：每完全满足一个评审标准得2分，满分6分； ②研究内容重、难点分析：每完 全满足一个评审标准得1.5分，满分4.5分； ③项目研究技术路线：每完全满足一个评审标 准得1.5分，满分4.5分； ④工作流程：每完全满足一个评审标准得1.5分，满分4.5分； ⑤前期工作基础：每完全满足一个评审标准得1.5分，满分4.5分；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供应商针对本项目编制科学有效的合理化建议，内容包含：①数据准确性； ②工作效率；③服务质量。 二、评审标准 1、完整性:合理化建议必须全面、对评审内容中 的各项要求有详细描述； 2、可行性:合理化建议必须紧扣本项目实际情况，且步骤清晰、 切实可行； 3、针对性:合理化建议必须紧扣本项目实际情况，且目标明确、内容科学合理 。 三、赋分标准 ①数据准确性：每完全满足一个评审标准得1分，满分3分； ②工作效率 ：每完全满足一个评审标准得1分，满分3分； ③服务质量：每完全满足一个评审标准得1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1.供应商提供项目数据和信息安全保密承诺函并加盖供应商公章，计3分，未提供不计分 。 2.供应商提供临时任务的保障服务措施承诺函并加盖供应商公章，计3分，未提供不计 分。 3.供应商提供配合采购人对项目成果后期调整、修改及后续工作配合承诺函并加盖供 应商公章，计3分，未提供不计分。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供应商具备城乡规划资质甲级得1.5分，工程咨询单位资信评价资质等级为甲级得1.5分，其余不得分。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后期服务安排</w:t>
            </w:r>
          </w:p>
        </w:tc>
        <w:tc>
          <w:tcPr>
            <w:tcW w:type="dxa" w:w="2492"/>
          </w:tcPr>
          <w:p>
            <w:pPr>
              <w:pStyle w:val="null3"/>
            </w:pPr>
            <w:r>
              <w:rPr>
                <w:rFonts w:ascii="仿宋_GB2312" w:hAnsi="仿宋_GB2312" w:cs="仿宋_GB2312" w:eastAsia="仿宋_GB2312"/>
              </w:rPr>
              <w:t>根据本项目特点制定行之有效、详细具体的后期服务安排，根据响应程度得分。方案描述 详细、全面、合理有效、可操作性强，得3-5分；方案描述详细、全面、具有操作性，得1 -3分。未提供不得分。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供应商提供自2022年1月1日以来（以合同签订时间为准）类似项目业绩，每提供1份得2 分，满分10分。 注：需提供合同（协议）或中标通知书，以合同（协议）或中标通知书 签订时间为准，不提供不得分。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1.经资格审查、符合性审查合格的磋商响应文件，其磋商报价为有效磋商报价，对符合政 策性扣减的供应商的有效磋商价格进行政策性扣减，并依据扣减后的价格（评审价格）进 行价格评审。 2.满足磋商文件实质性要求且最后报价最低的供应商的价格为磋商基准价， 其价格分为满分15分。 3.磋商报价得分=（磋商基准价/磋商评审价）×15的公式计算得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