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4DF8A">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微软雅黑" w:hAnsi="微软雅黑" w:eastAsia="微软雅黑" w:cs="微软雅黑"/>
          <w:b/>
          <w:bCs/>
          <w:i w:val="0"/>
          <w:iCs w:val="0"/>
          <w:caps w:val="0"/>
          <w:color w:val="333333"/>
          <w:spacing w:val="0"/>
          <w:kern w:val="0"/>
          <w:sz w:val="21"/>
          <w:szCs w:val="21"/>
          <w:shd w:val="clear" w:color="auto" w:fill="FFFFFF"/>
          <w:vertAlign w:val="baseline"/>
          <w:lang w:val="en-US" w:eastAsia="zh-CN" w:bidi="ar"/>
        </w:rPr>
      </w:pPr>
      <w:r>
        <w:rPr>
          <w:rFonts w:hint="eastAsia" w:ascii="微软雅黑" w:hAnsi="微软雅黑" w:eastAsia="微软雅黑" w:cs="微软雅黑"/>
          <w:b/>
          <w:bCs/>
          <w:i w:val="0"/>
          <w:iCs w:val="0"/>
          <w:caps w:val="0"/>
          <w:color w:val="333333"/>
          <w:spacing w:val="0"/>
          <w:kern w:val="0"/>
          <w:sz w:val="21"/>
          <w:szCs w:val="21"/>
          <w:shd w:val="clear" w:color="auto" w:fill="FFFFFF"/>
          <w:vertAlign w:val="baseline"/>
          <w:lang w:val="en-US" w:eastAsia="zh-CN" w:bidi="ar"/>
        </w:rPr>
        <w:t>具体采购货物的参数及其数量</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04"/>
        <w:gridCol w:w="6560"/>
        <w:gridCol w:w="616"/>
        <w:gridCol w:w="441"/>
        <w:gridCol w:w="441"/>
      </w:tblGrid>
      <w:tr w14:paraId="46FB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65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64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29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F3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E3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7C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029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1B1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一、信息发布系统</w:t>
            </w:r>
          </w:p>
        </w:tc>
      </w:tr>
      <w:tr w14:paraId="1026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E35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1、全彩LED显示屏</w:t>
            </w:r>
          </w:p>
        </w:tc>
      </w:tr>
      <w:tr w14:paraId="27F9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FA847">
            <w:pPr>
              <w:jc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1</w:t>
            </w:r>
            <w:r>
              <w:rPr>
                <w:rFonts w:hint="eastAsia" w:ascii="宋体" w:hAnsi="宋体" w:cs="宋体"/>
                <w:i w:val="0"/>
                <w:iCs w:val="0"/>
                <w:color w:val="000000"/>
                <w:sz w:val="20"/>
                <w:szCs w:val="20"/>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5E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全彩LED显示屏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52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1.像素点间距2.5mm，像素密度160000点/平米；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2.刷新率≥3840Hz，平整度等级：平整度&lt;0. 1mm、像素中心距相对偏差等级： Jx≤1.4%、水平相对错位等级： Cs≤1.2%、垂直相对错位等级： Cc≤1.1%，均符合SJ/T11141-2017标准C级或以上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3.亮度均匀性≥99%，水平/垂直视角≥176°，对比度≥10000：1，色度均匀性±0.01之内，亮度≥5000cd，亮度衰减率≤5%；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4.色温1000K至20000K可调，色温为6500K时100%，75%，50%，25%四挡电平白场调节色温误差≤200K；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5.LED显示屏可实现实时监控显示屏工作状态，具有故障自动告警功能，发生故障立即发消息到指定邮箱，及时处理；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6.LED显示屏具有多点测温系统，均衡散热，防止局部温度过高造成色彩漂移，并提高显示屏寿命；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7.LED显示屏具有电源温度控制系统，控制电源实时温度监控，超出设定温度自动报警，防止过温失效；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软件系统具备素材显示、网络流媒体显示、网路抓屏、场景管理、预案管理、多语言支持、日志管理、多用户、多权限、软拼接、硬拼接、多级热备、显示屏状态监控、多屏控制、屏蔽用户操作错误、调整边缘亮暗线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9.支持包含但不限于 SDIVGA/DVI/HDMI/RGBHV/CVBS/DPI HDBase-T/光纤/网络等接口/复合视频信号/HDTV输入；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10.套件(塑料面板、面罩)水平燃烧测定方法阻燃等级达到UL94HB等级，PCB板电路防火保护外壳内的元器件和其他零部件阻燃等级达到UL94 V-0等级；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支持脱机无信号下显示预制画面信息、画面轮询，永不黑屏；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显示屏无隐亮,全黑场信号下灯管发光，正常工作时显示画面无重影和拖尾现象，无几何失真和非线性失真，具备毛毛虫现象消除功能，显示画面无单列或单行像素失控现象且系统具备掉电储存功能，支持不关电热拔抢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13.具有RC自适应技术，采用黑白电平延伸数字处理技术，调整图像的灰度等级，有效提升图像深层次显示效果；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14.采用3D数字梳状滤波和3D数字图像降噪技术，能大大消除图像细节的杂波干扰、边缘锯齿现象，从而实现数字降噪、自动显示格式匹配；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15.显示屏具有H2S宽动态处理技术，解决主控机二次重复播放时的衰减等现象；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PWM灰阶控制技术提升低灰视觉效果，支持软件实现不同亮度情况下，灰度8-16bit任意设置0-100%亮度时，8-16bits任意灰度设置，支持100%亮度时，16bits灰度20%亮度时≥14bits灰度，支持18Bits灰度(16bit+2bit)模式，支持HDR高动态光照渲染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17.具体视频降噪、增强、运动补偿、色彩变换、钝化等图像处理功能，具有亮度/对比度度调节/视觉修正等图像调整功能;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自动Gamma校正技术，通过构造非线性校正曲线和色坐标变换系数矩阵实现了显示效果的不断改善，各项重要指标如色彩还原性、色温调节范围、亮度均匀性、色度均匀性、刷新率、换帧频率等，均符合广电级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19.显示屏在-40℃-100℃冷热循环8h冲击实验、在50℃、93%湿度显示屏情况下经受8-48h贮存工作实验均符合要求；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20.显示屏具有信号加密传输功能，支持控制器与屏体之间信号加密传输功能，防止网络恶意入侵；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1B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6E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72FB5">
            <w:pPr>
              <w:jc w:val="center"/>
              <w:rPr>
                <w:rFonts w:hint="eastAsia" w:ascii="宋体" w:hAnsi="宋体" w:eastAsia="宋体" w:cs="宋体"/>
                <w:i w:val="0"/>
                <w:iCs w:val="0"/>
                <w:color w:val="000000"/>
                <w:sz w:val="20"/>
                <w:szCs w:val="20"/>
                <w:u w:val="none"/>
              </w:rPr>
            </w:pPr>
          </w:p>
        </w:tc>
      </w:tr>
      <w:tr w14:paraId="0D9B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104EE">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47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5B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自动均流技术，智能故障检测和运行状态监控。各个电源模块的应力均衡，可靠性高。单个电源模块故障不影响整个系统的工作运行。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29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2B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39633">
            <w:pPr>
              <w:jc w:val="center"/>
              <w:rPr>
                <w:rFonts w:hint="eastAsia" w:ascii="宋体" w:hAnsi="宋体" w:eastAsia="宋体" w:cs="宋体"/>
                <w:i w:val="0"/>
                <w:iCs w:val="0"/>
                <w:color w:val="000000"/>
                <w:sz w:val="20"/>
                <w:szCs w:val="20"/>
                <w:u w:val="none"/>
              </w:rPr>
            </w:pPr>
          </w:p>
        </w:tc>
      </w:tr>
      <w:tr w14:paraId="1643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74309">
            <w:pPr>
              <w:jc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3</w:t>
            </w:r>
            <w:r>
              <w:rPr>
                <w:rFonts w:hint="eastAsia" w:ascii="宋体" w:hAnsi="宋体" w:cs="宋体"/>
                <w:i w:val="0"/>
                <w:iCs w:val="0"/>
                <w:color w:val="000000"/>
                <w:sz w:val="20"/>
                <w:szCs w:val="20"/>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F6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显示屏框架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02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20*40镀锌方管+20mm*50mm镀锌方管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DF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F4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2BD64">
            <w:pPr>
              <w:jc w:val="center"/>
              <w:rPr>
                <w:rFonts w:hint="eastAsia" w:ascii="宋体" w:hAnsi="宋体" w:eastAsia="宋体" w:cs="宋体"/>
                <w:i w:val="0"/>
                <w:iCs w:val="0"/>
                <w:color w:val="000000"/>
                <w:sz w:val="20"/>
                <w:szCs w:val="20"/>
                <w:u w:val="none"/>
              </w:rPr>
            </w:pPr>
          </w:p>
        </w:tc>
      </w:tr>
      <w:tr w14:paraId="2E94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C608E">
            <w:pPr>
              <w:jc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4</w:t>
            </w:r>
            <w:r>
              <w:rPr>
                <w:rFonts w:hint="eastAsia" w:ascii="宋体" w:hAnsi="宋体" w:cs="宋体"/>
                <w:i w:val="0"/>
                <w:iCs w:val="0"/>
                <w:color w:val="000000"/>
                <w:sz w:val="20"/>
                <w:szCs w:val="20"/>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C9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43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120W功放+40W音柱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C9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64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841A4">
            <w:pPr>
              <w:jc w:val="center"/>
              <w:rPr>
                <w:rFonts w:hint="eastAsia" w:ascii="宋体" w:hAnsi="宋体" w:eastAsia="宋体" w:cs="宋体"/>
                <w:i w:val="0"/>
                <w:iCs w:val="0"/>
                <w:color w:val="000000"/>
                <w:sz w:val="20"/>
                <w:szCs w:val="20"/>
                <w:u w:val="none"/>
              </w:rPr>
            </w:pPr>
          </w:p>
        </w:tc>
      </w:tr>
      <w:tr w14:paraId="0B7B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EEB7C">
            <w:pPr>
              <w:jc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5</w:t>
            </w:r>
            <w:r>
              <w:rPr>
                <w:rFonts w:hint="eastAsia" w:ascii="宋体" w:hAnsi="宋体" w:cs="宋体"/>
                <w:i w:val="0"/>
                <w:iCs w:val="0"/>
                <w:color w:val="000000"/>
                <w:sz w:val="20"/>
                <w:szCs w:val="20"/>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0B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5A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KW配电柜给大屏设备供电需按照标准网络机房供电标准设计安装供电，为考虑峰值电流影响，需考虑分路供电，时序控制。电源供电需考虑二级防雷，设备、保护地分开，整个大屏接地系统需接入大楼接地系统，还应考虑关键信息设备端口防雷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2.防护功能：具有防静电、抗震动、防电磁干扰、抗雷击等功能，具有电源过压、过流、断电保护、分布上电措施；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33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31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8CC4A">
            <w:pPr>
              <w:jc w:val="center"/>
              <w:rPr>
                <w:rFonts w:hint="eastAsia" w:ascii="宋体" w:hAnsi="宋体" w:eastAsia="宋体" w:cs="宋体"/>
                <w:i w:val="0"/>
                <w:iCs w:val="0"/>
                <w:color w:val="000000"/>
                <w:sz w:val="20"/>
                <w:szCs w:val="20"/>
                <w:u w:val="none"/>
              </w:rPr>
            </w:pPr>
          </w:p>
        </w:tc>
      </w:tr>
      <w:tr w14:paraId="4597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98DEC">
            <w:pPr>
              <w:jc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6</w:t>
            </w:r>
            <w:r>
              <w:rPr>
                <w:rFonts w:hint="eastAsia" w:ascii="宋体" w:hAnsi="宋体" w:cs="宋体"/>
                <w:i w:val="0"/>
                <w:iCs w:val="0"/>
                <w:color w:val="000000"/>
                <w:sz w:val="20"/>
                <w:szCs w:val="20"/>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5F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882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84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33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B492C">
            <w:pPr>
              <w:jc w:val="center"/>
              <w:rPr>
                <w:rFonts w:hint="eastAsia" w:ascii="宋体" w:hAnsi="宋体" w:eastAsia="宋体" w:cs="宋体"/>
                <w:i w:val="0"/>
                <w:iCs w:val="0"/>
                <w:color w:val="000000"/>
                <w:sz w:val="20"/>
                <w:szCs w:val="20"/>
                <w:u w:val="none"/>
              </w:rPr>
            </w:pPr>
          </w:p>
        </w:tc>
      </w:tr>
      <w:tr w14:paraId="6AEB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49E48">
            <w:pPr>
              <w:jc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7</w:t>
            </w:r>
            <w:r>
              <w:rPr>
                <w:rFonts w:hint="eastAsia" w:ascii="宋体" w:hAnsi="宋体" w:cs="宋体"/>
                <w:i w:val="0"/>
                <w:iCs w:val="0"/>
                <w:color w:val="000000"/>
                <w:sz w:val="20"/>
                <w:szCs w:val="20"/>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8A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1D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45公分成品三芯电缆线/网线/长排线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2B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B1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F461D">
            <w:pPr>
              <w:jc w:val="center"/>
              <w:rPr>
                <w:rFonts w:hint="eastAsia" w:ascii="宋体" w:hAnsi="宋体" w:eastAsia="宋体" w:cs="宋体"/>
                <w:i w:val="0"/>
                <w:iCs w:val="0"/>
                <w:color w:val="000000"/>
                <w:sz w:val="20"/>
                <w:szCs w:val="20"/>
                <w:u w:val="none"/>
              </w:rPr>
            </w:pPr>
          </w:p>
        </w:tc>
      </w:tr>
      <w:tr w14:paraId="4A12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A96A97">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2、发布系统</w:t>
            </w:r>
          </w:p>
        </w:tc>
      </w:tr>
      <w:tr w14:paraId="036D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9CA75">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BF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发布系统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00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具备有无缝、完美显示、使用寿命长、换帧速度快、高刷新、均匀性好、视角度宽、灰度高、自然化色彩还原等特点，广泛运用于指挥调度、安防监控、视频会议、演播展示、室外各类会议室显示领域。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1.可用于实时监控显示现场情况、播放各种宣传广告。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2.产品无缝拼接，拼接无视觉黑缝。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3.显示单元灵活小巧，平面，弧面，流畅拼接。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4.直流低压供电，自然散热，无风扇，工作零噪音。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5.故障仅需维护单个LED像素或单个模块，维护成本低，速度快。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6.支持画面矫正，采用伽马校正技术，可实现逐点亮度颜色校正。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7.支持智能光控，可智能调节亮度，提高画面舒适度，更节能省电。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8.超宽视角显示，显示屏可视范围更大，任意角度观看画面依然清晰。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9.具备超高刷新速度，画面连贯性好，画面流畅度高。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10.画面细腻逼真，低亮度情况下灰度依然出色。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11.支持超高清显示，采用独有的画质增强技术，有效提高图像清晰度，高速画面流畅无拖影。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4B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58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7991A">
            <w:pPr>
              <w:jc w:val="center"/>
              <w:rPr>
                <w:rFonts w:hint="eastAsia" w:ascii="宋体" w:hAnsi="宋体" w:eastAsia="宋体" w:cs="宋体"/>
                <w:i w:val="0"/>
                <w:iCs w:val="0"/>
                <w:color w:val="000000"/>
                <w:sz w:val="20"/>
                <w:szCs w:val="20"/>
                <w:u w:val="none"/>
              </w:rPr>
            </w:pPr>
          </w:p>
        </w:tc>
      </w:tr>
      <w:tr w14:paraId="767C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AA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5A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EF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1.单卡最大带载 512×384像素，最多支持 24 组RGB 并行数据；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2.支持色彩管理，将显示色域在多个色域之间自由切换，使显示屏色彩更精准。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3.支持18Bit+,使LED显示屏灰阶提升4倍，有效处理低亮时灰度丢失问题，使图像显示更细腻。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 12 个标准HUB75接口，具有高稳定性和高可靠性，适用于多种环境的搭建；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5.支持逐点亮色度校正，可以对每个灯点的亮度和色度进行校正，有效消除色差，使整屏的亮度和色度达到高度均匀一致，提高显示屏的画质（响应条件  需要提供第三方检测机构出具的CNAS、 CMA、ilac-MRA的检测报告 ，需加盖生产厂家公章）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7.配合支持 3D 功能的独立主控，在软件或独立主控的操作面板上开启 3D 功能，并设置 3D 参数，使画面显示 3D 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Mapping功能开启，每个箱体上会显示数字，清楚告诉您当前箱体是哪个网口下的哪张接收卡，直观的看到显示屏连接状况。从此让箱体排查变得轻松简单，快速定位问题箱体，再也无需再爬上爬下，根据走线更改连屏文件即可（响应条件  需要提供第三方检测机构出具的CNAS、 CMA、ilac-MRA的检测报告 ，需加盖生产厂家公章）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9.支持预存画面设置，可以将指定图片设置为显示屏的开机、网线断开或无视频源信号时的画面或者最后一帧画面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以监测自身的温度和电压，无需其他外设，在软件上可以查看接收卡的温度和电压，检测发送设备与接收卡间或接收卡与接收卡间的网络通讯质量，记录错误包数，协助排除网络通讯隐患，（需要提供第三方检测机构出具的CNAS、 CMA、ilac-MRA的检测报告 ，需加盖生产厂家公章）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11.支持误码率监测接收卡间通讯时传输链路上的数据丢包情况；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12.支持可以回读接收卡的固件程序并保存到本地，软件可以回读接收卡配置参数并保存到本地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13.通过主备冗余机制增加接收卡间网线级联的可靠性。主备级联线路中，当其中一条线路出现故障时，另一条线路会即时工作，保证显示屏正常工作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14.通过软件在接收卡上保存两份接收卡配置参数，其中一份作为备份参数，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15.通过电源指示灯和状态指示灯不同闪烁状态可以判断，屏体工作状态，无需软件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44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89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B6304">
            <w:pPr>
              <w:jc w:val="center"/>
              <w:rPr>
                <w:rFonts w:hint="eastAsia" w:ascii="宋体" w:hAnsi="宋体" w:eastAsia="宋体" w:cs="宋体"/>
                <w:i w:val="0"/>
                <w:iCs w:val="0"/>
                <w:color w:val="000000"/>
                <w:sz w:val="20"/>
                <w:szCs w:val="20"/>
                <w:u w:val="none"/>
              </w:rPr>
            </w:pPr>
          </w:p>
        </w:tc>
      </w:tr>
      <w:tr w14:paraId="7A7A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F5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bookmarkStart w:id="0" w:name="_GoBack"/>
            <w:bookmarkEnd w:id="0"/>
            <w:r>
              <w:rPr>
                <w:rFonts w:hint="eastAsia" w:ascii="宋体" w:hAnsi="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FD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E7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1.支持多达 5 路输入接口，包括 1 路 DVI，1 路 HDMI1.3，1 路 VGA，1 路 USB 播 放，1 路 CVBS；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2.支持窗口位置、大小调整及窗口截取功能。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3.支持外置独立音频。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4.支持输入分辨率预设及自定义调节。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5.支持画面全屏缩放、点对点显示、自定义缩放三种缩放模式。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6.支持快捷点屏，简单操作即可完成屏体配置。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 2 个网口输出，最大带载 130 万像素。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8.支持创建 6 个用户场景作为模板保存，可直接调用，方便使用。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9.前面板直观的 LCD 显示界面，清晰的按键灯提示，简化了系统的控制操作。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37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C7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E62B4">
            <w:pPr>
              <w:jc w:val="center"/>
              <w:rPr>
                <w:rFonts w:hint="eastAsia" w:ascii="宋体" w:hAnsi="宋体" w:eastAsia="宋体" w:cs="宋体"/>
                <w:i w:val="0"/>
                <w:iCs w:val="0"/>
                <w:color w:val="000000"/>
                <w:sz w:val="20"/>
                <w:szCs w:val="20"/>
                <w:u w:val="none"/>
              </w:rPr>
            </w:pPr>
          </w:p>
        </w:tc>
      </w:tr>
      <w:tr w14:paraId="0890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61E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二、数字未检系统</w:t>
            </w:r>
          </w:p>
        </w:tc>
      </w:tr>
      <w:tr w14:paraId="5675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D5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F7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数字未检系统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3860626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查看到检察官发布的各类未检动态信息。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提供后台对法律法规的维护功能，在小程序端可查找学习未成年人相关的法律法规。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查找阅览网上公开的未成年人相关典型案例。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通过视频、资讯的形式解读法律法规内容。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以小视频或者短视频的方式进行轮播让青少年学习相关法律。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查看家庭教育相关视频与文章内容，学习如何成为合格称职的好家长。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通过答题的形式学习法律法规相关知识。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提供各类活动的发布以及报名功能。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心理咨询师维护功能，未成年人可以通过平台在线申请心理咨询，也可以通过电话的方式联系我们的心理咨询师通过该小程序端，未成年人及其家庭可以随时在线提交救助申请，检察官在后台进行接收并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提供小心愿的发布功能，社会爱心人士则可以通过平台了解到这些心愿，并提供帮助与支持。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DB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04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FC474">
            <w:pPr>
              <w:jc w:val="center"/>
              <w:rPr>
                <w:rFonts w:hint="eastAsia" w:ascii="宋体" w:hAnsi="宋体" w:eastAsia="宋体" w:cs="宋体"/>
                <w:i w:val="0"/>
                <w:iCs w:val="0"/>
                <w:color w:val="000000"/>
                <w:sz w:val="20"/>
                <w:szCs w:val="20"/>
                <w:u w:val="none"/>
              </w:rPr>
            </w:pPr>
          </w:p>
        </w:tc>
      </w:tr>
      <w:tr w14:paraId="1C40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E81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三、非羁押数字监管平台</w:t>
            </w:r>
          </w:p>
        </w:tc>
      </w:tr>
      <w:tr w14:paraId="07CA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20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3C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非羁押数字监管平台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C8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1.平台应实现非羁押人员在APP端注册功能。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2.平台应实现对取保候审人员管理规则的制定、修改、新增功能，并可根据实际情况启用或者禁用规则。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3.支持提前预设非羁押人员打卡签到规则，规则设定后，非羁押人员需要按照规则进行每日签到打卡，并通过人脸识别、活体检验等功能对签到人员进行识别，规避代打卡功能。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4.平台应实现被监管人线上提交外出申请，检察官在线审批功能。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5.平台应实现抽查任务功能，检察官通过视频通话形式联系被监管人。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6.平台实现提供查阅被羁押人员的行动轨迹功能。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7.平台具备被监管人员列表展示功能，并支持在线聊天、视频、语音功能。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8.平台应实现在线传唤被监管人，包含在线提醒、处理状态等辅助功能。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9.平台应提供被羁押人违规报警功能，包括进入禁入区域、离开限制区域等告警。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10.平台实现对非羁押人员得分以及扣分规则的设置。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11.提供后台得分查看功能，并支持得分修改功能。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12.平台支持取保候审人员对所扣分进行申诉功能，非羁押人员可上传申诉图片等佐证材料。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13.平台支持取保候审人员对已申诉记录进行撤回功能。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14.支持后台查阅所有被监管人员的定位显示、告警提醒等功能。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15.平台支持手动绘制活动以及按照区域框选活动范围以及禁入区域的功能。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16.平台支持扫描二维码下载安装软件的功能。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17.平台支持手动修改取保候审人员的羁押得分。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18.平台支持非羁押人员对扣分的申诉审核功能，审核成功可取消扣分。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19.平台支持对被监管人得分以及扣分情况导出功能。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20.平台应支持后台按照罪名推送典型案例给取保候审人员。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21.平台提供法律法规后台新增以及在移动端查阅功能。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22.系统支持监管人员给非羁押发布志愿者任务功能，并可根据任务完成情况进行奖励加分。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23.系统支持非羁押人员观看视频答题的功能，促进非羁押人员了解相关法律法规。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24.提供提供同案人员进距离接触告警的功能，防止同案犯串供。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25.★平台支持根据“红、黄、绿”羁押码对加羁押人员进行标记预警。（需现场演示平台相关功能）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26.★平台支持非羁押人员端的APP与手机序列号进行绑定，并可实现在后端查阅绑定信息以及特殊情况下解除手机与APP的绑定。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27.★平台支持管理端扫描二维码的方式关联取保候审人员的功能（需提供功能截图并加盖制造厂家公章）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28.★平台具备人脸识别、活体检测等生物特征识别功能。（需提供功能截图并加盖制造厂家公章）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29.★系统能进行现场操作并演示（现场演示做佐证）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30.所投产品软件需获得产品测试报告；（提供产品测试报告复印件并加盖制造厂家公章，相关报告原件备查）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31.所投产品软件需获得软件著作权登记证书；（提供软件著作权登记证书复印件并加盖制造厂家公章，相关报告原件备查）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32.所投软件具备国产操作系统兼容性互认证明。（提供软件兼容性互认证明复印件并加盖制造厂家公章，相关报告原件备查）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33.所投软件具备国产达梦数据库兼容性互认证明。（提供软件兼容性互认证明复印件并加盖制造厂家公章，相关报告原件备查）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34.所投软件在安全上已通过二级网络安全等级保护测评。（提供等保二级通过证明案例材料复印件）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FD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A7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F3462">
            <w:pPr>
              <w:jc w:val="center"/>
              <w:rPr>
                <w:rFonts w:hint="eastAsia" w:ascii="宋体" w:hAnsi="宋体" w:eastAsia="宋体" w:cs="宋体"/>
                <w:i w:val="0"/>
                <w:iCs w:val="0"/>
                <w:color w:val="000000"/>
                <w:sz w:val="20"/>
                <w:szCs w:val="20"/>
                <w:u w:val="none"/>
              </w:rPr>
            </w:pPr>
          </w:p>
        </w:tc>
      </w:tr>
    </w:tbl>
    <w:p w14:paraId="646ED4E3">
      <w:pPr>
        <w:rPr>
          <w:rFonts w:hint="eastAsia" w:ascii="宋体" w:hAnsi="宋体" w:eastAsia="宋体" w:cs="宋体"/>
          <w:sz w:val="21"/>
          <w:szCs w:val="21"/>
        </w:rPr>
      </w:pPr>
    </w:p>
    <w:p w14:paraId="66B7B831">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宋体" w:hAnsi="宋体" w:eastAsia="宋体" w:cs="宋体"/>
          <w:b/>
          <w:bCs/>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b/>
          <w:bCs/>
          <w:i w:val="0"/>
          <w:iCs w:val="0"/>
          <w:caps w:val="0"/>
          <w:color w:val="333333"/>
          <w:spacing w:val="0"/>
          <w:kern w:val="0"/>
          <w:sz w:val="21"/>
          <w:szCs w:val="21"/>
          <w:shd w:val="clear" w:color="auto" w:fill="FFFFFF"/>
          <w:vertAlign w:val="baseline"/>
          <w:lang w:val="en-US" w:eastAsia="zh-CN" w:bidi="ar"/>
        </w:rPr>
        <w:t>质保期</w:t>
      </w:r>
    </w:p>
    <w:p w14:paraId="0724FB4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Chars="0" w:right="0" w:rightChars="0"/>
        <w:jc w:val="both"/>
        <w:textAlignment w:val="baseline"/>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一年</w:t>
      </w:r>
    </w:p>
    <w:p w14:paraId="2CCC5A5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宋体" w:hAnsi="宋体" w:eastAsia="宋体" w:cs="宋体"/>
          <w:b/>
          <w:bCs/>
          <w:i w:val="0"/>
          <w:iCs w:val="0"/>
          <w:caps w:val="0"/>
          <w:color w:val="333333"/>
          <w:spacing w:val="0"/>
          <w:sz w:val="21"/>
          <w:szCs w:val="21"/>
          <w:shd w:val="clear" w:color="auto" w:fill="FFFFFF"/>
          <w:vertAlign w:val="baseline"/>
        </w:rPr>
      </w:pPr>
      <w:r>
        <w:rPr>
          <w:rFonts w:hint="eastAsia" w:ascii="宋体" w:hAnsi="宋体" w:eastAsia="宋体" w:cs="宋体"/>
          <w:b/>
          <w:bCs/>
          <w:i w:val="0"/>
          <w:iCs w:val="0"/>
          <w:caps w:val="0"/>
          <w:color w:val="333333"/>
          <w:spacing w:val="0"/>
          <w:sz w:val="21"/>
          <w:szCs w:val="21"/>
          <w:shd w:val="clear" w:color="auto" w:fill="FFFFFF"/>
          <w:vertAlign w:val="baseline"/>
        </w:rPr>
        <w:t>合同履行期限</w:t>
      </w:r>
    </w:p>
    <w:p w14:paraId="4076363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Chars="0" w:right="0" w:rightChars="0"/>
        <w:jc w:val="both"/>
        <w:textAlignment w:val="baseline"/>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30天</w:t>
      </w:r>
    </w:p>
    <w:p w14:paraId="55F8E6FD">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宋体" w:hAnsi="宋体" w:eastAsia="宋体" w:cs="宋体"/>
          <w:b/>
          <w:bCs/>
          <w:i w:val="0"/>
          <w:iCs w:val="0"/>
          <w:caps w:val="0"/>
          <w:color w:val="333333"/>
          <w:spacing w:val="0"/>
          <w:sz w:val="21"/>
          <w:szCs w:val="21"/>
          <w:shd w:val="clear" w:color="auto" w:fill="FFFFFF"/>
          <w:vertAlign w:val="baseline"/>
          <w:lang w:val="en-US" w:eastAsia="zh-CN"/>
        </w:rPr>
      </w:pPr>
      <w:r>
        <w:rPr>
          <w:rFonts w:hint="eastAsia" w:ascii="宋体" w:hAnsi="宋体" w:eastAsia="宋体" w:cs="宋体"/>
          <w:b/>
          <w:bCs/>
          <w:i w:val="0"/>
          <w:iCs w:val="0"/>
          <w:caps w:val="0"/>
          <w:color w:val="333333"/>
          <w:spacing w:val="0"/>
          <w:sz w:val="21"/>
          <w:szCs w:val="21"/>
          <w:shd w:val="clear" w:color="auto" w:fill="FFFFFF"/>
          <w:vertAlign w:val="baseline"/>
          <w:lang w:val="en-US" w:eastAsia="zh-CN"/>
        </w:rPr>
        <w:t>公司资质</w:t>
      </w:r>
    </w:p>
    <w:p w14:paraId="17C63B3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（1）具有独立承担民事责任能力的法人、其他组织或自然人，营业执照、组织机构代码证、税务登记证（多证合一只提供营业执照，事业单位提供事业单位法人证书，自然人提供本人身份证）合法有效；</w:t>
      </w: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br w:type="textWrapping"/>
      </w: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（2）法定代表人授权书（附法定代表人身份证复印件）及被授权人身份证（法定代表人直接参加谈判只须提供法定代表人身份证）；</w:t>
      </w: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br w:type="textWrapping"/>
      </w: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（3）财务状况报告：须提供2023年度完整的财务审计报告；</w:t>
      </w: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br w:type="textWrapping"/>
      </w: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（4）税收缴纳证明：提供谈判前半年内至少一个月的纳税证明或完税证明，依法免税的单位应提供相关证明材料；</w:t>
      </w: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br w:type="textWrapping"/>
      </w: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（5）社会保障资金缴纳证明：提供谈判前半年内至少一个月的有效社会保障资金缴纳证明。依法不需要缴纳社会保障资金的单位应提供相关证明材料；</w:t>
      </w:r>
    </w:p>
    <w:p w14:paraId="77EDDE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（6）供应商应出具参加政府采购活动前3年内在经营活动中没有重大违法记录的书面声明；</w:t>
      </w:r>
    </w:p>
    <w:p w14:paraId="4C1ABC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企业</w:t>
      </w:r>
    </w:p>
    <w:p w14:paraId="58DAD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（8）单位负责人为同一人或者存在直接控股、管理关系的不同供应商，不得参加同一合同项下的政府采购活动；本项目不接受联合体投标。</w:t>
      </w:r>
    </w:p>
    <w:p w14:paraId="1396A211">
      <w:pPr>
        <w:keepNext w:val="0"/>
        <w:keepLines w:val="0"/>
        <w:pageBreakBefore w:val="0"/>
        <w:widowControl/>
        <w:suppressLineNumbers w:val="0"/>
        <w:kinsoku/>
        <w:wordWrap/>
        <w:overflowPunct/>
        <w:topLinePunct w:val="0"/>
        <w:autoSpaceDE/>
        <w:autoSpaceDN/>
        <w:bidi w:val="0"/>
        <w:adjustRightInd/>
        <w:snapToGrid/>
        <w:spacing w:line="360" w:lineRule="auto"/>
        <w:jc w:val="left"/>
      </w:pPr>
      <w:r>
        <w:rPr>
          <w:rFonts w:hint="eastAsia" w:ascii="宋体" w:hAnsi="宋体" w:cs="宋体"/>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供应商须提供具有履行合同所必需的设备和专业技术能力的承诺函；</w:t>
      </w:r>
    </w:p>
    <w:p w14:paraId="1763CC63">
      <w:pPr>
        <w:keepNext w:val="0"/>
        <w:keepLines w:val="0"/>
        <w:pageBreakBefore w:val="0"/>
        <w:widowControl/>
        <w:suppressLineNumbers w:val="0"/>
        <w:kinsoku/>
        <w:wordWrap/>
        <w:overflowPunct/>
        <w:topLinePunct w:val="0"/>
        <w:autoSpaceDE/>
        <w:autoSpaceDN/>
        <w:bidi w:val="0"/>
        <w:adjustRightInd/>
        <w:snapToGrid/>
        <w:spacing w:line="360" w:lineRule="auto"/>
        <w:jc w:val="left"/>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w:t>
      </w:r>
      <w:r>
        <w:rPr>
          <w:rFonts w:hint="eastAsia" w:ascii="宋体" w:hAnsi="宋体" w:cs="宋体"/>
          <w:i w:val="0"/>
          <w:iCs w:val="0"/>
          <w:caps w:val="0"/>
          <w:color w:val="333333"/>
          <w:spacing w:val="0"/>
          <w:kern w:val="0"/>
          <w:sz w:val="21"/>
          <w:szCs w:val="21"/>
          <w:shd w:val="clear" w:color="auto" w:fill="FFFFFF"/>
          <w:vertAlign w:val="baseline"/>
          <w:lang w:val="en-US" w:eastAsia="zh-CN" w:bidi="ar"/>
        </w:rPr>
        <w:t>10</w:t>
      </w:r>
      <w:r>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t>）</w:t>
      </w:r>
      <w:r>
        <w:rPr>
          <w:rFonts w:hint="eastAsia" w:ascii="宋体" w:hAnsi="宋体" w:eastAsia="宋体" w:cs="宋体"/>
          <w:color w:val="000000"/>
          <w:kern w:val="0"/>
          <w:sz w:val="21"/>
          <w:szCs w:val="21"/>
          <w:lang w:val="en-US" w:eastAsia="zh-CN" w:bidi="ar"/>
        </w:rPr>
        <w:t>本项目不接受联合体响应。</w:t>
      </w:r>
    </w:p>
    <w:p w14:paraId="7252AF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b/>
          <w:bCs/>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b/>
          <w:bCs/>
          <w:i w:val="0"/>
          <w:iCs w:val="0"/>
          <w:caps w:val="0"/>
          <w:color w:val="333333"/>
          <w:spacing w:val="0"/>
          <w:kern w:val="0"/>
          <w:sz w:val="21"/>
          <w:szCs w:val="21"/>
          <w:shd w:val="clear" w:color="auto" w:fill="FFFFFF"/>
          <w:vertAlign w:val="baseline"/>
          <w:lang w:val="en-US" w:eastAsia="zh-CN" w:bidi="ar"/>
        </w:rPr>
        <w:t>五、付款方式</w:t>
      </w:r>
    </w:p>
    <w:p w14:paraId="2FD8E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spacing w:val="0"/>
          <w:sz w:val="21"/>
          <w:szCs w:val="21"/>
          <w:shd w:val="clear" w:fill="FFFFFF"/>
        </w:rPr>
        <w:t>货物经采购方验收合格后，采购方将一次性全额支付合同款项。</w:t>
      </w:r>
    </w:p>
    <w:p w14:paraId="16EB668C"/>
    <w:sectPr>
      <w:pgSz w:w="11906" w:h="16838"/>
      <w:pgMar w:top="1440"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B6F59"/>
    <w:multiLevelType w:val="singleLevel"/>
    <w:tmpl w:val="3C5B6F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ZTlhMTYxNGNkYmVmZDgwYzU1OTc4NWI2ZDA3NWUifQ=="/>
  </w:docVars>
  <w:rsids>
    <w:rsidRoot w:val="028A34AE"/>
    <w:rsid w:val="028A34AE"/>
    <w:rsid w:val="11E525CF"/>
    <w:rsid w:val="149A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5098</Words>
  <Characters>5621</Characters>
  <Lines>0</Lines>
  <Paragraphs>0</Paragraphs>
  <TotalTime>11</TotalTime>
  <ScaleCrop>false</ScaleCrop>
  <LinksUpToDate>false</LinksUpToDate>
  <CharactersWithSpaces>5687</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2024-08-28T00:19:00Z</dcterms:created>
  <dc:creator>冯新</dc:creator>
  <cp:lastModifiedBy>Administrator</cp:lastModifiedBy>
  <dcterms:modified xsi:type="dcterms:W3CDTF">2024-08-28T01:13:33Z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BA4067731B3D4978B87BBB47D09D942F_13</vt:lpwstr>
  </property>
</Properties>
</file>