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E5FAF">
      <w:pPr>
        <w:bidi w:val="0"/>
        <w:jc w:val="center"/>
        <w:rPr>
          <w:rFonts w:hint="eastAsia"/>
          <w:b/>
          <w:bCs/>
          <w:i w:val="0"/>
          <w:iCs w:val="0"/>
          <w:lang w:val="en-US" w:eastAsia="zh-CN"/>
        </w:rPr>
      </w:pPr>
      <w:r>
        <w:rPr>
          <w:rFonts w:hint="eastAsia"/>
          <w:b/>
          <w:bCs/>
          <w:i w:val="0"/>
          <w:iCs w:val="0"/>
          <w:lang w:val="en-US" w:eastAsia="zh-CN"/>
        </w:rPr>
        <w:t>采购项目清单</w:t>
      </w:r>
    </w:p>
    <w:p w14:paraId="280AE56C">
      <w:pPr>
        <w:pStyle w:val="6"/>
        <w:keepNext w:val="0"/>
        <w:keepLines w:val="0"/>
        <w:pageBreakBefore w:val="0"/>
        <w:widowControl w:val="0"/>
        <w:kinsoku/>
        <w:wordWrap w:val="0"/>
        <w:overflowPunct/>
        <w:topLinePunct w:val="0"/>
        <w:autoSpaceDE/>
        <w:autoSpaceDN/>
        <w:bidi w:val="0"/>
        <w:adjustRightInd w:val="0"/>
        <w:snapToGrid w:val="0"/>
        <w:spacing w:before="157" w:beforeLines="50" w:after="157" w:afterLines="50"/>
        <w:textAlignment w:val="auto"/>
        <w:rPr>
          <w:rFonts w:hint="eastAsia"/>
          <w:b/>
          <w:bCs/>
          <w:color w:val="auto"/>
          <w:highlight w:val="none"/>
          <w:lang w:val="en-US" w:eastAsia="zh-CN"/>
        </w:rPr>
      </w:pPr>
      <w:bookmarkStart w:id="1" w:name="_GoBack"/>
      <w:bookmarkEnd w:id="1"/>
      <w:r>
        <w:rPr>
          <w:rFonts w:hint="eastAsia"/>
          <w:b/>
          <w:bCs/>
          <w:color w:val="auto"/>
          <w:highlight w:val="none"/>
          <w:lang w:val="en-US" w:eastAsia="zh-CN"/>
        </w:rPr>
        <w:t>（一）国家传染病智能监测预警前置软件</w:t>
      </w:r>
      <w:r>
        <w:rPr>
          <w:rFonts w:hint="eastAsia" w:cs="宋体"/>
          <w:b/>
          <w:bCs/>
          <w:color w:val="auto"/>
          <w:highlight w:val="none"/>
          <w:lang w:val="en-US" w:eastAsia="zh-CN"/>
        </w:rPr>
        <w:t>（含急诊留观系统）</w:t>
      </w:r>
    </w:p>
    <w:p w14:paraId="38CDF609">
      <w:pPr>
        <w:ind w:firstLine="480" w:firstLineChars="200"/>
        <w:rPr>
          <w:rFonts w:hint="default" w:ascii="宋体" w:hAnsi="宋体" w:eastAsia="宋体" w:cs="宋体"/>
          <w:color w:val="auto"/>
          <w:highlight w:val="none"/>
          <w:lang w:val="en-US" w:eastAsia="zh-CN"/>
        </w:rPr>
      </w:pPr>
      <w:r>
        <w:rPr>
          <w:rFonts w:hint="eastAsia" w:cs="宋体"/>
          <w:color w:val="auto"/>
          <w:highlight w:val="none"/>
          <w:lang w:val="en-US" w:eastAsia="zh-CN"/>
        </w:rPr>
        <w:t>1、</w:t>
      </w:r>
      <w:r>
        <w:rPr>
          <w:rFonts w:hint="eastAsia"/>
          <w:b/>
          <w:bCs/>
          <w:color w:val="auto"/>
          <w:highlight w:val="none"/>
          <w:lang w:val="en-US" w:eastAsia="zh-CN"/>
        </w:rPr>
        <w:t>国家传染病智能监测预警前置软件</w:t>
      </w:r>
    </w:p>
    <w:p w14:paraId="12E7A16D">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满足国家传染病智能监测预警前置软件(以下简称前置软件)部署应用及接口HIS系统环境改造的相关要求，实现医疗机构传染病相关数据于国家相关平台自动化交换，数据集成、风险识别、智能分析、统计、报表和及时预警</w:t>
      </w:r>
      <w:r>
        <w:rPr>
          <w:rFonts w:hint="eastAsia" w:cs="宋体"/>
          <w:color w:val="auto"/>
          <w:highlight w:val="none"/>
          <w:lang w:val="en-US" w:eastAsia="zh-CN"/>
        </w:rPr>
        <w:t>等功能</w:t>
      </w:r>
      <w:r>
        <w:rPr>
          <w:rFonts w:hint="eastAsia" w:ascii="宋体" w:hAnsi="宋体" w:eastAsia="宋体" w:cs="宋体"/>
          <w:color w:val="auto"/>
          <w:highlight w:val="none"/>
          <w:lang w:val="en-US" w:eastAsia="zh-CN"/>
        </w:rPr>
        <w:t>。</w:t>
      </w:r>
    </w:p>
    <w:p w14:paraId="16063615">
      <w:pPr>
        <w:ind w:firstLine="482" w:firstLineChars="200"/>
        <w:rPr>
          <w:rFonts w:hint="default" w:cs="宋体"/>
          <w:b/>
          <w:bCs/>
          <w:color w:val="FF0000"/>
          <w:highlight w:val="none"/>
          <w:lang w:val="en-US" w:eastAsia="zh-CN"/>
        </w:rPr>
      </w:pPr>
      <w:r>
        <w:rPr>
          <w:rFonts w:hint="eastAsia" w:cs="宋体"/>
          <w:b/>
          <w:bCs/>
          <w:color w:val="auto"/>
          <w:highlight w:val="none"/>
          <w:lang w:val="en-US" w:eastAsia="zh-CN"/>
        </w:rPr>
        <w:t>2、急诊留观系统</w:t>
      </w:r>
    </w:p>
    <w:p w14:paraId="47704710">
      <w:pPr>
        <w:ind w:firstLine="482" w:firstLineChars="200"/>
        <w:rPr>
          <w:rFonts w:hint="eastAsia" w:ascii="宋体" w:hAnsi="宋体" w:eastAsia="宋体" w:cs="宋体"/>
          <w:b/>
          <w:bCs/>
          <w:color w:val="000000"/>
          <w:highlight w:val="none"/>
          <w:lang w:val="en-US" w:eastAsia="zh-CN"/>
        </w:rPr>
      </w:pPr>
      <w:r>
        <w:rPr>
          <w:rFonts w:hint="eastAsia" w:cs="宋体"/>
          <w:b/>
          <w:bCs/>
          <w:color w:val="000000"/>
          <w:highlight w:val="none"/>
          <w:lang w:val="en-US" w:eastAsia="zh-CN"/>
        </w:rPr>
        <w:t>2.1</w:t>
      </w:r>
      <w:r>
        <w:rPr>
          <w:rFonts w:hint="eastAsia" w:ascii="宋体" w:hAnsi="宋体" w:eastAsia="宋体" w:cs="宋体"/>
          <w:b/>
          <w:bCs/>
          <w:color w:val="000000"/>
          <w:highlight w:val="none"/>
          <w:lang w:val="en-US" w:eastAsia="zh-CN"/>
        </w:rPr>
        <w:t>急诊留观护士站</w:t>
      </w:r>
    </w:p>
    <w:p w14:paraId="30F0A2E8">
      <w:pPr>
        <w:ind w:firstLine="480" w:firstLineChars="200"/>
        <w:rPr>
          <w:rFonts w:hint="eastAsia" w:ascii="宋体" w:hAnsi="宋体" w:eastAsia="宋体" w:cs="宋体"/>
          <w:color w:val="000000"/>
          <w:highlight w:val="none"/>
          <w:lang w:val="en-US" w:eastAsia="zh-CN"/>
        </w:rPr>
      </w:pPr>
      <w:r>
        <w:rPr>
          <w:rFonts w:hint="eastAsia" w:cs="宋体"/>
          <w:color w:val="000000"/>
          <w:highlight w:val="none"/>
          <w:lang w:val="en-US" w:eastAsia="zh-CN"/>
        </w:rPr>
        <w:t>（1）</w:t>
      </w:r>
      <w:r>
        <w:rPr>
          <w:rFonts w:hint="eastAsia" w:ascii="宋体" w:hAnsi="宋体" w:eastAsia="宋体" w:cs="宋体"/>
          <w:color w:val="000000"/>
          <w:highlight w:val="none"/>
          <w:lang w:val="en-US" w:eastAsia="zh-CN"/>
        </w:rPr>
        <w:t>支持自动获取患者基本信息，支持按照患者诊疗卡号、挂号序号、发票号和姓名等不同类型标识患者；</w:t>
      </w:r>
    </w:p>
    <w:p w14:paraId="7BC40D48">
      <w:pPr>
        <w:ind w:firstLine="480" w:firstLineChars="200"/>
        <w:rPr>
          <w:rFonts w:hint="eastAsia" w:ascii="宋体" w:hAnsi="宋体" w:eastAsia="宋体" w:cs="宋体"/>
          <w:color w:val="000000"/>
          <w:highlight w:val="none"/>
          <w:lang w:val="en-US" w:eastAsia="zh-CN"/>
        </w:rPr>
      </w:pPr>
      <w:r>
        <w:rPr>
          <w:rFonts w:hint="eastAsia" w:cs="宋体"/>
          <w:color w:val="000000"/>
          <w:highlight w:val="none"/>
          <w:lang w:val="en-US" w:eastAsia="zh-CN"/>
        </w:rPr>
        <w:t>（2）</w:t>
      </w:r>
      <w:r>
        <w:rPr>
          <w:rFonts w:hint="eastAsia" w:ascii="宋体" w:hAnsi="宋体" w:eastAsia="宋体" w:cs="宋体"/>
          <w:color w:val="000000"/>
          <w:highlight w:val="none"/>
          <w:lang w:val="en-US" w:eastAsia="zh-CN"/>
        </w:rPr>
        <w:t>支持自动获取医生处方信息，包括处方内容、医生、时间、是否已缴费等信息；</w:t>
      </w:r>
    </w:p>
    <w:p w14:paraId="66C5D834">
      <w:pPr>
        <w:ind w:firstLine="480" w:firstLineChars="200"/>
        <w:rPr>
          <w:rFonts w:hint="eastAsia" w:ascii="宋体" w:hAnsi="宋体" w:eastAsia="宋体" w:cs="宋体"/>
          <w:color w:val="000000"/>
          <w:highlight w:val="none"/>
          <w:lang w:val="en-US" w:eastAsia="zh-CN"/>
        </w:rPr>
      </w:pPr>
      <w:r>
        <w:rPr>
          <w:rFonts w:hint="eastAsia" w:cs="宋体"/>
          <w:color w:val="000000"/>
          <w:highlight w:val="none"/>
          <w:lang w:val="en-US" w:eastAsia="zh-CN"/>
        </w:rPr>
        <w:t>（3）</w:t>
      </w:r>
      <w:r>
        <w:rPr>
          <w:rFonts w:hint="eastAsia" w:ascii="宋体" w:hAnsi="宋体" w:eastAsia="宋体" w:cs="宋体"/>
          <w:color w:val="000000"/>
          <w:highlight w:val="none"/>
          <w:lang w:val="en-US" w:eastAsia="zh-CN"/>
        </w:rPr>
        <w:t>支持自动获取材料费、注射法、留观费用等护理相关收费项目名称、规格、价格，检索方式有模糊查找、定位查找、关键词查找等。</w:t>
      </w:r>
    </w:p>
    <w:p w14:paraId="273F926F">
      <w:pPr>
        <w:ind w:firstLine="480" w:firstLineChars="200"/>
        <w:rPr>
          <w:rFonts w:hint="eastAsia" w:ascii="宋体" w:hAnsi="宋体" w:eastAsia="宋体" w:cs="宋体"/>
          <w:color w:val="000000"/>
          <w:highlight w:val="none"/>
          <w:lang w:val="en-US" w:eastAsia="zh-CN"/>
        </w:rPr>
      </w:pPr>
      <w:r>
        <w:rPr>
          <w:rFonts w:hint="eastAsia" w:cs="宋体"/>
          <w:color w:val="000000"/>
          <w:highlight w:val="none"/>
          <w:lang w:val="en-US" w:eastAsia="zh-CN"/>
        </w:rPr>
        <w:t>（4）</w:t>
      </w:r>
      <w:r>
        <w:rPr>
          <w:rFonts w:hint="eastAsia" w:ascii="宋体" w:hAnsi="宋体" w:eastAsia="宋体" w:cs="宋体"/>
          <w:color w:val="000000"/>
          <w:highlight w:val="none"/>
          <w:lang w:val="en-US" w:eastAsia="zh-CN"/>
        </w:rPr>
        <w:t>支持留观病人床位设置:设置留观床位、座位，支持转床；</w:t>
      </w:r>
    </w:p>
    <w:p w14:paraId="382E3CD5">
      <w:pPr>
        <w:ind w:firstLine="480" w:firstLineChars="200"/>
        <w:rPr>
          <w:rFonts w:hint="eastAsia" w:ascii="宋体" w:hAnsi="宋体" w:eastAsia="宋体" w:cs="宋体"/>
          <w:color w:val="000000"/>
          <w:highlight w:val="none"/>
          <w:lang w:val="en-US" w:eastAsia="zh-CN"/>
        </w:rPr>
      </w:pPr>
      <w:r>
        <w:rPr>
          <w:rFonts w:hint="eastAsia" w:cs="宋体"/>
          <w:color w:val="000000"/>
          <w:highlight w:val="none"/>
          <w:lang w:val="en-US" w:eastAsia="zh-CN"/>
        </w:rPr>
        <w:t>（5）</w:t>
      </w:r>
      <w:r>
        <w:rPr>
          <w:rFonts w:hint="eastAsia" w:ascii="宋体" w:hAnsi="宋体" w:eastAsia="宋体" w:cs="宋体"/>
          <w:color w:val="000000"/>
          <w:highlight w:val="none"/>
          <w:lang w:val="en-US" w:eastAsia="zh-CN"/>
        </w:rPr>
        <w:t>留观登记：门诊护士根据实际情况，决定患者是否需要急诊留观，进行留观登记、结束留观操作；</w:t>
      </w:r>
    </w:p>
    <w:p w14:paraId="0695A34C">
      <w:pPr>
        <w:ind w:firstLine="480" w:firstLineChars="200"/>
        <w:rPr>
          <w:rFonts w:hint="eastAsia" w:ascii="宋体" w:hAnsi="宋体" w:eastAsia="宋体" w:cs="宋体"/>
          <w:color w:val="000000"/>
          <w:highlight w:val="none"/>
          <w:lang w:val="en-US" w:eastAsia="zh-CN"/>
        </w:rPr>
      </w:pPr>
      <w:r>
        <w:rPr>
          <w:rFonts w:hint="eastAsia" w:cs="宋体"/>
          <w:color w:val="000000"/>
          <w:highlight w:val="none"/>
          <w:lang w:val="en-US" w:eastAsia="zh-CN"/>
        </w:rPr>
        <w:t>（6）</w:t>
      </w:r>
      <w:r>
        <w:rPr>
          <w:rFonts w:hint="eastAsia" w:ascii="宋体" w:hAnsi="宋体" w:eastAsia="宋体" w:cs="宋体"/>
          <w:color w:val="000000"/>
          <w:highlight w:val="none"/>
          <w:lang w:val="en-US" w:eastAsia="zh-CN"/>
        </w:rPr>
        <w:t>急诊留观处方划价:针对急诊留观患者进行处方划价（支持各类模板的调用）；</w:t>
      </w:r>
    </w:p>
    <w:p w14:paraId="1EEF38CC">
      <w:pPr>
        <w:ind w:firstLine="480" w:firstLineChars="200"/>
        <w:rPr>
          <w:rFonts w:hint="eastAsia" w:ascii="宋体" w:hAnsi="宋体" w:eastAsia="宋体" w:cs="宋体"/>
          <w:color w:val="000000"/>
          <w:highlight w:val="none"/>
          <w:lang w:val="en-US" w:eastAsia="zh-CN"/>
        </w:rPr>
      </w:pPr>
      <w:r>
        <w:rPr>
          <w:rFonts w:hint="eastAsia" w:cs="宋体"/>
          <w:color w:val="000000"/>
          <w:highlight w:val="none"/>
          <w:lang w:val="en-US" w:eastAsia="zh-CN"/>
        </w:rPr>
        <w:t>（7）</w:t>
      </w:r>
      <w:r>
        <w:rPr>
          <w:rFonts w:hint="eastAsia" w:ascii="宋体" w:hAnsi="宋体" w:eastAsia="宋体" w:cs="宋体"/>
          <w:color w:val="000000"/>
          <w:highlight w:val="none"/>
          <w:lang w:val="en-US" w:eastAsia="zh-CN"/>
        </w:rPr>
        <w:t>提供新开医嘱列表和核对确认功能；</w:t>
      </w:r>
    </w:p>
    <w:p w14:paraId="2FD3F941">
      <w:pPr>
        <w:ind w:firstLine="480" w:firstLineChars="200"/>
        <w:rPr>
          <w:rFonts w:hint="eastAsia" w:ascii="宋体" w:hAnsi="宋体" w:eastAsia="宋体" w:cs="宋体"/>
          <w:color w:val="000000"/>
          <w:highlight w:val="none"/>
          <w:lang w:val="en-US" w:eastAsia="zh-CN"/>
        </w:rPr>
      </w:pPr>
      <w:r>
        <w:rPr>
          <w:rFonts w:hint="eastAsia" w:cs="宋体"/>
          <w:color w:val="000000"/>
          <w:highlight w:val="none"/>
          <w:lang w:val="en-US" w:eastAsia="zh-CN"/>
        </w:rPr>
        <w:t>（8）</w:t>
      </w:r>
      <w:r>
        <w:rPr>
          <w:rFonts w:hint="eastAsia" w:ascii="宋体" w:hAnsi="宋体" w:eastAsia="宋体" w:cs="宋体"/>
          <w:color w:val="000000"/>
          <w:highlight w:val="none"/>
          <w:lang w:val="en-US" w:eastAsia="zh-CN"/>
        </w:rPr>
        <w:t>能处理病人分几天多次注射的情况，系统能支持可通过各种查询方法查阅或打印病人注射计划或注射情况；</w:t>
      </w:r>
    </w:p>
    <w:p w14:paraId="54367146">
      <w:pPr>
        <w:ind w:firstLine="480" w:firstLineChars="200"/>
        <w:rPr>
          <w:rFonts w:hint="eastAsia" w:ascii="宋体" w:hAnsi="宋体" w:eastAsia="宋体" w:cs="宋体"/>
          <w:color w:val="000000"/>
          <w:highlight w:val="none"/>
          <w:lang w:val="en-US" w:eastAsia="zh-CN"/>
        </w:rPr>
      </w:pPr>
      <w:r>
        <w:rPr>
          <w:rFonts w:hint="eastAsia" w:cs="宋体"/>
          <w:color w:val="000000"/>
          <w:highlight w:val="none"/>
          <w:lang w:val="en-US" w:eastAsia="zh-CN"/>
        </w:rPr>
        <w:t>（9）</w:t>
      </w:r>
      <w:r>
        <w:rPr>
          <w:rFonts w:hint="eastAsia" w:ascii="宋体" w:hAnsi="宋体" w:eastAsia="宋体" w:cs="宋体"/>
          <w:color w:val="000000"/>
          <w:highlight w:val="none"/>
          <w:lang w:val="en-US" w:eastAsia="zh-CN"/>
        </w:rPr>
        <w:t>医嘱执行：自动记录医嘱核对者、核对时间、执行者和执行时间；</w:t>
      </w:r>
    </w:p>
    <w:p w14:paraId="61B270E7">
      <w:pPr>
        <w:ind w:firstLine="480" w:firstLineChars="200"/>
        <w:rPr>
          <w:rFonts w:hint="eastAsia" w:ascii="宋体" w:hAnsi="宋体" w:eastAsia="宋体" w:cs="宋体"/>
          <w:color w:val="000000"/>
          <w:highlight w:val="none"/>
          <w:lang w:val="en-US" w:eastAsia="zh-CN"/>
        </w:rPr>
      </w:pPr>
      <w:r>
        <w:rPr>
          <w:rFonts w:hint="eastAsia" w:cs="宋体"/>
          <w:color w:val="000000"/>
          <w:highlight w:val="none"/>
          <w:lang w:val="en-US" w:eastAsia="zh-CN"/>
        </w:rPr>
        <w:t>（10）</w:t>
      </w:r>
      <w:r>
        <w:rPr>
          <w:rFonts w:hint="eastAsia" w:ascii="宋体" w:hAnsi="宋体" w:eastAsia="宋体" w:cs="宋体"/>
          <w:color w:val="000000"/>
          <w:highlight w:val="none"/>
          <w:lang w:val="en-US" w:eastAsia="zh-CN"/>
        </w:rPr>
        <w:t>支持根据医嘱内容生成临床需要的各种执行单，提供各类执行单（包括输液卡、瓶签等）打印功能；</w:t>
      </w:r>
    </w:p>
    <w:p w14:paraId="60F8EF94">
      <w:pPr>
        <w:ind w:firstLine="480" w:firstLineChars="200"/>
        <w:rPr>
          <w:rFonts w:hint="eastAsia" w:ascii="宋体" w:hAnsi="宋体" w:eastAsia="宋体" w:cs="宋体"/>
          <w:color w:val="000000"/>
          <w:highlight w:val="none"/>
          <w:lang w:val="en-US" w:eastAsia="zh-CN"/>
        </w:rPr>
      </w:pPr>
      <w:r>
        <w:rPr>
          <w:rFonts w:hint="eastAsia" w:cs="宋体"/>
          <w:color w:val="000000"/>
          <w:highlight w:val="none"/>
          <w:lang w:val="en-US" w:eastAsia="zh-CN"/>
        </w:rPr>
        <w:t>（11）</w:t>
      </w:r>
      <w:r>
        <w:rPr>
          <w:rFonts w:hint="eastAsia" w:ascii="宋体" w:hAnsi="宋体" w:eastAsia="宋体" w:cs="宋体"/>
          <w:color w:val="000000"/>
          <w:highlight w:val="none"/>
          <w:lang w:val="en-US" w:eastAsia="zh-CN"/>
        </w:rPr>
        <w:t>提供医嘱核对和执行情况查询功能；</w:t>
      </w:r>
    </w:p>
    <w:p w14:paraId="0BB8E189">
      <w:pPr>
        <w:ind w:firstLine="480" w:firstLineChars="200"/>
        <w:rPr>
          <w:rFonts w:hint="eastAsia" w:ascii="宋体" w:hAnsi="宋体" w:eastAsia="宋体" w:cs="宋体"/>
          <w:color w:val="000000"/>
          <w:highlight w:val="none"/>
          <w:lang w:val="en-US" w:eastAsia="zh-CN"/>
        </w:rPr>
      </w:pPr>
      <w:r>
        <w:rPr>
          <w:rFonts w:hint="eastAsia" w:cs="宋体"/>
          <w:color w:val="000000"/>
          <w:highlight w:val="none"/>
          <w:lang w:val="en-US" w:eastAsia="zh-CN"/>
        </w:rPr>
        <w:t>（12）</w:t>
      </w:r>
      <w:r>
        <w:rPr>
          <w:rFonts w:hint="eastAsia" w:ascii="宋体" w:hAnsi="宋体" w:eastAsia="宋体" w:cs="宋体"/>
          <w:color w:val="000000"/>
          <w:highlight w:val="none"/>
          <w:lang w:val="en-US" w:eastAsia="zh-CN"/>
        </w:rPr>
        <w:t>医嘱执行过程中患者姓名、床号、医嘱内容的核对，以及皮试结果录入、支持记录皮试开始时间等功能；</w:t>
      </w:r>
    </w:p>
    <w:p w14:paraId="0F4FC39E">
      <w:pPr>
        <w:ind w:firstLine="480" w:firstLineChars="200"/>
        <w:rPr>
          <w:rFonts w:hint="eastAsia" w:ascii="宋体" w:hAnsi="宋体" w:eastAsia="宋体" w:cs="宋体"/>
          <w:color w:val="000000"/>
          <w:highlight w:val="none"/>
          <w:lang w:val="en-US" w:eastAsia="zh-CN"/>
        </w:rPr>
      </w:pPr>
      <w:r>
        <w:rPr>
          <w:rFonts w:hint="eastAsia" w:cs="宋体"/>
          <w:color w:val="000000"/>
          <w:highlight w:val="none"/>
          <w:lang w:val="en-US" w:eastAsia="zh-CN"/>
        </w:rPr>
        <w:t>（13）</w:t>
      </w:r>
      <w:r>
        <w:rPr>
          <w:rFonts w:hint="eastAsia" w:ascii="宋体" w:hAnsi="宋体" w:eastAsia="宋体" w:cs="宋体"/>
          <w:color w:val="000000"/>
          <w:highlight w:val="none"/>
          <w:lang w:val="en-US" w:eastAsia="zh-CN"/>
        </w:rPr>
        <w:t>支持将医嘱执行情况反馈至门（急）诊医生工作站，如皮试结果等；</w:t>
      </w:r>
    </w:p>
    <w:p w14:paraId="35D3A57D">
      <w:pPr>
        <w:ind w:firstLine="480" w:firstLineChars="200"/>
        <w:rPr>
          <w:rFonts w:hint="eastAsia" w:ascii="宋体" w:hAnsi="宋体" w:eastAsia="宋体" w:cs="宋体"/>
          <w:color w:val="000000"/>
          <w:highlight w:val="none"/>
          <w:lang w:val="en-US" w:eastAsia="zh-CN"/>
        </w:rPr>
      </w:pPr>
      <w:r>
        <w:rPr>
          <w:rFonts w:hint="eastAsia" w:cs="宋体"/>
          <w:color w:val="000000"/>
          <w:highlight w:val="none"/>
          <w:lang w:val="en-US" w:eastAsia="zh-CN"/>
        </w:rPr>
        <w:t>（14）</w:t>
      </w:r>
      <w:r>
        <w:rPr>
          <w:rFonts w:hint="eastAsia" w:ascii="宋体" w:hAnsi="宋体" w:eastAsia="宋体" w:cs="宋体"/>
          <w:color w:val="000000"/>
          <w:highlight w:val="none"/>
          <w:lang w:val="en-US" w:eastAsia="zh-CN"/>
        </w:rPr>
        <w:t>支持留观患者排队号打印、腕带打印功能；</w:t>
      </w:r>
    </w:p>
    <w:p w14:paraId="05D85EB4">
      <w:pPr>
        <w:ind w:firstLine="480" w:firstLineChars="200"/>
        <w:rPr>
          <w:rFonts w:cs="宋体"/>
          <w:szCs w:val="24"/>
        </w:rPr>
      </w:pPr>
      <w:r>
        <w:rPr>
          <w:rFonts w:hint="eastAsia" w:cs="宋体"/>
          <w:color w:val="000000"/>
          <w:highlight w:val="none"/>
          <w:lang w:val="en-US" w:eastAsia="zh-CN"/>
        </w:rPr>
        <w:t>（15）</w:t>
      </w:r>
      <w:r>
        <w:rPr>
          <w:rFonts w:hint="eastAsia" w:ascii="宋体" w:hAnsi="宋体" w:eastAsia="宋体" w:cs="宋体"/>
          <w:color w:val="000000"/>
          <w:highlight w:val="none"/>
          <w:lang w:val="en-US" w:eastAsia="zh-CN"/>
        </w:rPr>
        <w:t>支持统计查询，如大输液汇总统计、大输液按科室统计、科室费用汇总统计、确费情况统计、大输液明细统计等。</w:t>
      </w:r>
    </w:p>
    <w:p w14:paraId="67E4AAC2">
      <w:pPr>
        <w:ind w:firstLine="482" w:firstLineChars="200"/>
        <w:rPr>
          <w:rFonts w:hint="eastAsia" w:cs="宋体"/>
          <w:b/>
          <w:bCs/>
          <w:color w:val="000000"/>
          <w:highlight w:val="none"/>
          <w:lang w:val="en-US" w:eastAsia="zh-CN"/>
        </w:rPr>
      </w:pPr>
      <w:r>
        <w:rPr>
          <w:rFonts w:hint="eastAsia" w:cs="宋体"/>
          <w:b/>
          <w:bCs/>
          <w:color w:val="000000"/>
          <w:highlight w:val="none"/>
          <w:lang w:val="en-US" w:eastAsia="zh-CN"/>
        </w:rPr>
        <w:t>2.2急诊留观病历</w:t>
      </w:r>
    </w:p>
    <w:p w14:paraId="6F4A4233">
      <w:pPr>
        <w:ind w:firstLine="48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急诊留观护理病历系统的基础是电子病历编辑器。电子病历编辑器是医护人员书写电子病历的基本工具。</w:t>
      </w:r>
    </w:p>
    <w:tbl>
      <w:tblPr>
        <w:tblStyle w:val="7"/>
        <w:tblpPr w:leftFromText="180" w:rightFromText="180" w:vertAnchor="text" w:horzAnchor="page" w:tblpXSpec="center" w:tblpY="418"/>
        <w:tblOverlap w:val="never"/>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52"/>
        <w:gridCol w:w="5562"/>
      </w:tblGrid>
      <w:tr w14:paraId="1013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4" w:type="dxa"/>
            <w:shd w:val="clear" w:color="auto" w:fill="C0C0C0"/>
            <w:vAlign w:val="center"/>
          </w:tcPr>
          <w:p w14:paraId="7C688B73">
            <w:pPr>
              <w:spacing w:before="60" w:after="60"/>
              <w:ind w:right="-67" w:firstLine="0" w:firstLineChars="0"/>
              <w:rPr>
                <w:rFonts w:hint="eastAsia" w:ascii="宋体" w:hAnsi="宋体" w:eastAsia="宋体" w:cs="宋体"/>
                <w:b/>
                <w:sz w:val="20"/>
                <w:szCs w:val="20"/>
              </w:rPr>
            </w:pPr>
            <w:r>
              <w:rPr>
                <w:rFonts w:hint="eastAsia" w:ascii="宋体" w:hAnsi="宋体" w:eastAsia="宋体" w:cs="宋体"/>
                <w:b/>
                <w:sz w:val="20"/>
                <w:szCs w:val="20"/>
              </w:rPr>
              <w:t>模块名称</w:t>
            </w:r>
          </w:p>
        </w:tc>
        <w:tc>
          <w:tcPr>
            <w:tcW w:w="1852" w:type="dxa"/>
            <w:shd w:val="clear" w:color="auto" w:fill="C0C0C0"/>
            <w:vAlign w:val="center"/>
          </w:tcPr>
          <w:p w14:paraId="517629FB">
            <w:pPr>
              <w:spacing w:before="60" w:after="60"/>
              <w:ind w:left="-57" w:right="-57" w:firstLine="522"/>
              <w:jc w:val="center"/>
              <w:rPr>
                <w:rFonts w:hint="eastAsia" w:ascii="宋体" w:hAnsi="宋体" w:eastAsia="宋体" w:cs="宋体"/>
                <w:b/>
                <w:sz w:val="20"/>
                <w:szCs w:val="20"/>
              </w:rPr>
            </w:pPr>
            <w:r>
              <w:rPr>
                <w:rFonts w:hint="eastAsia" w:ascii="宋体" w:hAnsi="宋体" w:eastAsia="宋体" w:cs="宋体"/>
                <w:b/>
                <w:sz w:val="20"/>
                <w:szCs w:val="20"/>
              </w:rPr>
              <w:t>功能名称</w:t>
            </w:r>
          </w:p>
        </w:tc>
        <w:tc>
          <w:tcPr>
            <w:tcW w:w="5562" w:type="dxa"/>
            <w:shd w:val="clear" w:color="auto" w:fill="C0C0C0"/>
            <w:vAlign w:val="center"/>
          </w:tcPr>
          <w:p w14:paraId="444FAD2D">
            <w:pPr>
              <w:spacing w:before="60" w:after="60"/>
              <w:ind w:left="-57" w:right="-57" w:firstLine="522"/>
              <w:jc w:val="center"/>
              <w:rPr>
                <w:rFonts w:hint="eastAsia" w:ascii="宋体" w:hAnsi="宋体" w:eastAsia="宋体" w:cs="宋体"/>
                <w:b/>
                <w:sz w:val="20"/>
                <w:szCs w:val="20"/>
              </w:rPr>
            </w:pPr>
            <w:r>
              <w:rPr>
                <w:rFonts w:hint="eastAsia" w:ascii="宋体" w:hAnsi="宋体" w:eastAsia="宋体" w:cs="宋体"/>
                <w:b/>
                <w:sz w:val="20"/>
                <w:szCs w:val="20"/>
              </w:rPr>
              <w:t>功  能  描  述</w:t>
            </w:r>
          </w:p>
        </w:tc>
      </w:tr>
      <w:tr w14:paraId="6CCE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384" w:type="dxa"/>
            <w:vMerge w:val="restart"/>
            <w:vAlign w:val="center"/>
          </w:tcPr>
          <w:p w14:paraId="21F6DB61">
            <w:pPr>
              <w:spacing w:before="60" w:after="60"/>
              <w:ind w:right="-57" w:firstLine="0" w:firstLineChars="0"/>
              <w:jc w:val="center"/>
              <w:rPr>
                <w:rFonts w:hint="eastAsia" w:ascii="宋体" w:hAnsi="宋体" w:eastAsia="宋体" w:cs="宋体"/>
                <w:sz w:val="20"/>
                <w:szCs w:val="20"/>
              </w:rPr>
            </w:pPr>
            <w:r>
              <w:rPr>
                <w:rFonts w:hint="eastAsia" w:ascii="宋体" w:hAnsi="宋体" w:eastAsia="宋体" w:cs="宋体"/>
                <w:b/>
                <w:sz w:val="20"/>
                <w:szCs w:val="20"/>
              </w:rPr>
              <w:t>病历字典</w:t>
            </w:r>
          </w:p>
        </w:tc>
        <w:tc>
          <w:tcPr>
            <w:tcW w:w="1852" w:type="dxa"/>
            <w:vAlign w:val="center"/>
          </w:tcPr>
          <w:p w14:paraId="317CC627">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宏元素</w:t>
            </w:r>
          </w:p>
        </w:tc>
        <w:tc>
          <w:tcPr>
            <w:tcW w:w="5562" w:type="dxa"/>
            <w:vAlign w:val="center"/>
          </w:tcPr>
          <w:p w14:paraId="5D4AD781">
            <w:pPr>
              <w:spacing w:before="60" w:after="60"/>
              <w:ind w:left="-57" w:right="-57" w:firstLine="0" w:firstLineChars="0"/>
              <w:rPr>
                <w:rFonts w:hint="eastAsia" w:ascii="宋体" w:hAnsi="宋体" w:eastAsia="宋体" w:cs="宋体"/>
                <w:sz w:val="20"/>
                <w:szCs w:val="20"/>
              </w:rPr>
            </w:pPr>
            <w:r>
              <w:rPr>
                <w:rFonts w:hint="eastAsia" w:ascii="宋体" w:hAnsi="宋体" w:eastAsia="宋体" w:cs="宋体"/>
                <w:sz w:val="20"/>
                <w:szCs w:val="20"/>
              </w:rPr>
              <w:t>宏元素有三种类型：字符型、数字型、日期型，病历中的维护的宏元素是通过sql语句查询显示各个变量</w:t>
            </w:r>
          </w:p>
        </w:tc>
      </w:tr>
      <w:tr w14:paraId="4EF7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4" w:type="dxa"/>
            <w:vMerge w:val="continue"/>
            <w:vAlign w:val="center"/>
          </w:tcPr>
          <w:p w14:paraId="749792E4">
            <w:pPr>
              <w:spacing w:before="60" w:after="60"/>
              <w:ind w:right="-57" w:firstLine="0" w:firstLineChars="0"/>
              <w:jc w:val="center"/>
              <w:rPr>
                <w:rFonts w:hint="eastAsia" w:ascii="宋体" w:hAnsi="宋体" w:eastAsia="宋体" w:cs="宋体"/>
                <w:b/>
                <w:sz w:val="20"/>
                <w:szCs w:val="20"/>
              </w:rPr>
            </w:pPr>
          </w:p>
        </w:tc>
        <w:tc>
          <w:tcPr>
            <w:tcW w:w="1852" w:type="dxa"/>
            <w:vAlign w:val="center"/>
          </w:tcPr>
          <w:p w14:paraId="1DACE026">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病历分类</w:t>
            </w:r>
          </w:p>
        </w:tc>
        <w:tc>
          <w:tcPr>
            <w:tcW w:w="5562" w:type="dxa"/>
            <w:vAlign w:val="center"/>
          </w:tcPr>
          <w:p w14:paraId="2BE13BA2">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对应病历模板维护中的模板类别</w:t>
            </w:r>
          </w:p>
        </w:tc>
      </w:tr>
      <w:tr w14:paraId="1BC9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384" w:type="dxa"/>
            <w:vMerge w:val="continue"/>
            <w:vAlign w:val="center"/>
          </w:tcPr>
          <w:p w14:paraId="5B9EABB0">
            <w:pPr>
              <w:spacing w:before="60" w:after="60"/>
              <w:ind w:right="-57" w:firstLine="0" w:firstLineChars="0"/>
              <w:jc w:val="center"/>
              <w:rPr>
                <w:rFonts w:hint="eastAsia" w:ascii="宋体" w:hAnsi="宋体" w:eastAsia="宋体" w:cs="宋体"/>
                <w:sz w:val="20"/>
                <w:szCs w:val="20"/>
              </w:rPr>
            </w:pPr>
          </w:p>
        </w:tc>
        <w:tc>
          <w:tcPr>
            <w:tcW w:w="1852" w:type="dxa"/>
            <w:vAlign w:val="center"/>
          </w:tcPr>
          <w:p w14:paraId="330B6C25">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病历模板维护</w:t>
            </w:r>
          </w:p>
        </w:tc>
        <w:tc>
          <w:tcPr>
            <w:tcW w:w="5562" w:type="dxa"/>
            <w:vAlign w:val="center"/>
          </w:tcPr>
          <w:p w14:paraId="11813A76">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左侧显示护理分类及分类下已经创建的模板，中间显示模板内容，右侧显示可添加的元素及模板中元素属性</w:t>
            </w:r>
          </w:p>
        </w:tc>
      </w:tr>
      <w:tr w14:paraId="228B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4" w:type="dxa"/>
            <w:vMerge w:val="continue"/>
            <w:vAlign w:val="center"/>
          </w:tcPr>
          <w:p w14:paraId="2E98D131">
            <w:pPr>
              <w:spacing w:before="60" w:after="60"/>
              <w:ind w:right="-57" w:firstLine="0" w:firstLineChars="0"/>
              <w:jc w:val="center"/>
              <w:rPr>
                <w:rFonts w:hint="eastAsia" w:ascii="宋体" w:hAnsi="宋体" w:eastAsia="宋体" w:cs="宋体"/>
                <w:sz w:val="20"/>
                <w:szCs w:val="20"/>
              </w:rPr>
            </w:pPr>
          </w:p>
        </w:tc>
        <w:tc>
          <w:tcPr>
            <w:tcW w:w="1852" w:type="dxa"/>
            <w:vAlign w:val="center"/>
          </w:tcPr>
          <w:p w14:paraId="42ED0AD3">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体温单项目</w:t>
            </w:r>
          </w:p>
        </w:tc>
        <w:tc>
          <w:tcPr>
            <w:tcW w:w="5562" w:type="dxa"/>
            <w:vAlign w:val="center"/>
          </w:tcPr>
          <w:p w14:paraId="29411886">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可以在患者体温及体温录入中进行录入维护</w:t>
            </w:r>
          </w:p>
        </w:tc>
      </w:tr>
      <w:tr w14:paraId="2CE0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84" w:type="dxa"/>
            <w:vMerge w:val="continue"/>
            <w:vAlign w:val="center"/>
          </w:tcPr>
          <w:p w14:paraId="37C48D15">
            <w:pPr>
              <w:spacing w:before="60" w:after="60"/>
              <w:ind w:right="-57" w:firstLine="0" w:firstLineChars="0"/>
              <w:jc w:val="center"/>
              <w:rPr>
                <w:rFonts w:hint="eastAsia" w:ascii="宋体" w:hAnsi="宋体" w:eastAsia="宋体" w:cs="宋体"/>
                <w:sz w:val="20"/>
                <w:szCs w:val="20"/>
              </w:rPr>
            </w:pPr>
          </w:p>
        </w:tc>
        <w:tc>
          <w:tcPr>
            <w:tcW w:w="1852" w:type="dxa"/>
            <w:vAlign w:val="center"/>
          </w:tcPr>
          <w:p w14:paraId="2684BCAA">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体温项目与护理单元对照</w:t>
            </w:r>
          </w:p>
        </w:tc>
        <w:tc>
          <w:tcPr>
            <w:tcW w:w="5562" w:type="dxa"/>
            <w:vAlign w:val="center"/>
          </w:tcPr>
          <w:p w14:paraId="55FE2680">
            <w:pPr>
              <w:spacing w:after="160"/>
              <w:ind w:firstLine="0" w:firstLineChars="0"/>
              <w:rPr>
                <w:rFonts w:hint="eastAsia" w:ascii="宋体" w:hAnsi="宋体" w:eastAsia="宋体" w:cs="宋体"/>
                <w:sz w:val="20"/>
                <w:szCs w:val="20"/>
              </w:rPr>
            </w:pPr>
            <w:r>
              <w:rPr>
                <w:rFonts w:hint="eastAsia" w:ascii="宋体" w:hAnsi="宋体" w:eastAsia="宋体" w:cs="宋体"/>
                <w:sz w:val="20"/>
                <w:szCs w:val="20"/>
              </w:rPr>
              <w:t>患者体温或体温录入中是否可以设置维护这些护理项目</w:t>
            </w:r>
          </w:p>
        </w:tc>
      </w:tr>
      <w:tr w14:paraId="2F9E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384" w:type="dxa"/>
            <w:vMerge w:val="continue"/>
            <w:vAlign w:val="center"/>
          </w:tcPr>
          <w:p w14:paraId="1C56AFE8">
            <w:pPr>
              <w:spacing w:after="160"/>
              <w:ind w:firstLine="0" w:firstLineChars="0"/>
              <w:rPr>
                <w:rFonts w:hint="eastAsia" w:ascii="宋体" w:hAnsi="宋体" w:eastAsia="宋体" w:cs="宋体"/>
                <w:sz w:val="20"/>
                <w:szCs w:val="20"/>
              </w:rPr>
            </w:pPr>
          </w:p>
        </w:tc>
        <w:tc>
          <w:tcPr>
            <w:tcW w:w="1852" w:type="dxa"/>
            <w:vAlign w:val="center"/>
          </w:tcPr>
          <w:p w14:paraId="13BC14CC">
            <w:pPr>
              <w:spacing w:after="160"/>
              <w:ind w:firstLine="0" w:firstLineChars="0"/>
              <w:rPr>
                <w:rFonts w:hint="eastAsia" w:ascii="宋体" w:hAnsi="宋体" w:eastAsia="宋体" w:cs="宋体"/>
                <w:sz w:val="20"/>
                <w:szCs w:val="20"/>
              </w:rPr>
            </w:pPr>
            <w:r>
              <w:rPr>
                <w:rFonts w:hint="eastAsia" w:ascii="宋体" w:hAnsi="宋体" w:eastAsia="宋体" w:cs="宋体"/>
                <w:sz w:val="20"/>
                <w:szCs w:val="20"/>
              </w:rPr>
              <w:t>体温单断开规则</w:t>
            </w:r>
          </w:p>
        </w:tc>
        <w:tc>
          <w:tcPr>
            <w:tcW w:w="5562" w:type="dxa"/>
            <w:vAlign w:val="center"/>
          </w:tcPr>
          <w:p w14:paraId="688331B8">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设置体温单断开规则，在体温录入界面，添加该断点项目、设置断点时间后，录入的曲线不在连续，会从该断点时间处断开</w:t>
            </w:r>
          </w:p>
        </w:tc>
      </w:tr>
      <w:tr w14:paraId="10E4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384" w:type="dxa"/>
            <w:vMerge w:val="continue"/>
            <w:vAlign w:val="center"/>
          </w:tcPr>
          <w:p w14:paraId="3AAB7B22">
            <w:pPr>
              <w:spacing w:before="60" w:after="60"/>
              <w:ind w:right="-57" w:firstLine="0" w:firstLineChars="0"/>
              <w:rPr>
                <w:rFonts w:hint="eastAsia" w:ascii="宋体" w:hAnsi="宋体" w:eastAsia="宋体" w:cs="宋体"/>
                <w:sz w:val="20"/>
                <w:szCs w:val="20"/>
              </w:rPr>
            </w:pPr>
          </w:p>
        </w:tc>
        <w:tc>
          <w:tcPr>
            <w:tcW w:w="1852" w:type="dxa"/>
            <w:vAlign w:val="center"/>
          </w:tcPr>
          <w:p w14:paraId="322019FF">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护理知识库</w:t>
            </w:r>
          </w:p>
        </w:tc>
        <w:tc>
          <w:tcPr>
            <w:tcW w:w="5562" w:type="dxa"/>
            <w:vAlign w:val="center"/>
          </w:tcPr>
          <w:p w14:paraId="1C779F9B">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可以添加个人、科室护理知识库模板，并可以添加多级分类菜单。维护好后，是在患者护理病历中可以引用知识库的内容</w:t>
            </w:r>
          </w:p>
        </w:tc>
      </w:tr>
      <w:tr w14:paraId="663D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4" w:type="dxa"/>
            <w:vMerge w:val="restart"/>
            <w:vAlign w:val="center"/>
          </w:tcPr>
          <w:p w14:paraId="230F813D">
            <w:pPr>
              <w:spacing w:before="60" w:after="60"/>
              <w:ind w:right="-57" w:firstLine="0" w:firstLineChars="0"/>
              <w:rPr>
                <w:rFonts w:hint="eastAsia" w:ascii="宋体" w:hAnsi="宋体" w:eastAsia="宋体" w:cs="宋体"/>
                <w:sz w:val="20"/>
                <w:szCs w:val="20"/>
              </w:rPr>
            </w:pPr>
            <w:r>
              <w:rPr>
                <w:rFonts w:hint="eastAsia" w:ascii="宋体" w:hAnsi="宋体" w:eastAsia="宋体" w:cs="宋体"/>
                <w:b/>
                <w:sz w:val="20"/>
                <w:szCs w:val="20"/>
              </w:rPr>
              <w:t>留观病历</w:t>
            </w:r>
          </w:p>
        </w:tc>
        <w:tc>
          <w:tcPr>
            <w:tcW w:w="1852" w:type="dxa"/>
            <w:vAlign w:val="center"/>
          </w:tcPr>
          <w:p w14:paraId="0C9E6150">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患者列表</w:t>
            </w:r>
          </w:p>
        </w:tc>
        <w:tc>
          <w:tcPr>
            <w:tcW w:w="5562" w:type="dxa"/>
            <w:vAlign w:val="center"/>
          </w:tcPr>
          <w:p w14:paraId="0983D01E">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患者的显示</w:t>
            </w:r>
          </w:p>
        </w:tc>
      </w:tr>
      <w:tr w14:paraId="747A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4" w:type="dxa"/>
            <w:vMerge w:val="continue"/>
            <w:vAlign w:val="center"/>
          </w:tcPr>
          <w:p w14:paraId="52E5EAFB">
            <w:pPr>
              <w:spacing w:before="60" w:after="60"/>
              <w:ind w:right="-57" w:firstLine="0" w:firstLineChars="0"/>
              <w:rPr>
                <w:rFonts w:hint="eastAsia" w:ascii="宋体" w:hAnsi="宋体" w:eastAsia="宋体" w:cs="宋体"/>
                <w:sz w:val="20"/>
                <w:szCs w:val="20"/>
              </w:rPr>
            </w:pPr>
          </w:p>
        </w:tc>
        <w:tc>
          <w:tcPr>
            <w:tcW w:w="1852" w:type="dxa"/>
            <w:vAlign w:val="center"/>
          </w:tcPr>
          <w:p w14:paraId="2F189914">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患者病历重命名</w:t>
            </w:r>
          </w:p>
        </w:tc>
        <w:tc>
          <w:tcPr>
            <w:tcW w:w="5562" w:type="dxa"/>
            <w:vAlign w:val="center"/>
          </w:tcPr>
          <w:p w14:paraId="513B6D12">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重命名患者病历名称</w:t>
            </w:r>
          </w:p>
        </w:tc>
      </w:tr>
      <w:tr w14:paraId="12AA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4" w:type="dxa"/>
            <w:vMerge w:val="continue"/>
            <w:vAlign w:val="center"/>
          </w:tcPr>
          <w:p w14:paraId="28C3C772">
            <w:pPr>
              <w:spacing w:before="60" w:after="60"/>
              <w:ind w:right="-57" w:firstLine="0" w:firstLineChars="0"/>
              <w:rPr>
                <w:rFonts w:hint="eastAsia" w:ascii="宋体" w:hAnsi="宋体" w:eastAsia="宋体" w:cs="宋体"/>
                <w:sz w:val="20"/>
                <w:szCs w:val="20"/>
              </w:rPr>
            </w:pPr>
          </w:p>
        </w:tc>
        <w:tc>
          <w:tcPr>
            <w:tcW w:w="1852" w:type="dxa"/>
            <w:vAlign w:val="center"/>
          </w:tcPr>
          <w:p w14:paraId="1C3304F4">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查看病历</w:t>
            </w:r>
          </w:p>
        </w:tc>
        <w:tc>
          <w:tcPr>
            <w:tcW w:w="5562" w:type="dxa"/>
            <w:vAlign w:val="center"/>
          </w:tcPr>
          <w:p w14:paraId="3E2AEEF0">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打开患者病历是查看状态，无法修改</w:t>
            </w:r>
          </w:p>
        </w:tc>
      </w:tr>
      <w:tr w14:paraId="41A0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4" w:type="dxa"/>
            <w:vMerge w:val="continue"/>
            <w:vAlign w:val="center"/>
          </w:tcPr>
          <w:p w14:paraId="70AF1FEA">
            <w:pPr>
              <w:spacing w:before="60" w:after="60"/>
              <w:ind w:right="-57" w:firstLine="0" w:firstLineChars="0"/>
              <w:rPr>
                <w:rFonts w:hint="eastAsia" w:ascii="宋体" w:hAnsi="宋体" w:eastAsia="宋体" w:cs="宋体"/>
                <w:sz w:val="20"/>
                <w:szCs w:val="20"/>
              </w:rPr>
            </w:pPr>
          </w:p>
        </w:tc>
        <w:tc>
          <w:tcPr>
            <w:tcW w:w="1852" w:type="dxa"/>
            <w:vAlign w:val="center"/>
          </w:tcPr>
          <w:p w14:paraId="3A85F59C">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删除病历</w:t>
            </w:r>
          </w:p>
        </w:tc>
        <w:tc>
          <w:tcPr>
            <w:tcW w:w="5562" w:type="dxa"/>
            <w:vAlign w:val="center"/>
          </w:tcPr>
          <w:p w14:paraId="3F3D375B">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删除病历操作</w:t>
            </w:r>
          </w:p>
        </w:tc>
      </w:tr>
      <w:tr w14:paraId="660A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84" w:type="dxa"/>
            <w:vMerge w:val="continue"/>
            <w:vAlign w:val="center"/>
          </w:tcPr>
          <w:p w14:paraId="6D72AD97">
            <w:pPr>
              <w:spacing w:after="160"/>
              <w:ind w:firstLine="0" w:firstLineChars="0"/>
              <w:rPr>
                <w:rFonts w:hint="eastAsia" w:ascii="宋体" w:hAnsi="宋体" w:eastAsia="宋体" w:cs="宋体"/>
                <w:sz w:val="20"/>
                <w:szCs w:val="20"/>
              </w:rPr>
            </w:pPr>
          </w:p>
        </w:tc>
        <w:tc>
          <w:tcPr>
            <w:tcW w:w="1852" w:type="dxa"/>
            <w:vAlign w:val="center"/>
          </w:tcPr>
          <w:p w14:paraId="410C8D62">
            <w:pPr>
              <w:spacing w:after="160"/>
              <w:ind w:firstLine="0" w:firstLineChars="0"/>
              <w:rPr>
                <w:rFonts w:hint="eastAsia" w:ascii="宋体" w:hAnsi="宋体" w:eastAsia="宋体" w:cs="宋体"/>
                <w:sz w:val="20"/>
                <w:szCs w:val="20"/>
              </w:rPr>
            </w:pPr>
            <w:r>
              <w:rPr>
                <w:rFonts w:hint="eastAsia" w:ascii="宋体" w:hAnsi="宋体" w:eastAsia="宋体" w:cs="宋体"/>
                <w:sz w:val="20"/>
                <w:szCs w:val="20"/>
              </w:rPr>
              <w:t>编辑病历</w:t>
            </w:r>
          </w:p>
        </w:tc>
        <w:tc>
          <w:tcPr>
            <w:tcW w:w="5562" w:type="dxa"/>
            <w:vAlign w:val="center"/>
          </w:tcPr>
          <w:p w14:paraId="05754BB9">
            <w:pPr>
              <w:spacing w:after="160"/>
              <w:ind w:firstLine="0" w:firstLineChars="0"/>
              <w:rPr>
                <w:rFonts w:hint="eastAsia" w:ascii="宋体" w:hAnsi="宋体" w:eastAsia="宋体" w:cs="宋体"/>
                <w:sz w:val="20"/>
                <w:szCs w:val="20"/>
              </w:rPr>
            </w:pPr>
            <w:r>
              <w:rPr>
                <w:rFonts w:hint="eastAsia" w:ascii="宋体" w:hAnsi="宋体" w:eastAsia="宋体" w:cs="宋体"/>
                <w:sz w:val="20"/>
                <w:szCs w:val="20"/>
              </w:rPr>
              <w:t>对病历进行编辑</w:t>
            </w:r>
          </w:p>
        </w:tc>
      </w:tr>
      <w:tr w14:paraId="0374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384" w:type="dxa"/>
            <w:vMerge w:val="continue"/>
            <w:vAlign w:val="center"/>
          </w:tcPr>
          <w:p w14:paraId="154952B4">
            <w:pPr>
              <w:spacing w:before="60" w:after="60"/>
              <w:ind w:right="-57" w:firstLine="0" w:firstLineChars="0"/>
              <w:rPr>
                <w:rFonts w:hint="eastAsia" w:ascii="宋体" w:hAnsi="宋体" w:eastAsia="宋体" w:cs="宋体"/>
                <w:sz w:val="20"/>
                <w:szCs w:val="20"/>
              </w:rPr>
            </w:pPr>
          </w:p>
        </w:tc>
        <w:tc>
          <w:tcPr>
            <w:tcW w:w="1852" w:type="dxa"/>
            <w:vAlign w:val="center"/>
          </w:tcPr>
          <w:p w14:paraId="61DDF690">
            <w:pPr>
              <w:spacing w:before="60" w:after="60"/>
              <w:ind w:right="-57" w:firstLine="0" w:firstLineChars="0"/>
              <w:rPr>
                <w:rFonts w:hint="eastAsia" w:ascii="宋体" w:hAnsi="宋体" w:eastAsia="宋体" w:cs="宋体"/>
                <w:sz w:val="20"/>
                <w:szCs w:val="20"/>
              </w:rPr>
            </w:pPr>
            <w:r>
              <w:rPr>
                <w:rFonts w:hint="eastAsia" w:cs="宋体"/>
                <w:sz w:val="20"/>
                <w:szCs w:val="20"/>
                <w:lang w:eastAsia="zh-CN"/>
              </w:rPr>
              <w:t>出</w:t>
            </w:r>
            <w:r>
              <w:rPr>
                <w:rFonts w:hint="eastAsia" w:ascii="宋体" w:hAnsi="宋体" w:eastAsia="宋体" w:cs="宋体"/>
                <w:sz w:val="20"/>
                <w:szCs w:val="20"/>
              </w:rPr>
              <w:t>院患者病历提交</w:t>
            </w:r>
          </w:p>
        </w:tc>
        <w:tc>
          <w:tcPr>
            <w:tcW w:w="5562" w:type="dxa"/>
            <w:vAlign w:val="center"/>
          </w:tcPr>
          <w:p w14:paraId="131D1A79">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出院的患者，在病历患者列表中右键患者点击提交病历</w:t>
            </w:r>
          </w:p>
        </w:tc>
      </w:tr>
      <w:tr w14:paraId="6A4E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4" w:type="dxa"/>
            <w:vMerge w:val="continue"/>
            <w:vAlign w:val="center"/>
          </w:tcPr>
          <w:p w14:paraId="03A59A7F">
            <w:pPr>
              <w:spacing w:before="60" w:after="60"/>
              <w:ind w:right="-57" w:firstLine="0" w:firstLineChars="0"/>
              <w:rPr>
                <w:rFonts w:hint="eastAsia" w:ascii="宋体" w:hAnsi="宋体" w:eastAsia="宋体" w:cs="宋体"/>
                <w:sz w:val="20"/>
                <w:szCs w:val="20"/>
              </w:rPr>
            </w:pPr>
          </w:p>
        </w:tc>
        <w:tc>
          <w:tcPr>
            <w:tcW w:w="1852" w:type="dxa"/>
            <w:vAlign w:val="center"/>
          </w:tcPr>
          <w:p w14:paraId="1CCE3072">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护理病历解锁</w:t>
            </w:r>
          </w:p>
        </w:tc>
        <w:tc>
          <w:tcPr>
            <w:tcW w:w="5562" w:type="dxa"/>
            <w:vAlign w:val="center"/>
          </w:tcPr>
          <w:p w14:paraId="18FFF5D6">
            <w:pPr>
              <w:spacing w:before="60" w:after="60"/>
              <w:ind w:left="-57" w:right="-57" w:firstLine="0" w:firstLineChars="0"/>
              <w:rPr>
                <w:rFonts w:hint="eastAsia" w:ascii="宋体" w:hAnsi="宋体" w:eastAsia="宋体" w:cs="宋体"/>
                <w:sz w:val="20"/>
                <w:szCs w:val="20"/>
              </w:rPr>
            </w:pPr>
            <w:r>
              <w:rPr>
                <w:rFonts w:hint="eastAsia" w:ascii="宋体" w:hAnsi="宋体" w:eastAsia="宋体" w:cs="宋体"/>
                <w:sz w:val="20"/>
                <w:szCs w:val="20"/>
              </w:rPr>
              <w:t>解开被锁定的病历</w:t>
            </w:r>
          </w:p>
        </w:tc>
      </w:tr>
      <w:tr w14:paraId="715D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4" w:type="dxa"/>
            <w:vMerge w:val="restart"/>
            <w:vAlign w:val="center"/>
          </w:tcPr>
          <w:p w14:paraId="7F738045">
            <w:pPr>
              <w:spacing w:before="60" w:after="60"/>
              <w:ind w:right="-57" w:firstLine="0" w:firstLineChars="0"/>
              <w:rPr>
                <w:rFonts w:hint="eastAsia" w:ascii="宋体" w:hAnsi="宋体" w:eastAsia="宋体" w:cs="宋体"/>
                <w:sz w:val="20"/>
                <w:szCs w:val="20"/>
              </w:rPr>
            </w:pPr>
            <w:r>
              <w:rPr>
                <w:rFonts w:hint="eastAsia" w:ascii="宋体" w:hAnsi="宋体" w:eastAsia="宋体" w:cs="宋体"/>
                <w:b/>
                <w:sz w:val="20"/>
                <w:szCs w:val="20"/>
              </w:rPr>
              <w:t>病历字典</w:t>
            </w:r>
          </w:p>
        </w:tc>
        <w:tc>
          <w:tcPr>
            <w:tcW w:w="1852" w:type="dxa"/>
            <w:vAlign w:val="center"/>
          </w:tcPr>
          <w:p w14:paraId="6B9E54B5">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护士角色设置</w:t>
            </w:r>
          </w:p>
        </w:tc>
        <w:tc>
          <w:tcPr>
            <w:tcW w:w="5562" w:type="dxa"/>
            <w:vAlign w:val="center"/>
          </w:tcPr>
          <w:p w14:paraId="7AB36C22">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编辑护士的角色</w:t>
            </w:r>
          </w:p>
        </w:tc>
      </w:tr>
      <w:tr w14:paraId="29BF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4" w:type="dxa"/>
            <w:vMerge w:val="continue"/>
            <w:vAlign w:val="center"/>
          </w:tcPr>
          <w:p w14:paraId="477DDF9D">
            <w:pPr>
              <w:spacing w:before="60" w:after="60"/>
              <w:ind w:right="-57" w:firstLine="0" w:firstLineChars="0"/>
              <w:rPr>
                <w:rFonts w:hint="eastAsia" w:ascii="宋体" w:hAnsi="宋体" w:eastAsia="宋体" w:cs="宋体"/>
                <w:sz w:val="20"/>
                <w:szCs w:val="20"/>
              </w:rPr>
            </w:pPr>
          </w:p>
        </w:tc>
        <w:tc>
          <w:tcPr>
            <w:tcW w:w="1852" w:type="dxa"/>
            <w:vAlign w:val="center"/>
          </w:tcPr>
          <w:p w14:paraId="064DD51C">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参数维护</w:t>
            </w:r>
          </w:p>
        </w:tc>
        <w:tc>
          <w:tcPr>
            <w:tcW w:w="5562" w:type="dxa"/>
            <w:vAlign w:val="center"/>
          </w:tcPr>
          <w:p w14:paraId="34632139">
            <w:pPr>
              <w:spacing w:before="60" w:after="60"/>
              <w:ind w:left="-57" w:right="-57" w:firstLine="0" w:firstLineChars="0"/>
              <w:rPr>
                <w:rFonts w:hint="eastAsia" w:ascii="宋体" w:hAnsi="宋体" w:eastAsia="宋体" w:cs="宋体"/>
                <w:sz w:val="20"/>
                <w:szCs w:val="20"/>
              </w:rPr>
            </w:pPr>
            <w:r>
              <w:rPr>
                <w:rFonts w:hint="eastAsia" w:ascii="宋体" w:hAnsi="宋体" w:eastAsia="宋体" w:cs="宋体"/>
                <w:sz w:val="20"/>
                <w:szCs w:val="20"/>
              </w:rPr>
              <w:t>修改参数的值会改变相应的操作结果</w:t>
            </w:r>
          </w:p>
        </w:tc>
      </w:tr>
      <w:tr w14:paraId="309F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4" w:type="dxa"/>
            <w:vMerge w:val="continue"/>
            <w:vAlign w:val="center"/>
          </w:tcPr>
          <w:p w14:paraId="6F59D4CE">
            <w:pPr>
              <w:spacing w:before="60" w:after="60"/>
              <w:ind w:right="-57" w:firstLine="0" w:firstLineChars="0"/>
              <w:rPr>
                <w:rFonts w:hint="eastAsia" w:ascii="宋体" w:hAnsi="宋体" w:eastAsia="宋体" w:cs="宋体"/>
                <w:sz w:val="20"/>
                <w:szCs w:val="20"/>
              </w:rPr>
            </w:pPr>
          </w:p>
        </w:tc>
        <w:tc>
          <w:tcPr>
            <w:tcW w:w="1852" w:type="dxa"/>
            <w:vAlign w:val="center"/>
          </w:tcPr>
          <w:p w14:paraId="50D4C957">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角色维护</w:t>
            </w:r>
          </w:p>
        </w:tc>
        <w:tc>
          <w:tcPr>
            <w:tcW w:w="5562" w:type="dxa"/>
            <w:vAlign w:val="center"/>
          </w:tcPr>
          <w:p w14:paraId="7B347312">
            <w:pPr>
              <w:spacing w:before="60" w:after="60"/>
              <w:ind w:left="-57" w:right="-57" w:firstLine="0" w:firstLineChars="0"/>
              <w:rPr>
                <w:rFonts w:hint="eastAsia" w:ascii="宋体" w:hAnsi="宋体" w:eastAsia="宋体" w:cs="宋体"/>
                <w:sz w:val="20"/>
                <w:szCs w:val="20"/>
              </w:rPr>
            </w:pPr>
            <w:r>
              <w:rPr>
                <w:rFonts w:hint="eastAsia" w:ascii="宋体" w:hAnsi="宋体" w:eastAsia="宋体" w:cs="宋体"/>
                <w:sz w:val="20"/>
                <w:szCs w:val="20"/>
              </w:rPr>
              <w:t>维护护士的角色</w:t>
            </w:r>
          </w:p>
        </w:tc>
      </w:tr>
      <w:tr w14:paraId="0096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4" w:type="dxa"/>
            <w:vMerge w:val="continue"/>
            <w:vAlign w:val="center"/>
          </w:tcPr>
          <w:p w14:paraId="680ECA32">
            <w:pPr>
              <w:spacing w:before="60" w:after="60"/>
              <w:ind w:right="-57" w:firstLine="0" w:firstLineChars="0"/>
              <w:rPr>
                <w:rFonts w:hint="eastAsia" w:ascii="宋体" w:hAnsi="宋体" w:eastAsia="宋体" w:cs="宋体"/>
                <w:sz w:val="20"/>
                <w:szCs w:val="20"/>
              </w:rPr>
            </w:pPr>
          </w:p>
        </w:tc>
        <w:tc>
          <w:tcPr>
            <w:tcW w:w="1852" w:type="dxa"/>
            <w:vAlign w:val="center"/>
          </w:tcPr>
          <w:p w14:paraId="7E02ACD9">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权限维护</w:t>
            </w:r>
          </w:p>
        </w:tc>
        <w:tc>
          <w:tcPr>
            <w:tcW w:w="5562" w:type="dxa"/>
            <w:vAlign w:val="center"/>
          </w:tcPr>
          <w:p w14:paraId="5519EBC6">
            <w:pPr>
              <w:spacing w:before="60" w:after="60"/>
              <w:ind w:left="-57" w:right="-57" w:firstLine="0" w:firstLineChars="0"/>
              <w:rPr>
                <w:rFonts w:hint="eastAsia" w:ascii="宋体" w:hAnsi="宋体" w:eastAsia="宋体" w:cs="宋体"/>
                <w:sz w:val="20"/>
                <w:szCs w:val="20"/>
              </w:rPr>
            </w:pPr>
            <w:r>
              <w:rPr>
                <w:rFonts w:hint="eastAsia" w:ascii="宋体" w:hAnsi="宋体" w:eastAsia="宋体" w:cs="宋体"/>
                <w:sz w:val="20"/>
                <w:szCs w:val="20"/>
              </w:rPr>
              <w:t>编辑权限</w:t>
            </w:r>
          </w:p>
        </w:tc>
      </w:tr>
      <w:tr w14:paraId="70D0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84" w:type="dxa"/>
            <w:vMerge w:val="continue"/>
            <w:vAlign w:val="center"/>
          </w:tcPr>
          <w:p w14:paraId="04FC10DD">
            <w:pPr>
              <w:spacing w:before="60" w:after="60"/>
              <w:ind w:right="-57" w:firstLine="0" w:firstLineChars="0"/>
              <w:rPr>
                <w:rFonts w:hint="eastAsia" w:ascii="宋体" w:hAnsi="宋体" w:eastAsia="宋体" w:cs="宋体"/>
                <w:sz w:val="20"/>
                <w:szCs w:val="20"/>
              </w:rPr>
            </w:pPr>
          </w:p>
        </w:tc>
        <w:tc>
          <w:tcPr>
            <w:tcW w:w="1852" w:type="dxa"/>
            <w:vAlign w:val="center"/>
          </w:tcPr>
          <w:p w14:paraId="1D69F9B7">
            <w:pPr>
              <w:spacing w:before="60" w:after="60"/>
              <w:ind w:right="-57" w:firstLine="0" w:firstLineChars="0"/>
              <w:rPr>
                <w:rFonts w:hint="eastAsia" w:ascii="宋体" w:hAnsi="宋体" w:eastAsia="宋体" w:cs="宋体"/>
                <w:sz w:val="20"/>
                <w:szCs w:val="20"/>
              </w:rPr>
            </w:pPr>
            <w:r>
              <w:rPr>
                <w:rFonts w:hint="eastAsia" w:ascii="宋体" w:hAnsi="宋体" w:eastAsia="宋体" w:cs="宋体"/>
                <w:sz w:val="20"/>
                <w:szCs w:val="20"/>
              </w:rPr>
              <w:t>切换护理单元</w:t>
            </w:r>
          </w:p>
        </w:tc>
        <w:tc>
          <w:tcPr>
            <w:tcW w:w="5562" w:type="dxa"/>
            <w:vAlign w:val="center"/>
          </w:tcPr>
          <w:p w14:paraId="5562BA43">
            <w:pPr>
              <w:spacing w:before="60" w:after="60"/>
              <w:ind w:left="-57" w:right="-57" w:firstLine="0" w:firstLineChars="0"/>
              <w:rPr>
                <w:rFonts w:hint="eastAsia" w:ascii="宋体" w:hAnsi="宋体" w:eastAsia="宋体" w:cs="宋体"/>
                <w:sz w:val="20"/>
                <w:szCs w:val="20"/>
              </w:rPr>
            </w:pPr>
            <w:r>
              <w:rPr>
                <w:rFonts w:hint="eastAsia" w:ascii="宋体" w:hAnsi="宋体" w:eastAsia="宋体" w:cs="宋体"/>
                <w:sz w:val="20"/>
                <w:szCs w:val="20"/>
              </w:rPr>
              <w:t>切换护理单元</w:t>
            </w:r>
          </w:p>
        </w:tc>
      </w:tr>
    </w:tbl>
    <w:p w14:paraId="549DDA45">
      <w:pPr>
        <w:ind w:firstLine="482" w:firstLineChars="200"/>
        <w:rPr>
          <w:rFonts w:hint="eastAsia" w:cs="宋体"/>
          <w:b/>
          <w:bCs/>
          <w:color w:val="000000"/>
          <w:highlight w:val="none"/>
          <w:lang w:val="en-US" w:eastAsia="zh-CN"/>
        </w:rPr>
      </w:pPr>
      <w:r>
        <w:rPr>
          <w:rFonts w:hint="eastAsia" w:cs="宋体"/>
          <w:b/>
          <w:bCs/>
          <w:color w:val="000000"/>
          <w:highlight w:val="none"/>
          <w:lang w:val="en-US" w:eastAsia="zh-CN"/>
        </w:rPr>
        <w:t>2.3急诊留观医生站</w:t>
      </w:r>
    </w:p>
    <w:p w14:paraId="40E7F276">
      <w:pPr>
        <w:keepNext w:val="0"/>
        <w:keepLines w:val="0"/>
        <w:pageBreakBefore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ascii="宋体" w:hAnsi="宋体" w:eastAsia="宋体" w:cs="宋体"/>
          <w:color w:val="000000"/>
          <w:highlight w:val="none"/>
          <w:lang w:val="en-US" w:eastAsia="zh-CN"/>
        </w:rPr>
        <w:t>医生工作站支持医生提供下达医嘱、书写病历、开申请单、查询报告单等功能。它将病人在留院观察期间的所有临床医疗信息通过计算机管理。</w:t>
      </w:r>
    </w:p>
    <w:tbl>
      <w:tblPr>
        <w:tblStyle w:val="7"/>
        <w:tblpPr w:leftFromText="180" w:rightFromText="180" w:vertAnchor="text" w:horzAnchor="page" w:tblpXSpec="center" w:tblpY="530"/>
        <w:tblOverlap w:val="never"/>
        <w:tblW w:w="9058" w:type="dxa"/>
        <w:jc w:val="center"/>
        <w:tblLayout w:type="fixed"/>
        <w:tblCellMar>
          <w:top w:w="0" w:type="dxa"/>
          <w:left w:w="108" w:type="dxa"/>
          <w:bottom w:w="0" w:type="dxa"/>
          <w:right w:w="108" w:type="dxa"/>
        </w:tblCellMar>
      </w:tblPr>
      <w:tblGrid>
        <w:gridCol w:w="1894"/>
        <w:gridCol w:w="1978"/>
        <w:gridCol w:w="5186"/>
      </w:tblGrid>
      <w:tr w14:paraId="7F8A44D2">
        <w:tblPrEx>
          <w:tblCellMar>
            <w:top w:w="0" w:type="dxa"/>
            <w:left w:w="108" w:type="dxa"/>
            <w:bottom w:w="0" w:type="dxa"/>
            <w:right w:w="108" w:type="dxa"/>
          </w:tblCellMar>
        </w:tblPrEx>
        <w:trPr>
          <w:trHeight w:val="634" w:hRule="atLeast"/>
          <w:jc w:val="center"/>
        </w:trPr>
        <w:tc>
          <w:tcPr>
            <w:tcW w:w="18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96048B">
            <w:pPr>
              <w:spacing w:before="60" w:after="60"/>
              <w:ind w:right="-57" w:firstLine="0" w:firstLineChars="0"/>
              <w:jc w:val="center"/>
              <w:rPr>
                <w:rFonts w:hint="eastAsia" w:ascii="宋体" w:hAnsi="宋体" w:eastAsia="宋体" w:cs="宋体"/>
                <w:sz w:val="20"/>
                <w:szCs w:val="20"/>
              </w:rPr>
            </w:pPr>
            <w:r>
              <w:rPr>
                <w:rFonts w:hint="eastAsia" w:ascii="宋体" w:hAnsi="宋体" w:eastAsia="宋体" w:cs="宋体"/>
                <w:sz w:val="20"/>
                <w:szCs w:val="20"/>
              </w:rPr>
              <w:t>模块名称</w:t>
            </w:r>
          </w:p>
        </w:tc>
        <w:tc>
          <w:tcPr>
            <w:tcW w:w="197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D99AF5">
            <w:pPr>
              <w:spacing w:before="60" w:after="60"/>
              <w:ind w:right="-57" w:firstLine="0" w:firstLineChars="0"/>
              <w:jc w:val="center"/>
              <w:rPr>
                <w:rFonts w:hint="eastAsia" w:ascii="宋体" w:hAnsi="宋体" w:eastAsia="宋体" w:cs="宋体"/>
                <w:sz w:val="20"/>
                <w:szCs w:val="20"/>
              </w:rPr>
            </w:pPr>
            <w:r>
              <w:rPr>
                <w:rFonts w:hint="eastAsia" w:ascii="宋体" w:hAnsi="宋体" w:eastAsia="宋体" w:cs="宋体"/>
                <w:sz w:val="20"/>
                <w:szCs w:val="20"/>
              </w:rPr>
              <w:t>功能说明</w:t>
            </w:r>
          </w:p>
        </w:tc>
        <w:tc>
          <w:tcPr>
            <w:tcW w:w="51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0941A3">
            <w:pPr>
              <w:spacing w:before="60" w:after="60"/>
              <w:ind w:right="-57" w:firstLine="0" w:firstLineChars="0"/>
              <w:jc w:val="center"/>
              <w:rPr>
                <w:rFonts w:hint="eastAsia" w:ascii="宋体" w:hAnsi="宋体" w:eastAsia="宋体" w:cs="宋体"/>
                <w:sz w:val="20"/>
                <w:szCs w:val="20"/>
              </w:rPr>
            </w:pPr>
            <w:r>
              <w:rPr>
                <w:rFonts w:hint="eastAsia" w:ascii="宋体" w:hAnsi="宋体" w:eastAsia="宋体" w:cs="宋体"/>
                <w:sz w:val="20"/>
                <w:szCs w:val="20"/>
              </w:rPr>
              <w:t>功能描述</w:t>
            </w:r>
          </w:p>
        </w:tc>
      </w:tr>
      <w:tr w14:paraId="48301D64">
        <w:tblPrEx>
          <w:tblCellMar>
            <w:top w:w="0" w:type="dxa"/>
            <w:left w:w="108" w:type="dxa"/>
            <w:bottom w:w="0" w:type="dxa"/>
            <w:right w:w="108" w:type="dxa"/>
          </w:tblCellMar>
        </w:tblPrEx>
        <w:trPr>
          <w:trHeight w:val="312" w:hRule="atLeast"/>
          <w:jc w:val="center"/>
        </w:trPr>
        <w:tc>
          <w:tcPr>
            <w:tcW w:w="1894" w:type="dxa"/>
            <w:vMerge w:val="continue"/>
            <w:tcBorders>
              <w:top w:val="single" w:color="auto" w:sz="4" w:space="0"/>
              <w:left w:val="single" w:color="auto" w:sz="4" w:space="0"/>
              <w:bottom w:val="single" w:color="auto" w:sz="4" w:space="0"/>
              <w:right w:val="single" w:color="auto" w:sz="4" w:space="0"/>
            </w:tcBorders>
            <w:vAlign w:val="center"/>
          </w:tcPr>
          <w:p w14:paraId="6B10EB5C">
            <w:pPr>
              <w:spacing w:after="160"/>
              <w:jc w:val="center"/>
              <w:rPr>
                <w:rFonts w:hint="eastAsia" w:asciiTheme="minorEastAsia" w:hAnsiTheme="minorEastAsia" w:eastAsiaTheme="minorEastAsia" w:cstheme="minorEastAsia"/>
                <w:color w:val="000000"/>
                <w:sz w:val="20"/>
                <w:szCs w:val="20"/>
              </w:rPr>
            </w:pPr>
          </w:p>
        </w:tc>
        <w:tc>
          <w:tcPr>
            <w:tcW w:w="1978" w:type="dxa"/>
            <w:vMerge w:val="continue"/>
            <w:tcBorders>
              <w:top w:val="single" w:color="auto" w:sz="4" w:space="0"/>
              <w:left w:val="single" w:color="auto" w:sz="4" w:space="0"/>
              <w:bottom w:val="single" w:color="auto" w:sz="4" w:space="0"/>
              <w:right w:val="single" w:color="auto" w:sz="4" w:space="0"/>
            </w:tcBorders>
            <w:vAlign w:val="center"/>
          </w:tcPr>
          <w:p w14:paraId="28292C04">
            <w:pPr>
              <w:spacing w:after="160"/>
              <w:jc w:val="center"/>
              <w:rPr>
                <w:rFonts w:hint="eastAsia" w:asciiTheme="minorEastAsia" w:hAnsiTheme="minorEastAsia" w:eastAsiaTheme="minorEastAsia" w:cstheme="minorEastAsia"/>
                <w:color w:val="000000"/>
                <w:sz w:val="20"/>
                <w:szCs w:val="20"/>
              </w:rPr>
            </w:pPr>
          </w:p>
        </w:tc>
        <w:tc>
          <w:tcPr>
            <w:tcW w:w="5186" w:type="dxa"/>
            <w:vMerge w:val="continue"/>
            <w:tcBorders>
              <w:top w:val="single" w:color="auto" w:sz="4" w:space="0"/>
              <w:left w:val="single" w:color="auto" w:sz="4" w:space="0"/>
              <w:bottom w:val="single" w:color="auto" w:sz="4" w:space="0"/>
              <w:right w:val="single" w:color="auto" w:sz="4" w:space="0"/>
            </w:tcBorders>
            <w:vAlign w:val="center"/>
          </w:tcPr>
          <w:p w14:paraId="4C428319">
            <w:pPr>
              <w:spacing w:after="160"/>
              <w:jc w:val="center"/>
              <w:rPr>
                <w:rFonts w:hint="eastAsia" w:asciiTheme="minorEastAsia" w:hAnsiTheme="minorEastAsia" w:eastAsiaTheme="minorEastAsia" w:cstheme="minorEastAsia"/>
                <w:color w:val="000000"/>
                <w:sz w:val="20"/>
                <w:szCs w:val="20"/>
              </w:rPr>
            </w:pPr>
          </w:p>
        </w:tc>
      </w:tr>
      <w:tr w14:paraId="42B0C155">
        <w:tblPrEx>
          <w:tblCellMar>
            <w:top w:w="0" w:type="dxa"/>
            <w:left w:w="108" w:type="dxa"/>
            <w:bottom w:w="0" w:type="dxa"/>
            <w:right w:w="108" w:type="dxa"/>
          </w:tblCellMar>
        </w:tblPrEx>
        <w:trPr>
          <w:trHeight w:val="561" w:hRule="atLeast"/>
          <w:jc w:val="center"/>
        </w:trPr>
        <w:tc>
          <w:tcPr>
            <w:tcW w:w="189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C6E237E">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留观医生站</w:t>
            </w:r>
          </w:p>
        </w:tc>
        <w:tc>
          <w:tcPr>
            <w:tcW w:w="197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47F396D">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医嘱</w:t>
            </w:r>
          </w:p>
        </w:tc>
        <w:tc>
          <w:tcPr>
            <w:tcW w:w="5186" w:type="dxa"/>
            <w:tcBorders>
              <w:top w:val="single" w:color="auto" w:sz="4" w:space="0"/>
              <w:left w:val="nil"/>
              <w:bottom w:val="single" w:color="auto" w:sz="4" w:space="0"/>
              <w:right w:val="single" w:color="auto" w:sz="4" w:space="0"/>
            </w:tcBorders>
            <w:shd w:val="clear" w:color="auto" w:fill="auto"/>
            <w:noWrap/>
            <w:vAlign w:val="center"/>
          </w:tcPr>
          <w:p w14:paraId="4FBA8355">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下达医嘱</w:t>
            </w:r>
          </w:p>
        </w:tc>
      </w:tr>
      <w:tr w14:paraId="41AD596D">
        <w:tblPrEx>
          <w:tblCellMar>
            <w:top w:w="0" w:type="dxa"/>
            <w:left w:w="108" w:type="dxa"/>
            <w:bottom w:w="0" w:type="dxa"/>
            <w:right w:w="108" w:type="dxa"/>
          </w:tblCellMar>
        </w:tblPrEx>
        <w:trPr>
          <w:trHeight w:val="561"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4DD81792">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vMerge w:val="continue"/>
            <w:tcBorders>
              <w:top w:val="single" w:color="auto" w:sz="4" w:space="0"/>
              <w:left w:val="single" w:color="auto" w:sz="4" w:space="0"/>
              <w:bottom w:val="single" w:color="000000" w:sz="4" w:space="0"/>
              <w:right w:val="single" w:color="auto" w:sz="4" w:space="0"/>
            </w:tcBorders>
            <w:vAlign w:val="center"/>
          </w:tcPr>
          <w:p w14:paraId="0A6E9223">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5186" w:type="dxa"/>
            <w:tcBorders>
              <w:top w:val="nil"/>
              <w:left w:val="nil"/>
              <w:bottom w:val="single" w:color="auto" w:sz="4" w:space="0"/>
              <w:right w:val="single" w:color="auto" w:sz="4" w:space="0"/>
            </w:tcBorders>
            <w:shd w:val="clear" w:color="auto" w:fill="auto"/>
            <w:noWrap/>
            <w:vAlign w:val="center"/>
          </w:tcPr>
          <w:p w14:paraId="082B808A">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合理用药</w:t>
            </w:r>
          </w:p>
        </w:tc>
      </w:tr>
      <w:tr w14:paraId="5A1040BD">
        <w:tblPrEx>
          <w:tblCellMar>
            <w:top w:w="0" w:type="dxa"/>
            <w:left w:w="108" w:type="dxa"/>
            <w:bottom w:w="0" w:type="dxa"/>
            <w:right w:w="108" w:type="dxa"/>
          </w:tblCellMar>
        </w:tblPrEx>
        <w:trPr>
          <w:trHeight w:val="561"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5594B914">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vMerge w:val="continue"/>
            <w:tcBorders>
              <w:top w:val="single" w:color="auto" w:sz="4" w:space="0"/>
              <w:left w:val="single" w:color="auto" w:sz="4" w:space="0"/>
              <w:bottom w:val="single" w:color="000000" w:sz="4" w:space="0"/>
              <w:right w:val="single" w:color="auto" w:sz="4" w:space="0"/>
            </w:tcBorders>
            <w:vAlign w:val="center"/>
          </w:tcPr>
          <w:p w14:paraId="33399C5C">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5186" w:type="dxa"/>
            <w:tcBorders>
              <w:top w:val="nil"/>
              <w:left w:val="nil"/>
              <w:bottom w:val="single" w:color="auto" w:sz="4" w:space="0"/>
              <w:right w:val="single" w:color="auto" w:sz="4" w:space="0"/>
            </w:tcBorders>
            <w:shd w:val="clear" w:color="auto" w:fill="auto"/>
            <w:noWrap/>
            <w:vAlign w:val="center"/>
          </w:tcPr>
          <w:p w14:paraId="44E773E3">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用药等级限制</w:t>
            </w:r>
          </w:p>
        </w:tc>
      </w:tr>
      <w:tr w14:paraId="199C2C4E">
        <w:tblPrEx>
          <w:tblCellMar>
            <w:top w:w="0" w:type="dxa"/>
            <w:left w:w="108" w:type="dxa"/>
            <w:bottom w:w="0" w:type="dxa"/>
            <w:right w:w="108" w:type="dxa"/>
          </w:tblCellMar>
        </w:tblPrEx>
        <w:trPr>
          <w:trHeight w:val="561"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4DA656B4">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vMerge w:val="continue"/>
            <w:tcBorders>
              <w:top w:val="single" w:color="auto" w:sz="4" w:space="0"/>
              <w:left w:val="single" w:color="auto" w:sz="4" w:space="0"/>
              <w:bottom w:val="single" w:color="000000" w:sz="4" w:space="0"/>
              <w:right w:val="single" w:color="auto" w:sz="4" w:space="0"/>
            </w:tcBorders>
            <w:vAlign w:val="center"/>
          </w:tcPr>
          <w:p w14:paraId="739E65BB">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5186" w:type="dxa"/>
            <w:tcBorders>
              <w:top w:val="nil"/>
              <w:left w:val="nil"/>
              <w:bottom w:val="single" w:color="auto" w:sz="4" w:space="0"/>
              <w:right w:val="single" w:color="auto" w:sz="4" w:space="0"/>
            </w:tcBorders>
            <w:shd w:val="clear" w:color="auto" w:fill="auto"/>
            <w:noWrap/>
            <w:vAlign w:val="center"/>
          </w:tcPr>
          <w:p w14:paraId="5A02E7A1">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医嘱套餐应用</w:t>
            </w:r>
          </w:p>
        </w:tc>
      </w:tr>
      <w:tr w14:paraId="42E6DD46">
        <w:tblPrEx>
          <w:tblCellMar>
            <w:top w:w="0" w:type="dxa"/>
            <w:left w:w="108" w:type="dxa"/>
            <w:bottom w:w="0" w:type="dxa"/>
            <w:right w:w="108" w:type="dxa"/>
          </w:tblCellMar>
        </w:tblPrEx>
        <w:trPr>
          <w:trHeight w:val="561"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37C52F2E">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tcBorders>
              <w:top w:val="nil"/>
              <w:left w:val="nil"/>
              <w:bottom w:val="single" w:color="auto" w:sz="4" w:space="0"/>
              <w:right w:val="single" w:color="auto" w:sz="4" w:space="0"/>
            </w:tcBorders>
            <w:shd w:val="clear" w:color="auto" w:fill="auto"/>
            <w:noWrap/>
            <w:vAlign w:val="center"/>
          </w:tcPr>
          <w:p w14:paraId="78DD5DA9">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诊断</w:t>
            </w:r>
          </w:p>
        </w:tc>
        <w:tc>
          <w:tcPr>
            <w:tcW w:w="5186" w:type="dxa"/>
            <w:tcBorders>
              <w:top w:val="nil"/>
              <w:left w:val="nil"/>
              <w:bottom w:val="single" w:color="auto" w:sz="4" w:space="0"/>
              <w:right w:val="single" w:color="auto" w:sz="4" w:space="0"/>
            </w:tcBorders>
            <w:shd w:val="clear" w:color="auto" w:fill="auto"/>
            <w:noWrap/>
            <w:vAlign w:val="center"/>
          </w:tcPr>
          <w:p w14:paraId="517EF3E8">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诊断维护</w:t>
            </w:r>
          </w:p>
        </w:tc>
      </w:tr>
      <w:tr w14:paraId="42194214">
        <w:tblPrEx>
          <w:tblCellMar>
            <w:top w:w="0" w:type="dxa"/>
            <w:left w:w="108" w:type="dxa"/>
            <w:bottom w:w="0" w:type="dxa"/>
            <w:right w:w="108" w:type="dxa"/>
          </w:tblCellMar>
        </w:tblPrEx>
        <w:trPr>
          <w:trHeight w:val="561"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2A26431B">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vMerge w:val="restart"/>
            <w:tcBorders>
              <w:top w:val="nil"/>
              <w:left w:val="single" w:color="auto" w:sz="4" w:space="0"/>
              <w:bottom w:val="single" w:color="000000" w:sz="4" w:space="0"/>
              <w:right w:val="single" w:color="auto" w:sz="4" w:space="0"/>
            </w:tcBorders>
            <w:shd w:val="clear" w:color="auto" w:fill="auto"/>
            <w:noWrap/>
            <w:vAlign w:val="center"/>
          </w:tcPr>
          <w:p w14:paraId="2854D89A">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病历</w:t>
            </w:r>
          </w:p>
        </w:tc>
        <w:tc>
          <w:tcPr>
            <w:tcW w:w="5186" w:type="dxa"/>
            <w:tcBorders>
              <w:top w:val="nil"/>
              <w:left w:val="nil"/>
              <w:bottom w:val="single" w:color="auto" w:sz="4" w:space="0"/>
              <w:right w:val="single" w:color="auto" w:sz="4" w:space="0"/>
            </w:tcBorders>
            <w:shd w:val="clear" w:color="auto" w:fill="auto"/>
            <w:noWrap/>
            <w:vAlign w:val="center"/>
          </w:tcPr>
          <w:p w14:paraId="53C17889">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留观病历</w:t>
            </w:r>
          </w:p>
        </w:tc>
      </w:tr>
      <w:tr w14:paraId="3BDC95FB">
        <w:tblPrEx>
          <w:tblCellMar>
            <w:top w:w="0" w:type="dxa"/>
            <w:left w:w="108" w:type="dxa"/>
            <w:bottom w:w="0" w:type="dxa"/>
            <w:right w:w="108" w:type="dxa"/>
          </w:tblCellMar>
        </w:tblPrEx>
        <w:trPr>
          <w:trHeight w:val="561"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6BB69F99">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vMerge w:val="continue"/>
            <w:tcBorders>
              <w:top w:val="nil"/>
              <w:left w:val="single" w:color="auto" w:sz="4" w:space="0"/>
              <w:bottom w:val="single" w:color="000000" w:sz="4" w:space="0"/>
              <w:right w:val="single" w:color="auto" w:sz="4" w:space="0"/>
            </w:tcBorders>
            <w:vAlign w:val="center"/>
          </w:tcPr>
          <w:p w14:paraId="73BC28F6">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5186" w:type="dxa"/>
            <w:tcBorders>
              <w:top w:val="nil"/>
              <w:left w:val="nil"/>
              <w:bottom w:val="single" w:color="auto" w:sz="4" w:space="0"/>
              <w:right w:val="single" w:color="auto" w:sz="4" w:space="0"/>
            </w:tcBorders>
            <w:shd w:val="clear" w:color="auto" w:fill="auto"/>
            <w:noWrap/>
            <w:vAlign w:val="center"/>
          </w:tcPr>
          <w:p w14:paraId="55CC1DEC">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病历借阅</w:t>
            </w:r>
          </w:p>
        </w:tc>
      </w:tr>
      <w:tr w14:paraId="34E52F64">
        <w:tblPrEx>
          <w:tblCellMar>
            <w:top w:w="0" w:type="dxa"/>
            <w:left w:w="108" w:type="dxa"/>
            <w:bottom w:w="0" w:type="dxa"/>
            <w:right w:w="108" w:type="dxa"/>
          </w:tblCellMar>
        </w:tblPrEx>
        <w:trPr>
          <w:trHeight w:val="561"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0AC9BB06">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vMerge w:val="restart"/>
            <w:tcBorders>
              <w:top w:val="nil"/>
              <w:left w:val="single" w:color="auto" w:sz="4" w:space="0"/>
              <w:bottom w:val="single" w:color="000000" w:sz="4" w:space="0"/>
              <w:right w:val="single" w:color="auto" w:sz="4" w:space="0"/>
            </w:tcBorders>
            <w:shd w:val="clear" w:color="auto" w:fill="auto"/>
            <w:noWrap/>
            <w:vAlign w:val="center"/>
          </w:tcPr>
          <w:p w14:paraId="4049F711">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检查</w:t>
            </w:r>
          </w:p>
        </w:tc>
        <w:tc>
          <w:tcPr>
            <w:tcW w:w="5186" w:type="dxa"/>
            <w:tcBorders>
              <w:top w:val="nil"/>
              <w:left w:val="nil"/>
              <w:bottom w:val="single" w:color="auto" w:sz="4" w:space="0"/>
              <w:right w:val="single" w:color="auto" w:sz="4" w:space="0"/>
            </w:tcBorders>
            <w:shd w:val="clear" w:color="auto" w:fill="auto"/>
            <w:noWrap/>
            <w:vAlign w:val="center"/>
          </w:tcPr>
          <w:p w14:paraId="1E90AE5E">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检查申请</w:t>
            </w:r>
          </w:p>
        </w:tc>
      </w:tr>
      <w:tr w14:paraId="7F1979DD">
        <w:tblPrEx>
          <w:tblCellMar>
            <w:top w:w="0" w:type="dxa"/>
            <w:left w:w="108" w:type="dxa"/>
            <w:bottom w:w="0" w:type="dxa"/>
            <w:right w:w="108" w:type="dxa"/>
          </w:tblCellMar>
        </w:tblPrEx>
        <w:trPr>
          <w:trHeight w:val="561"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6A45C8CD">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vMerge w:val="continue"/>
            <w:tcBorders>
              <w:top w:val="nil"/>
              <w:left w:val="single" w:color="auto" w:sz="4" w:space="0"/>
              <w:bottom w:val="single" w:color="000000" w:sz="4" w:space="0"/>
              <w:right w:val="single" w:color="auto" w:sz="4" w:space="0"/>
            </w:tcBorders>
            <w:vAlign w:val="center"/>
          </w:tcPr>
          <w:p w14:paraId="16EE6493">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5186" w:type="dxa"/>
            <w:tcBorders>
              <w:top w:val="nil"/>
              <w:left w:val="nil"/>
              <w:bottom w:val="single" w:color="auto" w:sz="4" w:space="0"/>
              <w:right w:val="single" w:color="auto" w:sz="4" w:space="0"/>
            </w:tcBorders>
            <w:shd w:val="clear" w:color="auto" w:fill="auto"/>
            <w:noWrap/>
            <w:vAlign w:val="center"/>
          </w:tcPr>
          <w:p w14:paraId="116E4802">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检查查询</w:t>
            </w:r>
          </w:p>
        </w:tc>
      </w:tr>
      <w:tr w14:paraId="4DEE0579">
        <w:tblPrEx>
          <w:tblCellMar>
            <w:top w:w="0" w:type="dxa"/>
            <w:left w:w="108" w:type="dxa"/>
            <w:bottom w:w="0" w:type="dxa"/>
            <w:right w:w="108" w:type="dxa"/>
          </w:tblCellMar>
        </w:tblPrEx>
        <w:trPr>
          <w:trHeight w:val="561"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18160BC7">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vMerge w:val="continue"/>
            <w:tcBorders>
              <w:top w:val="nil"/>
              <w:left w:val="single" w:color="auto" w:sz="4" w:space="0"/>
              <w:bottom w:val="single" w:color="000000" w:sz="4" w:space="0"/>
              <w:right w:val="single" w:color="auto" w:sz="4" w:space="0"/>
            </w:tcBorders>
            <w:vAlign w:val="center"/>
          </w:tcPr>
          <w:p w14:paraId="5AB7BC25">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5186" w:type="dxa"/>
            <w:tcBorders>
              <w:top w:val="nil"/>
              <w:left w:val="nil"/>
              <w:bottom w:val="single" w:color="auto" w:sz="4" w:space="0"/>
              <w:right w:val="single" w:color="auto" w:sz="4" w:space="0"/>
            </w:tcBorders>
            <w:shd w:val="clear" w:color="auto" w:fill="auto"/>
            <w:noWrap/>
            <w:vAlign w:val="center"/>
          </w:tcPr>
          <w:p w14:paraId="7E2215F2">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检查结果查询</w:t>
            </w:r>
          </w:p>
        </w:tc>
      </w:tr>
      <w:tr w14:paraId="2E7E8FB2">
        <w:tblPrEx>
          <w:tblCellMar>
            <w:top w:w="0" w:type="dxa"/>
            <w:left w:w="108" w:type="dxa"/>
            <w:bottom w:w="0" w:type="dxa"/>
            <w:right w:w="108" w:type="dxa"/>
          </w:tblCellMar>
        </w:tblPrEx>
        <w:trPr>
          <w:trHeight w:val="561"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2096A77A">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vMerge w:val="restart"/>
            <w:tcBorders>
              <w:top w:val="nil"/>
              <w:left w:val="single" w:color="auto" w:sz="4" w:space="0"/>
              <w:bottom w:val="single" w:color="000000" w:sz="4" w:space="0"/>
              <w:right w:val="single" w:color="auto" w:sz="4" w:space="0"/>
            </w:tcBorders>
            <w:shd w:val="clear" w:color="auto" w:fill="auto"/>
            <w:noWrap/>
            <w:vAlign w:val="center"/>
          </w:tcPr>
          <w:p w14:paraId="763577BF">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检验</w:t>
            </w:r>
          </w:p>
        </w:tc>
        <w:tc>
          <w:tcPr>
            <w:tcW w:w="5186" w:type="dxa"/>
            <w:tcBorders>
              <w:top w:val="nil"/>
              <w:left w:val="nil"/>
              <w:bottom w:val="single" w:color="auto" w:sz="4" w:space="0"/>
              <w:right w:val="single" w:color="auto" w:sz="4" w:space="0"/>
            </w:tcBorders>
            <w:shd w:val="clear" w:color="auto" w:fill="auto"/>
            <w:noWrap/>
            <w:vAlign w:val="center"/>
          </w:tcPr>
          <w:p w14:paraId="193435CA">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检验申请</w:t>
            </w:r>
          </w:p>
        </w:tc>
      </w:tr>
      <w:tr w14:paraId="473CED57">
        <w:tblPrEx>
          <w:tblCellMar>
            <w:top w:w="0" w:type="dxa"/>
            <w:left w:w="108" w:type="dxa"/>
            <w:bottom w:w="0" w:type="dxa"/>
            <w:right w:w="108" w:type="dxa"/>
          </w:tblCellMar>
        </w:tblPrEx>
        <w:trPr>
          <w:trHeight w:val="561"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3AD83642">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vMerge w:val="continue"/>
            <w:tcBorders>
              <w:top w:val="nil"/>
              <w:left w:val="single" w:color="auto" w:sz="4" w:space="0"/>
              <w:bottom w:val="single" w:color="000000" w:sz="4" w:space="0"/>
              <w:right w:val="single" w:color="auto" w:sz="4" w:space="0"/>
            </w:tcBorders>
            <w:vAlign w:val="center"/>
          </w:tcPr>
          <w:p w14:paraId="77966BB8">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5186" w:type="dxa"/>
            <w:tcBorders>
              <w:top w:val="nil"/>
              <w:left w:val="nil"/>
              <w:bottom w:val="single" w:color="auto" w:sz="4" w:space="0"/>
              <w:right w:val="single" w:color="auto" w:sz="4" w:space="0"/>
            </w:tcBorders>
            <w:shd w:val="clear" w:color="auto" w:fill="auto"/>
            <w:noWrap/>
            <w:vAlign w:val="center"/>
          </w:tcPr>
          <w:p w14:paraId="6BAC17D2">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检验查询</w:t>
            </w:r>
          </w:p>
        </w:tc>
      </w:tr>
      <w:tr w14:paraId="2F7C2060">
        <w:tblPrEx>
          <w:tblCellMar>
            <w:top w:w="0" w:type="dxa"/>
            <w:left w:w="108" w:type="dxa"/>
            <w:bottom w:w="0" w:type="dxa"/>
            <w:right w:w="108" w:type="dxa"/>
          </w:tblCellMar>
        </w:tblPrEx>
        <w:trPr>
          <w:trHeight w:val="561"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397ECA0E">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vMerge w:val="continue"/>
            <w:tcBorders>
              <w:top w:val="nil"/>
              <w:left w:val="single" w:color="auto" w:sz="4" w:space="0"/>
              <w:bottom w:val="single" w:color="000000" w:sz="4" w:space="0"/>
              <w:right w:val="single" w:color="auto" w:sz="4" w:space="0"/>
            </w:tcBorders>
            <w:vAlign w:val="center"/>
          </w:tcPr>
          <w:p w14:paraId="14E241BE">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5186" w:type="dxa"/>
            <w:tcBorders>
              <w:top w:val="nil"/>
              <w:left w:val="nil"/>
              <w:bottom w:val="single" w:color="auto" w:sz="4" w:space="0"/>
              <w:right w:val="single" w:color="auto" w:sz="4" w:space="0"/>
            </w:tcBorders>
            <w:shd w:val="clear" w:color="auto" w:fill="auto"/>
            <w:noWrap/>
            <w:vAlign w:val="center"/>
          </w:tcPr>
          <w:p w14:paraId="5DDD5036">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检验结果查询</w:t>
            </w:r>
          </w:p>
        </w:tc>
      </w:tr>
      <w:tr w14:paraId="72CEF57D">
        <w:tblPrEx>
          <w:tblCellMar>
            <w:top w:w="0" w:type="dxa"/>
            <w:left w:w="108" w:type="dxa"/>
            <w:bottom w:w="0" w:type="dxa"/>
            <w:right w:w="108" w:type="dxa"/>
          </w:tblCellMar>
        </w:tblPrEx>
        <w:trPr>
          <w:trHeight w:val="561"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3F2579EC">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tcBorders>
              <w:top w:val="nil"/>
              <w:left w:val="nil"/>
              <w:bottom w:val="single" w:color="auto" w:sz="4" w:space="0"/>
              <w:right w:val="single" w:color="auto" w:sz="4" w:space="0"/>
            </w:tcBorders>
            <w:shd w:val="clear" w:color="auto" w:fill="auto"/>
            <w:noWrap/>
            <w:vAlign w:val="center"/>
          </w:tcPr>
          <w:p w14:paraId="0EA2A1CF">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体温单</w:t>
            </w:r>
          </w:p>
        </w:tc>
        <w:tc>
          <w:tcPr>
            <w:tcW w:w="5186" w:type="dxa"/>
            <w:tcBorders>
              <w:top w:val="nil"/>
              <w:left w:val="nil"/>
              <w:bottom w:val="single" w:color="auto" w:sz="4" w:space="0"/>
              <w:right w:val="single" w:color="auto" w:sz="4" w:space="0"/>
            </w:tcBorders>
            <w:shd w:val="clear" w:color="auto" w:fill="auto"/>
            <w:noWrap/>
            <w:vAlign w:val="center"/>
          </w:tcPr>
          <w:p w14:paraId="194A75D7">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体温单展现</w:t>
            </w:r>
          </w:p>
        </w:tc>
      </w:tr>
      <w:tr w14:paraId="27B2104B">
        <w:tblPrEx>
          <w:tblCellMar>
            <w:top w:w="0" w:type="dxa"/>
            <w:left w:w="108" w:type="dxa"/>
            <w:bottom w:w="0" w:type="dxa"/>
            <w:right w:w="108" w:type="dxa"/>
          </w:tblCellMar>
        </w:tblPrEx>
        <w:trPr>
          <w:trHeight w:val="561"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160C7912">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tcBorders>
              <w:top w:val="nil"/>
              <w:left w:val="nil"/>
              <w:bottom w:val="single" w:color="auto" w:sz="4" w:space="0"/>
              <w:right w:val="single" w:color="auto" w:sz="4" w:space="0"/>
            </w:tcBorders>
            <w:shd w:val="clear" w:color="auto" w:fill="auto"/>
            <w:noWrap/>
            <w:vAlign w:val="center"/>
          </w:tcPr>
          <w:p w14:paraId="7C69FFE2">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消息机制</w:t>
            </w:r>
          </w:p>
        </w:tc>
        <w:tc>
          <w:tcPr>
            <w:tcW w:w="5186" w:type="dxa"/>
            <w:tcBorders>
              <w:top w:val="nil"/>
              <w:left w:val="nil"/>
              <w:bottom w:val="single" w:color="auto" w:sz="4" w:space="0"/>
              <w:right w:val="single" w:color="auto" w:sz="4" w:space="0"/>
            </w:tcBorders>
            <w:shd w:val="clear" w:color="auto" w:fill="auto"/>
            <w:noWrap/>
            <w:vAlign w:val="center"/>
          </w:tcPr>
          <w:p w14:paraId="008B6E8C">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医嘱消息提示</w:t>
            </w:r>
          </w:p>
        </w:tc>
      </w:tr>
      <w:tr w14:paraId="71A16921">
        <w:tblPrEx>
          <w:tblCellMar>
            <w:top w:w="0" w:type="dxa"/>
            <w:left w:w="108" w:type="dxa"/>
            <w:bottom w:w="0" w:type="dxa"/>
            <w:right w:w="108" w:type="dxa"/>
          </w:tblCellMar>
        </w:tblPrEx>
        <w:trPr>
          <w:trHeight w:val="599" w:hRule="atLeast"/>
          <w:jc w:val="center"/>
        </w:trPr>
        <w:tc>
          <w:tcPr>
            <w:tcW w:w="1894" w:type="dxa"/>
            <w:vMerge w:val="continue"/>
            <w:tcBorders>
              <w:top w:val="single" w:color="auto" w:sz="4" w:space="0"/>
              <w:left w:val="single" w:color="auto" w:sz="4" w:space="0"/>
              <w:bottom w:val="single" w:color="000000" w:sz="4" w:space="0"/>
              <w:right w:val="single" w:color="auto" w:sz="4" w:space="0"/>
            </w:tcBorders>
            <w:vAlign w:val="center"/>
          </w:tcPr>
          <w:p w14:paraId="1B31C225">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p>
        </w:tc>
        <w:tc>
          <w:tcPr>
            <w:tcW w:w="1978" w:type="dxa"/>
            <w:tcBorders>
              <w:top w:val="nil"/>
              <w:left w:val="nil"/>
              <w:bottom w:val="single" w:color="auto" w:sz="4" w:space="0"/>
              <w:right w:val="single" w:color="auto" w:sz="4" w:space="0"/>
            </w:tcBorders>
            <w:shd w:val="clear" w:color="auto" w:fill="auto"/>
            <w:noWrap/>
            <w:vAlign w:val="center"/>
          </w:tcPr>
          <w:p w14:paraId="63F70574">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医嘱套餐</w:t>
            </w:r>
          </w:p>
        </w:tc>
        <w:tc>
          <w:tcPr>
            <w:tcW w:w="5186" w:type="dxa"/>
            <w:tcBorders>
              <w:top w:val="nil"/>
              <w:left w:val="nil"/>
              <w:bottom w:val="single" w:color="auto" w:sz="4" w:space="0"/>
              <w:right w:val="single" w:color="auto" w:sz="4" w:space="0"/>
            </w:tcBorders>
            <w:shd w:val="clear" w:color="auto" w:fill="auto"/>
            <w:noWrap/>
            <w:vAlign w:val="center"/>
          </w:tcPr>
          <w:p w14:paraId="3B902DBD">
            <w:pPr>
              <w:widowControl/>
              <w:spacing w:after="160"/>
              <w:ind w:firstLine="0" w:firstLineChars="0"/>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医嘱套餐维护</w:t>
            </w:r>
          </w:p>
        </w:tc>
      </w:tr>
    </w:tbl>
    <w:p w14:paraId="77D86CC6">
      <w:pPr>
        <w:pStyle w:val="6"/>
        <w:keepNext w:val="0"/>
        <w:keepLines w:val="0"/>
        <w:pageBreakBefore w:val="0"/>
        <w:widowControl w:val="0"/>
        <w:kinsoku/>
        <w:wordWrap w:val="0"/>
        <w:overflowPunct/>
        <w:topLinePunct w:val="0"/>
        <w:autoSpaceDE/>
        <w:autoSpaceDN/>
        <w:bidi w:val="0"/>
        <w:adjustRightInd w:val="0"/>
        <w:snapToGrid w:val="0"/>
        <w:spacing w:before="157" w:beforeLines="50" w:after="157" w:afterLines="50"/>
        <w:ind w:left="0" w:leftChars="0" w:firstLine="482" w:firstLineChars="200"/>
        <w:textAlignment w:val="auto"/>
        <w:rPr>
          <w:rFonts w:hint="eastAsia"/>
          <w:b/>
          <w:bCs/>
          <w:lang w:val="en-US" w:eastAsia="zh-CN"/>
        </w:rPr>
      </w:pPr>
      <w:r>
        <w:rPr>
          <w:rFonts w:hint="eastAsia" w:asciiTheme="minorEastAsia" w:hAnsiTheme="minorEastAsia" w:eastAsiaTheme="minorEastAsia" w:cstheme="minorEastAsia"/>
          <w:b/>
          <w:bCs/>
          <w:sz w:val="24"/>
          <w:szCs w:val="24"/>
          <w:lang w:eastAsia="zh-CN"/>
        </w:rPr>
        <w:t>★</w:t>
      </w:r>
      <w:r>
        <w:rPr>
          <w:rFonts w:hint="eastAsia"/>
          <w:b/>
          <w:bCs/>
          <w:lang w:val="en-US" w:eastAsia="zh-CN"/>
        </w:rPr>
        <w:t>备注（提供服务承诺）：根据上级部门的要求，结合我院临床管理实际需求，必须满足临床科室对系统的功能、流程、医疗文书、模板及报表等的应用需求，质保期期间不得产生任何费用。</w:t>
      </w:r>
    </w:p>
    <w:p w14:paraId="42AA27DF">
      <w:pP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br w:type="page"/>
      </w:r>
    </w:p>
    <w:p w14:paraId="1269E523">
      <w:pPr>
        <w:pStyle w:val="6"/>
        <w:keepNext w:val="0"/>
        <w:keepLines w:val="0"/>
        <w:pageBreakBefore w:val="0"/>
        <w:widowControl w:val="0"/>
        <w:kinsoku/>
        <w:wordWrap w:val="0"/>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（二）智慧检验信息化平台（Lis系统升级功能）</w:t>
      </w:r>
    </w:p>
    <w:tbl>
      <w:tblPr>
        <w:tblStyle w:val="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806"/>
        <w:gridCol w:w="6219"/>
      </w:tblGrid>
      <w:tr w14:paraId="28D2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02E91296">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序号</w:t>
            </w:r>
          </w:p>
        </w:tc>
        <w:tc>
          <w:tcPr>
            <w:tcW w:w="1806" w:type="dxa"/>
            <w:vAlign w:val="center"/>
          </w:tcPr>
          <w:p w14:paraId="7EAE4CED">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技术参数</w:t>
            </w:r>
          </w:p>
        </w:tc>
        <w:tc>
          <w:tcPr>
            <w:tcW w:w="6219" w:type="dxa"/>
            <w:vAlign w:val="center"/>
          </w:tcPr>
          <w:p w14:paraId="13720317">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指标和性能</w:t>
            </w:r>
          </w:p>
        </w:tc>
      </w:tr>
      <w:tr w14:paraId="23A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gridSpan w:val="3"/>
            <w:vAlign w:val="center"/>
          </w:tcPr>
          <w:p w14:paraId="7CA8E0F0">
            <w:pPr>
              <w:pStyle w:val="10"/>
              <w:numPr>
                <w:ilvl w:val="0"/>
                <w:numId w:val="0"/>
              </w:numPr>
              <w:ind w:leftChars="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一、</w:t>
            </w:r>
            <w:r>
              <w:rPr>
                <w:rFonts w:hint="eastAsia" w:asciiTheme="minorEastAsia" w:hAnsiTheme="minorEastAsia" w:eastAsiaTheme="minorEastAsia" w:cstheme="minorEastAsia"/>
                <w:sz w:val="20"/>
                <w:szCs w:val="20"/>
              </w:rPr>
              <w:t>总体要求</w:t>
            </w:r>
          </w:p>
        </w:tc>
      </w:tr>
      <w:tr w14:paraId="3662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7637A020">
            <w:pPr>
              <w:pStyle w:val="10"/>
              <w:numPr>
                <w:ilvl w:val="0"/>
                <w:numId w:val="0"/>
              </w:numPr>
              <w:ind w:leftChars="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c>
          <w:tcPr>
            <w:tcW w:w="1806" w:type="dxa"/>
            <w:vAlign w:val="center"/>
          </w:tcPr>
          <w:p w14:paraId="2B1C960C">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知识产权</w:t>
            </w:r>
          </w:p>
          <w:p w14:paraId="723BC501">
            <w:pPr>
              <w:widowControl/>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sz w:val="20"/>
                <w:szCs w:val="20"/>
              </w:rPr>
              <w:t>要求</w:t>
            </w:r>
          </w:p>
        </w:tc>
        <w:tc>
          <w:tcPr>
            <w:tcW w:w="6219" w:type="dxa"/>
            <w:vAlign w:val="center"/>
          </w:tcPr>
          <w:p w14:paraId="054FE4A4">
            <w:pPr>
              <w:widowControl/>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★具备</w:t>
            </w:r>
            <w:r>
              <w:rPr>
                <w:rFonts w:hint="eastAsia" w:asciiTheme="minorEastAsia" w:hAnsiTheme="minorEastAsia" w:eastAsiaTheme="minorEastAsia" w:cstheme="minorEastAsia"/>
                <w:sz w:val="20"/>
                <w:szCs w:val="20"/>
                <w:lang w:val="en-US" w:eastAsia="zh-CN"/>
              </w:rPr>
              <w:t>智慧检验信息化平台相关证明材料，无知识产品纠纷</w:t>
            </w:r>
            <w:r>
              <w:rPr>
                <w:rFonts w:hint="eastAsia" w:asciiTheme="minorEastAsia" w:hAnsiTheme="minorEastAsia" w:eastAsiaTheme="minorEastAsia" w:cstheme="minorEastAsia"/>
                <w:sz w:val="20"/>
                <w:szCs w:val="20"/>
              </w:rPr>
              <w:t>。</w:t>
            </w:r>
          </w:p>
        </w:tc>
      </w:tr>
      <w:tr w14:paraId="52DB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777E64BD">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2</w:t>
            </w:r>
          </w:p>
        </w:tc>
        <w:tc>
          <w:tcPr>
            <w:tcW w:w="1806" w:type="dxa"/>
            <w:vAlign w:val="center"/>
          </w:tcPr>
          <w:p w14:paraId="22347852">
            <w:pPr>
              <w:widowControl/>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sz w:val="20"/>
                <w:szCs w:val="20"/>
              </w:rPr>
              <w:t>标准符合性要求</w:t>
            </w:r>
          </w:p>
        </w:tc>
        <w:tc>
          <w:tcPr>
            <w:tcW w:w="6219" w:type="dxa"/>
            <w:vAlign w:val="center"/>
          </w:tcPr>
          <w:p w14:paraId="7B2C17BA">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rPr>
              <w:t>▲满足ISO15189实验室认可相关标准要求；</w:t>
            </w:r>
          </w:p>
          <w:p w14:paraId="3C3B65AE">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rPr>
              <w:t>▲满足ISO17025实验室认可相关标准要求；</w:t>
            </w:r>
          </w:p>
          <w:p w14:paraId="72D17BA1">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满足电子病历分级评审中（2018版）各级相关要求，并达到5级水平；</w:t>
            </w:r>
          </w:p>
          <w:p w14:paraId="5BF0B549">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满足互联互通标准化成熟度测评各级相关要求，并达到五级乙等水平；</w:t>
            </w:r>
          </w:p>
          <w:p w14:paraId="5D1166B8">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满足智慧医院评级各级相关要求，并达到3级</w:t>
            </w:r>
            <w:r>
              <w:rPr>
                <w:rFonts w:hint="eastAsia" w:asciiTheme="minorEastAsia" w:hAnsiTheme="minorEastAsia" w:eastAsiaTheme="minorEastAsia" w:cstheme="minorEastAsia"/>
                <w:sz w:val="20"/>
                <w:szCs w:val="20"/>
                <w:lang w:val="en-US" w:eastAsia="zh-CN"/>
              </w:rPr>
              <w:t>及以上</w:t>
            </w:r>
            <w:r>
              <w:rPr>
                <w:rFonts w:hint="eastAsia" w:asciiTheme="minorEastAsia" w:hAnsiTheme="minorEastAsia" w:eastAsiaTheme="minorEastAsia" w:cstheme="minorEastAsia"/>
                <w:sz w:val="20"/>
                <w:szCs w:val="20"/>
              </w:rPr>
              <w:t>水平；</w:t>
            </w:r>
          </w:p>
          <w:p w14:paraId="22A5794D">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rPr>
              <w:t xml:space="preserve">符合三级等保要求； </w:t>
            </w:r>
          </w:p>
          <w:p w14:paraId="64E0D486">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7.</w:t>
            </w:r>
            <w:r>
              <w:rPr>
                <w:rFonts w:hint="eastAsia" w:asciiTheme="minorEastAsia" w:hAnsiTheme="minorEastAsia" w:eastAsiaTheme="minorEastAsia" w:cstheme="minorEastAsia"/>
                <w:sz w:val="20"/>
                <w:szCs w:val="20"/>
              </w:rPr>
              <w:t>满足三级医院评审（202</w:t>
            </w: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rPr>
              <w:t>版）标准；</w:t>
            </w:r>
          </w:p>
          <w:p w14:paraId="2B343763">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8.</w:t>
            </w:r>
            <w:r>
              <w:rPr>
                <w:rFonts w:hint="eastAsia" w:asciiTheme="minorEastAsia" w:hAnsiTheme="minorEastAsia" w:eastAsiaTheme="minorEastAsia" w:cstheme="minorEastAsia"/>
                <w:sz w:val="20"/>
                <w:szCs w:val="20"/>
              </w:rPr>
              <w:t>满足AUTO10自动审核标准；</w:t>
            </w:r>
          </w:p>
          <w:p w14:paraId="7396787B">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满足NCCLS中9个LIS标准相关要求。</w:t>
            </w:r>
          </w:p>
        </w:tc>
      </w:tr>
      <w:tr w14:paraId="3934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2D23617F">
            <w:pPr>
              <w:pStyle w:val="10"/>
              <w:numPr>
                <w:ilvl w:val="0"/>
                <w:numId w:val="0"/>
              </w:numPr>
              <w:ind w:leftChars="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w:t>
            </w:r>
          </w:p>
        </w:tc>
        <w:tc>
          <w:tcPr>
            <w:tcW w:w="1806" w:type="dxa"/>
            <w:vAlign w:val="center"/>
          </w:tcPr>
          <w:p w14:paraId="053A189C">
            <w:pPr>
              <w:widowControl/>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sz w:val="20"/>
                <w:szCs w:val="20"/>
              </w:rPr>
              <w:t>数据库要求</w:t>
            </w:r>
          </w:p>
        </w:tc>
        <w:tc>
          <w:tcPr>
            <w:tcW w:w="6219" w:type="dxa"/>
            <w:vAlign w:val="center"/>
          </w:tcPr>
          <w:p w14:paraId="3023829D">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rPr>
              <w:t>同时支持Oracle、SqlServer，以及至少一种国产主流数据库如达梦、人大金仓、神州通用、瀚高、华为 GaussDB、南大通用、OceanBase等。（需准备系统模拟环境备查）；</w:t>
            </w:r>
          </w:p>
          <w:p w14:paraId="5F83FAAC">
            <w:pPr>
              <w:pStyle w:val="10"/>
              <w:widowControl/>
              <w:numPr>
                <w:ilvl w:val="0"/>
                <w:numId w:val="0"/>
              </w:numPr>
              <w:ind w:leftChars="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rPr>
              <w:t>具备横向扩展能力（分布式、数据库集群等）。</w:t>
            </w:r>
            <w:r>
              <w:rPr>
                <w:rFonts w:hint="eastAsia" w:asciiTheme="minorEastAsia" w:hAnsiTheme="minorEastAsia" w:eastAsiaTheme="minorEastAsia" w:cstheme="minorEastAsia"/>
                <w:sz w:val="20"/>
                <w:szCs w:val="20"/>
                <w:highlight w:val="none"/>
              </w:rPr>
              <w:t>（需提供用户实例说明，包括方案简要介绍和用户联系人）；</w:t>
            </w:r>
          </w:p>
          <w:p w14:paraId="2F5B524D">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具备主备切换能力（当主实例宕机后可以快速启用备用实例恢复业务）；</w:t>
            </w:r>
          </w:p>
          <w:p w14:paraId="6882BA31">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具备备用实例支持查询能力，用于分担主实例查询压力；</w:t>
            </w:r>
          </w:p>
          <w:p w14:paraId="6991FBF5">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对大数据量需要支持各种维度的查询分析及快速的查询响应。</w:t>
            </w:r>
          </w:p>
        </w:tc>
      </w:tr>
      <w:tr w14:paraId="73AE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198DA1A6">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4</w:t>
            </w:r>
          </w:p>
        </w:tc>
        <w:tc>
          <w:tcPr>
            <w:tcW w:w="1806" w:type="dxa"/>
            <w:vAlign w:val="center"/>
          </w:tcPr>
          <w:p w14:paraId="703CCF69">
            <w:pPr>
              <w:widowControl/>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sz w:val="20"/>
                <w:szCs w:val="20"/>
              </w:rPr>
              <w:t>环境部署要求</w:t>
            </w:r>
          </w:p>
        </w:tc>
        <w:tc>
          <w:tcPr>
            <w:tcW w:w="6219" w:type="dxa"/>
            <w:vAlign w:val="center"/>
          </w:tcPr>
          <w:p w14:paraId="7FAC349F">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数据库服务器同时支持Linux、Windows，以及至少一种如统信UOS、银河麒麟、中标麒麟、龙蜥等国产操作系统；</w:t>
            </w:r>
          </w:p>
          <w:p w14:paraId="3EB399CC">
            <w:pPr>
              <w:pStyle w:val="10"/>
              <w:widowControl/>
              <w:numPr>
                <w:ilvl w:val="0"/>
                <w:numId w:val="0"/>
              </w:numPr>
              <w:ind w:leftChars="0"/>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应用服务器同时支持Linux、Windows，以及至少一种如统信UOS、银河麒麟、中标麒麟、龙蜥等国产操作系统。</w:t>
            </w:r>
          </w:p>
        </w:tc>
      </w:tr>
      <w:tr w14:paraId="6923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1B088448">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5</w:t>
            </w:r>
          </w:p>
        </w:tc>
        <w:tc>
          <w:tcPr>
            <w:tcW w:w="1806" w:type="dxa"/>
            <w:vAlign w:val="center"/>
          </w:tcPr>
          <w:p w14:paraId="3B9F568F">
            <w:pPr>
              <w:widowControl/>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sz w:val="20"/>
                <w:szCs w:val="20"/>
              </w:rPr>
              <w:t>系统架构要求</w:t>
            </w:r>
          </w:p>
        </w:tc>
        <w:tc>
          <w:tcPr>
            <w:tcW w:w="6219" w:type="dxa"/>
            <w:vAlign w:val="center"/>
          </w:tcPr>
          <w:p w14:paraId="4FB76D56">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多层体系架构，业务管理模块全部采用B/S架构；</w:t>
            </w:r>
          </w:p>
          <w:p w14:paraId="3D0F3B95">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微服务架构，出现故障时的影响面最小；</w:t>
            </w:r>
          </w:p>
          <w:p w14:paraId="18C7D310">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支持容器化部署。（需提供用户实例及用户联系人）；</w:t>
            </w:r>
          </w:p>
          <w:p w14:paraId="1C52556C">
            <w:pPr>
              <w:pStyle w:val="10"/>
              <w:numPr>
                <w:ilvl w:val="0"/>
                <w:numId w:val="0"/>
              </w:numPr>
              <w:ind w:leftChars="0"/>
              <w:rPr>
                <w:rFonts w:hint="eastAsia" w:asciiTheme="minorEastAsia" w:hAnsiTheme="minorEastAsia" w:eastAsiaTheme="minorEastAsia" w:cstheme="minorEastAsia"/>
                <w:sz w:val="20"/>
                <w:szCs w:val="20"/>
                <w:highlight w:val="none"/>
              </w:rPr>
            </w:pP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rPr>
              <w:t>支持多链路部署。单条链路可以手动/自动切换到备选链路，最大化缩短使用故障链路的终端造成的影响。</w:t>
            </w:r>
            <w:r>
              <w:rPr>
                <w:rFonts w:hint="eastAsia" w:asciiTheme="minorEastAsia" w:hAnsiTheme="minorEastAsia" w:eastAsiaTheme="minorEastAsia" w:cstheme="minorEastAsia"/>
                <w:sz w:val="20"/>
                <w:szCs w:val="20"/>
                <w:highlight w:val="none"/>
              </w:rPr>
              <w:t>（需提供用户实例说明，包括方案简要介绍和用户联系人）；</w:t>
            </w:r>
          </w:p>
          <w:p w14:paraId="079B1991">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5.</w:t>
            </w:r>
            <w:r>
              <w:rPr>
                <w:rFonts w:hint="eastAsia" w:asciiTheme="minorEastAsia" w:hAnsiTheme="minorEastAsia" w:eastAsiaTheme="minorEastAsia" w:cstheme="minorEastAsia"/>
                <w:sz w:val="20"/>
                <w:szCs w:val="20"/>
              </w:rPr>
              <w:t>使用高可用组件、负载均衡策略。。</w:t>
            </w:r>
          </w:p>
        </w:tc>
      </w:tr>
      <w:tr w14:paraId="2227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30" w:type="dxa"/>
            <w:vAlign w:val="center"/>
          </w:tcPr>
          <w:p w14:paraId="730433B1">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6</w:t>
            </w:r>
          </w:p>
        </w:tc>
        <w:tc>
          <w:tcPr>
            <w:tcW w:w="1806" w:type="dxa"/>
            <w:vAlign w:val="center"/>
          </w:tcPr>
          <w:p w14:paraId="52BED40A">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系统测试要求</w:t>
            </w:r>
          </w:p>
        </w:tc>
        <w:tc>
          <w:tcPr>
            <w:tcW w:w="6219" w:type="dxa"/>
            <w:vAlign w:val="center"/>
          </w:tcPr>
          <w:p w14:paraId="7046D143">
            <w:pPr>
              <w:widowControl/>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▲有用户实际用例的第三方测试报告。</w:t>
            </w:r>
            <w:r>
              <w:rPr>
                <w:rFonts w:hint="eastAsia" w:asciiTheme="minorEastAsia" w:hAnsiTheme="minorEastAsia" w:eastAsiaTheme="minorEastAsia" w:cstheme="minorEastAsia"/>
                <w:sz w:val="20"/>
                <w:szCs w:val="20"/>
                <w:lang w:eastAsia="zh-CN"/>
              </w:rPr>
              <w:t>。</w:t>
            </w:r>
          </w:p>
        </w:tc>
      </w:tr>
      <w:tr w14:paraId="5E6C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0" w:type="dxa"/>
            <w:vAlign w:val="center"/>
          </w:tcPr>
          <w:p w14:paraId="4DC21302">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7</w:t>
            </w:r>
          </w:p>
        </w:tc>
        <w:tc>
          <w:tcPr>
            <w:tcW w:w="1806" w:type="dxa"/>
            <w:vAlign w:val="center"/>
          </w:tcPr>
          <w:p w14:paraId="68B6F6BF">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语言支持</w:t>
            </w:r>
          </w:p>
        </w:tc>
        <w:tc>
          <w:tcPr>
            <w:tcW w:w="6219" w:type="dxa"/>
            <w:vAlign w:val="center"/>
          </w:tcPr>
          <w:p w14:paraId="24005560">
            <w:pPr>
              <w:widowControl/>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▲主要主体业务管理模块界面支持双语显示。</w:t>
            </w:r>
          </w:p>
        </w:tc>
      </w:tr>
      <w:tr w14:paraId="2FDE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211AE230">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8</w:t>
            </w:r>
          </w:p>
        </w:tc>
        <w:tc>
          <w:tcPr>
            <w:tcW w:w="1806" w:type="dxa"/>
            <w:vAlign w:val="center"/>
          </w:tcPr>
          <w:p w14:paraId="1BECE995">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系统管理结构</w:t>
            </w:r>
          </w:p>
        </w:tc>
        <w:tc>
          <w:tcPr>
            <w:tcW w:w="6219" w:type="dxa"/>
            <w:vAlign w:val="center"/>
          </w:tcPr>
          <w:p w14:paraId="1AD49694">
            <w:pPr>
              <w:widowControl/>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系统架构能满足科室流程变更及个性化改造。可以实现多医疗机构、多院区、多检验科室分层管理及检验科室-院区-实验室-分组-仪器分级模式；可以实现检验申请项目多院区、多检验科室分别定义属性，实现检验申请、电子标签生成、标本采集、标本流转、预计报告时间等的精准管理及床旁检验管理。</w:t>
            </w:r>
          </w:p>
        </w:tc>
      </w:tr>
      <w:tr w14:paraId="4519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609EDCEC">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sz w:val="20"/>
                <w:szCs w:val="20"/>
                <w:lang w:val="en-US" w:eastAsia="zh-CN"/>
              </w:rPr>
              <w:t>9</w:t>
            </w:r>
          </w:p>
        </w:tc>
        <w:tc>
          <w:tcPr>
            <w:tcW w:w="1806" w:type="dxa"/>
            <w:vAlign w:val="center"/>
          </w:tcPr>
          <w:p w14:paraId="728DD45C">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条形码模式</w:t>
            </w:r>
          </w:p>
        </w:tc>
        <w:tc>
          <w:tcPr>
            <w:tcW w:w="6219" w:type="dxa"/>
            <w:vAlign w:val="center"/>
          </w:tcPr>
          <w:p w14:paraId="6090FD26">
            <w:pPr>
              <w:widowControl/>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支持</w:t>
            </w:r>
            <w:r>
              <w:rPr>
                <w:rFonts w:hint="eastAsia" w:asciiTheme="minorEastAsia" w:hAnsiTheme="minorEastAsia" w:eastAsiaTheme="minorEastAsia" w:cstheme="minorEastAsia"/>
                <w:sz w:val="20"/>
                <w:szCs w:val="20"/>
              </w:rPr>
              <w:t>现打条形码、预制条形码以及部分现打部分预制条形码等多种模式；</w:t>
            </w:r>
            <w:r>
              <w:rPr>
                <w:rFonts w:hint="eastAsia" w:asciiTheme="minorEastAsia" w:hAnsiTheme="minorEastAsia" w:eastAsiaTheme="minorEastAsia" w:cstheme="minorEastAsia"/>
                <w:sz w:val="20"/>
                <w:szCs w:val="20"/>
                <w:lang w:val="en-US" w:eastAsia="zh-CN"/>
              </w:rPr>
              <w:t>支持</w:t>
            </w:r>
            <w:r>
              <w:rPr>
                <w:rFonts w:hint="eastAsia" w:asciiTheme="minorEastAsia" w:hAnsiTheme="minorEastAsia" w:eastAsiaTheme="minorEastAsia" w:cstheme="minorEastAsia"/>
                <w:sz w:val="20"/>
                <w:szCs w:val="20"/>
              </w:rPr>
              <w:t>非标容器条形码标签应用；条形码标签可以自行定义格式；</w:t>
            </w:r>
            <w:r>
              <w:rPr>
                <w:rFonts w:hint="eastAsia" w:asciiTheme="minorEastAsia" w:hAnsiTheme="minorEastAsia" w:eastAsiaTheme="minorEastAsia" w:cstheme="minorEastAsia"/>
                <w:sz w:val="20"/>
                <w:szCs w:val="20"/>
                <w:lang w:val="en-US" w:eastAsia="zh-CN"/>
              </w:rPr>
              <w:t>支持</w:t>
            </w:r>
            <w:r>
              <w:rPr>
                <w:rFonts w:hint="eastAsia" w:asciiTheme="minorEastAsia" w:hAnsiTheme="minorEastAsia" w:eastAsiaTheme="minorEastAsia" w:cstheme="minorEastAsia"/>
                <w:sz w:val="20"/>
                <w:szCs w:val="20"/>
              </w:rPr>
              <w:t>区域检验编码。</w:t>
            </w:r>
          </w:p>
          <w:p w14:paraId="4E63B33A">
            <w:pPr>
              <w:widowControl/>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▲支持RFID标本管理,并有实际应用案例。</w:t>
            </w:r>
          </w:p>
        </w:tc>
      </w:tr>
      <w:tr w14:paraId="52A6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47A0848A">
            <w:pPr>
              <w:pStyle w:val="10"/>
              <w:numPr>
                <w:ilvl w:val="0"/>
                <w:numId w:val="0"/>
              </w:numPr>
              <w:ind w:leftChar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10</w:t>
            </w:r>
          </w:p>
        </w:tc>
        <w:tc>
          <w:tcPr>
            <w:tcW w:w="1806" w:type="dxa"/>
            <w:vAlign w:val="center"/>
          </w:tcPr>
          <w:p w14:paraId="5D3CF2EB">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数据库管理</w:t>
            </w:r>
          </w:p>
        </w:tc>
        <w:tc>
          <w:tcPr>
            <w:tcW w:w="6219" w:type="dxa"/>
            <w:vAlign w:val="center"/>
          </w:tcPr>
          <w:p w14:paraId="4D5CDA54">
            <w:pPr>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rPr>
              <w:t>独立的报告库、分析库，与生产库分离；</w:t>
            </w:r>
          </w:p>
          <w:p w14:paraId="3DFE24FD">
            <w:pPr>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rPr>
              <w:t>分析库支持ClickHouse列式数据库；</w:t>
            </w:r>
          </w:p>
          <w:p w14:paraId="014771E6">
            <w:pPr>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支持多引擎集群，单引擎宕机用户无感知、平台无影响。</w:t>
            </w:r>
          </w:p>
        </w:tc>
      </w:tr>
      <w:tr w14:paraId="6EA5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783DA3EA">
            <w:pPr>
              <w:pStyle w:val="10"/>
              <w:numPr>
                <w:ilvl w:val="0"/>
                <w:numId w:val="0"/>
              </w:numPr>
              <w:ind w:leftChar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11</w:t>
            </w:r>
          </w:p>
        </w:tc>
        <w:tc>
          <w:tcPr>
            <w:tcW w:w="1806" w:type="dxa"/>
            <w:vAlign w:val="center"/>
          </w:tcPr>
          <w:p w14:paraId="7B7B8B5E">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仪器通讯</w:t>
            </w:r>
          </w:p>
        </w:tc>
        <w:tc>
          <w:tcPr>
            <w:tcW w:w="6219" w:type="dxa"/>
            <w:vAlign w:val="center"/>
          </w:tcPr>
          <w:p w14:paraId="27C6446C">
            <w:pPr>
              <w:widowControl/>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支持</w:t>
            </w:r>
            <w:r>
              <w:rPr>
                <w:rFonts w:hint="eastAsia" w:asciiTheme="minorEastAsia" w:hAnsiTheme="minorEastAsia" w:eastAsiaTheme="minorEastAsia" w:cstheme="minorEastAsia"/>
                <w:sz w:val="20"/>
                <w:szCs w:val="20"/>
              </w:rPr>
              <w:t>单向、双向通讯，</w:t>
            </w:r>
            <w:r>
              <w:rPr>
                <w:rFonts w:hint="eastAsia" w:asciiTheme="minorEastAsia" w:hAnsiTheme="minorEastAsia" w:eastAsiaTheme="minorEastAsia" w:cstheme="minorEastAsia"/>
                <w:b w:val="0"/>
                <w:bCs w:val="0"/>
                <w:sz w:val="20"/>
                <w:szCs w:val="20"/>
                <w:lang w:val="en-US" w:eastAsia="zh-CN"/>
              </w:rPr>
              <w:t>支持</w:t>
            </w:r>
            <w:r>
              <w:rPr>
                <w:rFonts w:hint="eastAsia" w:asciiTheme="minorEastAsia" w:hAnsiTheme="minorEastAsia" w:eastAsiaTheme="minorEastAsia" w:cstheme="minorEastAsia"/>
                <w:sz w:val="20"/>
                <w:szCs w:val="20"/>
              </w:rPr>
              <w:t>仪器条形码自动识别；</w:t>
            </w:r>
            <w:r>
              <w:rPr>
                <w:rFonts w:hint="eastAsia" w:asciiTheme="minorEastAsia" w:hAnsiTheme="minorEastAsia" w:eastAsiaTheme="minorEastAsia" w:cstheme="minorEastAsia"/>
                <w:b w:val="0"/>
                <w:bCs w:val="0"/>
                <w:sz w:val="20"/>
                <w:szCs w:val="20"/>
                <w:lang w:val="en-US" w:eastAsia="zh-CN"/>
              </w:rPr>
              <w:t>支持</w:t>
            </w:r>
            <w:r>
              <w:rPr>
                <w:rFonts w:hint="eastAsia" w:asciiTheme="minorEastAsia" w:hAnsiTheme="minorEastAsia" w:eastAsiaTheme="minorEastAsia" w:cstheme="minorEastAsia"/>
                <w:sz w:val="20"/>
                <w:szCs w:val="20"/>
              </w:rPr>
              <w:t>酶标仪器双向控制，全自动采血系统联机，贴标机联机，自动化物流系统联机，前处理设备的联机，流水线的联机；具备通讯接口设备连接率100%；</w:t>
            </w:r>
            <w:r>
              <w:rPr>
                <w:rFonts w:hint="eastAsia" w:asciiTheme="minorEastAsia" w:hAnsiTheme="minorEastAsia" w:eastAsiaTheme="minorEastAsia" w:cstheme="minorEastAsia"/>
                <w:b w:val="0"/>
                <w:bCs w:val="0"/>
                <w:sz w:val="20"/>
                <w:szCs w:val="20"/>
                <w:lang w:val="en-US" w:eastAsia="zh-CN"/>
              </w:rPr>
              <w:t>支持</w:t>
            </w:r>
            <w:r>
              <w:rPr>
                <w:rFonts w:hint="eastAsia" w:asciiTheme="minorEastAsia" w:hAnsiTheme="minorEastAsia" w:eastAsiaTheme="minorEastAsia" w:cstheme="minorEastAsia"/>
                <w:sz w:val="20"/>
                <w:szCs w:val="20"/>
              </w:rPr>
              <w:t>仪器报警信息采集；</w:t>
            </w:r>
            <w:r>
              <w:rPr>
                <w:rFonts w:hint="eastAsia" w:asciiTheme="minorEastAsia" w:hAnsiTheme="minorEastAsia" w:eastAsiaTheme="minorEastAsia" w:cstheme="minorEastAsia"/>
                <w:b w:val="0"/>
                <w:bCs w:val="0"/>
                <w:sz w:val="20"/>
                <w:szCs w:val="20"/>
                <w:lang w:val="en-US" w:eastAsia="zh-CN"/>
              </w:rPr>
              <w:t>支持</w:t>
            </w:r>
            <w:r>
              <w:rPr>
                <w:rFonts w:hint="eastAsia" w:asciiTheme="minorEastAsia" w:hAnsiTheme="minorEastAsia" w:eastAsiaTheme="minorEastAsia" w:cstheme="minorEastAsia"/>
                <w:sz w:val="20"/>
                <w:szCs w:val="20"/>
              </w:rPr>
              <w:t>上机时间、检验完成时间采集；</w:t>
            </w:r>
            <w:r>
              <w:rPr>
                <w:rFonts w:hint="eastAsia" w:asciiTheme="minorEastAsia" w:hAnsiTheme="minorEastAsia" w:eastAsiaTheme="minorEastAsia" w:cstheme="minorEastAsia"/>
                <w:b w:val="0"/>
                <w:bCs w:val="0"/>
                <w:sz w:val="20"/>
                <w:szCs w:val="20"/>
                <w:lang w:val="en-US" w:eastAsia="zh-CN"/>
              </w:rPr>
              <w:t>支持</w:t>
            </w:r>
            <w:r>
              <w:rPr>
                <w:rFonts w:hint="eastAsia" w:asciiTheme="minorEastAsia" w:hAnsiTheme="minorEastAsia" w:eastAsiaTheme="minorEastAsia" w:cstheme="minorEastAsia"/>
                <w:sz w:val="20"/>
                <w:szCs w:val="20"/>
              </w:rPr>
              <w:t>一台设备向多个检验单元传送数据；</w:t>
            </w:r>
            <w:r>
              <w:rPr>
                <w:rFonts w:hint="eastAsia" w:asciiTheme="minorEastAsia" w:hAnsiTheme="minorEastAsia" w:eastAsiaTheme="minorEastAsia" w:cstheme="minorEastAsia"/>
                <w:b w:val="0"/>
                <w:bCs w:val="0"/>
                <w:sz w:val="20"/>
                <w:szCs w:val="20"/>
                <w:lang w:val="en-US" w:eastAsia="zh-CN"/>
              </w:rPr>
              <w:t>支持</w:t>
            </w:r>
            <w:r>
              <w:rPr>
                <w:rFonts w:hint="eastAsia" w:asciiTheme="minorEastAsia" w:hAnsiTheme="minorEastAsia" w:eastAsiaTheme="minorEastAsia" w:cstheme="minorEastAsia"/>
                <w:sz w:val="20"/>
                <w:szCs w:val="20"/>
              </w:rPr>
              <w:t>质控数据采集；</w:t>
            </w:r>
            <w:r>
              <w:rPr>
                <w:rFonts w:hint="eastAsia" w:asciiTheme="minorEastAsia" w:hAnsiTheme="minorEastAsia" w:eastAsiaTheme="minorEastAsia" w:cstheme="minorEastAsia"/>
                <w:b w:val="0"/>
                <w:bCs w:val="0"/>
                <w:sz w:val="20"/>
                <w:szCs w:val="20"/>
                <w:lang w:val="en-US" w:eastAsia="zh-CN"/>
              </w:rPr>
              <w:t>支持</w:t>
            </w:r>
            <w:r>
              <w:rPr>
                <w:rFonts w:hint="eastAsia" w:asciiTheme="minorEastAsia" w:hAnsiTheme="minorEastAsia" w:eastAsiaTheme="minorEastAsia" w:cstheme="minorEastAsia"/>
                <w:sz w:val="20"/>
                <w:szCs w:val="20"/>
              </w:rPr>
              <w:t>网络故障时的检验数据本地缓存及无线传输。</w:t>
            </w:r>
          </w:p>
        </w:tc>
      </w:tr>
      <w:tr w14:paraId="6320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29D2350B">
            <w:pPr>
              <w:pStyle w:val="10"/>
              <w:numPr>
                <w:ilvl w:val="0"/>
                <w:numId w:val="0"/>
              </w:numPr>
              <w:ind w:leftChar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12</w:t>
            </w:r>
          </w:p>
        </w:tc>
        <w:tc>
          <w:tcPr>
            <w:tcW w:w="1806" w:type="dxa"/>
            <w:vAlign w:val="center"/>
          </w:tcPr>
          <w:p w14:paraId="765119B7">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图像数据采集</w:t>
            </w:r>
          </w:p>
        </w:tc>
        <w:tc>
          <w:tcPr>
            <w:tcW w:w="6219" w:type="dxa"/>
            <w:vAlign w:val="center"/>
          </w:tcPr>
          <w:p w14:paraId="31062AF9">
            <w:pPr>
              <w:widowControl/>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sz w:val="20"/>
                <w:szCs w:val="20"/>
                <w:lang w:val="en-US" w:eastAsia="zh-CN"/>
              </w:rPr>
              <w:t>支持</w:t>
            </w:r>
            <w:r>
              <w:rPr>
                <w:rFonts w:hint="eastAsia" w:asciiTheme="minorEastAsia" w:hAnsiTheme="minorEastAsia" w:eastAsiaTheme="minorEastAsia" w:cstheme="minorEastAsia"/>
                <w:sz w:val="20"/>
                <w:szCs w:val="20"/>
              </w:rPr>
              <w:t>通过图像采集卡进行图像采集，数码相机进行图像采集；高拍仪进行图像采集；从第三方系统读取图像及数据还原图像；图片种类至少包括：骨髓图像、脱离细胞图像、染色体图像、精子运动图像、尿粪沉渣镜检图像、蛋白电泳曲线图、蛋白电泳条带图、血细胞直方图、血细胞散点图、流式细胞散点图、基因图谱、标本照片等。</w:t>
            </w:r>
          </w:p>
        </w:tc>
      </w:tr>
      <w:tr w14:paraId="243B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24751126">
            <w:pPr>
              <w:pStyle w:val="10"/>
              <w:numPr>
                <w:ilvl w:val="0"/>
                <w:numId w:val="0"/>
              </w:numPr>
              <w:ind w:leftChar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13</w:t>
            </w:r>
          </w:p>
        </w:tc>
        <w:tc>
          <w:tcPr>
            <w:tcW w:w="1806" w:type="dxa"/>
            <w:vMerge w:val="restart"/>
            <w:vAlign w:val="center"/>
          </w:tcPr>
          <w:p w14:paraId="5663615B">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权限管理</w:t>
            </w:r>
          </w:p>
        </w:tc>
        <w:tc>
          <w:tcPr>
            <w:tcW w:w="6219" w:type="dxa"/>
            <w:vAlign w:val="center"/>
          </w:tcPr>
          <w:p w14:paraId="0878199B">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▲具有岗位管理功能；</w:t>
            </w:r>
          </w:p>
          <w:p w14:paraId="33DCF813">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b w:val="0"/>
                <w:bCs w:val="0"/>
                <w:sz w:val="20"/>
                <w:szCs w:val="20"/>
                <w:lang w:val="en-US" w:eastAsia="zh-CN"/>
              </w:rPr>
              <w:t>支持</w:t>
            </w:r>
            <w:r>
              <w:rPr>
                <w:rFonts w:hint="eastAsia" w:asciiTheme="minorEastAsia" w:hAnsiTheme="minorEastAsia" w:eastAsiaTheme="minorEastAsia" w:cstheme="minorEastAsia"/>
                <w:sz w:val="20"/>
                <w:szCs w:val="20"/>
              </w:rPr>
              <w:t>自行定义权限；可以为每个操作从功能、时间、空间设置不同权限；权限可以分组分角色进行管理；</w:t>
            </w:r>
          </w:p>
        </w:tc>
      </w:tr>
      <w:tr w14:paraId="2784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3C3A8DE0">
            <w:pPr>
              <w:pStyle w:val="10"/>
              <w:numPr>
                <w:ilvl w:val="0"/>
                <w:numId w:val="1"/>
              </w:numPr>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612E81B8">
            <w:pPr>
              <w:widowControl/>
              <w:jc w:val="center"/>
              <w:rPr>
                <w:rFonts w:hint="eastAsia" w:asciiTheme="minorEastAsia" w:hAnsiTheme="minorEastAsia" w:eastAsiaTheme="minorEastAsia" w:cstheme="minorEastAsia"/>
                <w:sz w:val="20"/>
                <w:szCs w:val="20"/>
              </w:rPr>
            </w:pPr>
          </w:p>
        </w:tc>
        <w:tc>
          <w:tcPr>
            <w:tcW w:w="6219" w:type="dxa"/>
            <w:vAlign w:val="center"/>
          </w:tcPr>
          <w:p w14:paraId="285DE87D">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自动记录我们使用记录；自动屏幕保护功能；定期密码更新；系统登录二次加密；可以实现数字认证。</w:t>
            </w:r>
          </w:p>
        </w:tc>
      </w:tr>
      <w:tr w14:paraId="19F0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30" w:type="dxa"/>
            <w:vAlign w:val="center"/>
          </w:tcPr>
          <w:p w14:paraId="4BA1ABE7">
            <w:pPr>
              <w:pStyle w:val="10"/>
              <w:numPr>
                <w:ilvl w:val="0"/>
                <w:numId w:val="0"/>
              </w:numPr>
              <w:ind w:leftChar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14</w:t>
            </w:r>
          </w:p>
        </w:tc>
        <w:tc>
          <w:tcPr>
            <w:tcW w:w="1806" w:type="dxa"/>
            <w:vAlign w:val="center"/>
          </w:tcPr>
          <w:p w14:paraId="137576B3">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痕迹管理</w:t>
            </w:r>
          </w:p>
        </w:tc>
        <w:tc>
          <w:tcPr>
            <w:tcW w:w="6219" w:type="dxa"/>
            <w:vAlign w:val="center"/>
          </w:tcPr>
          <w:p w14:paraId="52B44D12">
            <w:pPr>
              <w:widowControl/>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sz w:val="20"/>
                <w:szCs w:val="20"/>
                <w:lang w:val="en-US" w:eastAsia="zh-CN"/>
              </w:rPr>
              <w:t>支持</w:t>
            </w:r>
            <w:r>
              <w:rPr>
                <w:rFonts w:hint="eastAsia" w:asciiTheme="minorEastAsia" w:hAnsiTheme="minorEastAsia" w:eastAsiaTheme="minorEastAsia" w:cstheme="minorEastAsia"/>
                <w:kern w:val="2"/>
                <w:sz w:val="20"/>
                <w:szCs w:val="20"/>
                <w:lang w:val="en-US" w:eastAsia="zh-CN" w:bidi="ar-SA"/>
              </w:rPr>
              <w:t>主要操作记录；数据修改痕迹记录；数据浏览、打印等应用记录；数据引用记录；电子签名及电子印章。</w:t>
            </w:r>
          </w:p>
        </w:tc>
      </w:tr>
      <w:tr w14:paraId="21B3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59EBD2AB">
            <w:pPr>
              <w:pStyle w:val="10"/>
              <w:numPr>
                <w:ilvl w:val="0"/>
                <w:numId w:val="0"/>
              </w:numPr>
              <w:ind w:leftChar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15</w:t>
            </w:r>
          </w:p>
        </w:tc>
        <w:tc>
          <w:tcPr>
            <w:tcW w:w="1806" w:type="dxa"/>
            <w:vAlign w:val="center"/>
          </w:tcPr>
          <w:p w14:paraId="53552FEF">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应急预案</w:t>
            </w:r>
          </w:p>
        </w:tc>
        <w:tc>
          <w:tcPr>
            <w:tcW w:w="6219" w:type="dxa"/>
            <w:vAlign w:val="center"/>
          </w:tcPr>
          <w:p w14:paraId="74BC5E48">
            <w:pPr>
              <w:widowControl/>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服务器或网络故障能及时切换到单机操作，在故障恢复后数据自动上传到服务器。</w:t>
            </w:r>
          </w:p>
        </w:tc>
      </w:tr>
      <w:tr w14:paraId="48AA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7FEB40C9">
            <w:pPr>
              <w:pStyle w:val="10"/>
              <w:numPr>
                <w:ilvl w:val="0"/>
                <w:numId w:val="0"/>
              </w:numPr>
              <w:ind w:leftChar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16</w:t>
            </w:r>
          </w:p>
        </w:tc>
        <w:tc>
          <w:tcPr>
            <w:tcW w:w="1806" w:type="dxa"/>
            <w:vAlign w:val="center"/>
          </w:tcPr>
          <w:p w14:paraId="248DFC16">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历史数据迁移</w:t>
            </w:r>
          </w:p>
        </w:tc>
        <w:tc>
          <w:tcPr>
            <w:tcW w:w="6219" w:type="dxa"/>
            <w:vAlign w:val="center"/>
          </w:tcPr>
          <w:p w14:paraId="4D19276E">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完成旧LIS系统中的历史数据迁移到新系统，并对报告单进行固化。</w:t>
            </w:r>
          </w:p>
        </w:tc>
      </w:tr>
      <w:tr w14:paraId="6C88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53B00E52">
            <w:pPr>
              <w:pStyle w:val="10"/>
              <w:numPr>
                <w:ilvl w:val="0"/>
                <w:numId w:val="0"/>
              </w:numPr>
              <w:ind w:leftChar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17</w:t>
            </w:r>
          </w:p>
        </w:tc>
        <w:tc>
          <w:tcPr>
            <w:tcW w:w="1806" w:type="dxa"/>
            <w:vAlign w:val="center"/>
          </w:tcPr>
          <w:p w14:paraId="1857D343">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数据验证</w:t>
            </w:r>
          </w:p>
        </w:tc>
        <w:tc>
          <w:tcPr>
            <w:tcW w:w="6219" w:type="dxa"/>
            <w:vAlign w:val="center"/>
          </w:tcPr>
          <w:p w14:paraId="278C1DE7">
            <w:pP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▲具备系统上线前验证以及定期验证管理功能。</w:t>
            </w:r>
          </w:p>
        </w:tc>
      </w:tr>
      <w:tr w14:paraId="4FD5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gridSpan w:val="3"/>
            <w:vAlign w:val="center"/>
          </w:tcPr>
          <w:p w14:paraId="379394BF">
            <w:pPr>
              <w:pStyle w:val="10"/>
              <w:numPr>
                <w:ilvl w:val="0"/>
                <w:numId w:val="0"/>
              </w:numPr>
              <w:ind w:leftChars="0"/>
              <w:jc w:val="center"/>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二、</w:t>
            </w:r>
            <w:r>
              <w:rPr>
                <w:rFonts w:hint="eastAsia" w:asciiTheme="minorEastAsia" w:hAnsiTheme="minorEastAsia" w:eastAsiaTheme="minorEastAsia" w:cstheme="minorEastAsia"/>
                <w:sz w:val="20"/>
                <w:szCs w:val="20"/>
              </w:rPr>
              <w:t>检验</w:t>
            </w:r>
            <w:r>
              <w:rPr>
                <w:rFonts w:hint="eastAsia" w:asciiTheme="minorEastAsia" w:hAnsiTheme="minorEastAsia" w:eastAsiaTheme="minorEastAsia" w:cstheme="minorEastAsia"/>
                <w:sz w:val="20"/>
                <w:szCs w:val="20"/>
                <w:lang w:val="en-US" w:eastAsia="zh-CN"/>
              </w:rPr>
              <w:t>主体</w:t>
            </w:r>
            <w:r>
              <w:rPr>
                <w:rFonts w:hint="eastAsia" w:asciiTheme="minorEastAsia" w:hAnsiTheme="minorEastAsia" w:eastAsiaTheme="minorEastAsia" w:cstheme="minorEastAsia"/>
                <w:sz w:val="20"/>
                <w:szCs w:val="20"/>
              </w:rPr>
              <w:t>业务管理</w:t>
            </w:r>
          </w:p>
        </w:tc>
      </w:tr>
      <w:tr w14:paraId="7C11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4427E20F">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1</w:t>
            </w:r>
          </w:p>
        </w:tc>
        <w:tc>
          <w:tcPr>
            <w:tcW w:w="1806" w:type="dxa"/>
            <w:vAlign w:val="center"/>
          </w:tcPr>
          <w:p w14:paraId="596A6BF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检验中台</w:t>
            </w:r>
          </w:p>
        </w:tc>
        <w:tc>
          <w:tcPr>
            <w:tcW w:w="6219" w:type="dxa"/>
            <w:vAlign w:val="center"/>
          </w:tcPr>
          <w:p w14:paraId="52E4FFD8">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智慧实验室统一登录：单点登录、网签、手机CA认证、岗位选择。</w:t>
            </w:r>
          </w:p>
          <w:p w14:paraId="2D841703">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工作台：机构内授权模块、工作单元、机构外远程实验室授权工作单元分类管理，关注常用模块标注。</w:t>
            </w:r>
          </w:p>
          <w:p w14:paraId="07E3F0EC">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看板：个人工作平台快速入口，工作单元快速进入，消息提醒及确认，关注样本消息提醒及确认，异常样本提醒及确认。</w:t>
            </w:r>
          </w:p>
        </w:tc>
      </w:tr>
      <w:tr w14:paraId="3D05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47027937">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2</w:t>
            </w:r>
          </w:p>
        </w:tc>
        <w:tc>
          <w:tcPr>
            <w:tcW w:w="1806" w:type="dxa"/>
            <w:vMerge w:val="restart"/>
            <w:vAlign w:val="center"/>
          </w:tcPr>
          <w:p w14:paraId="4206AD0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系统环境参数</w:t>
            </w:r>
          </w:p>
          <w:p w14:paraId="7F2DC76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配置</w:t>
            </w:r>
          </w:p>
        </w:tc>
        <w:tc>
          <w:tcPr>
            <w:tcW w:w="6219" w:type="dxa"/>
            <w:vAlign w:val="center"/>
          </w:tcPr>
          <w:p w14:paraId="2EBD2481">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对系统运行所需的各个主体元素分类管理、分级分配、引用和定义。包括：组织、单元、人、机、料、法、环、样、费用、流程、信息系统、数据字典等。</w:t>
            </w:r>
          </w:p>
        </w:tc>
      </w:tr>
      <w:tr w14:paraId="1A91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44EEF065">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4DC1634B">
            <w:pPr>
              <w:jc w:val="center"/>
              <w:rPr>
                <w:rFonts w:hint="eastAsia" w:asciiTheme="minorEastAsia" w:hAnsiTheme="minorEastAsia" w:eastAsiaTheme="minorEastAsia" w:cstheme="minorEastAsia"/>
                <w:sz w:val="20"/>
                <w:szCs w:val="20"/>
                <w:lang w:val="en-US" w:eastAsia="zh-CN"/>
              </w:rPr>
            </w:pPr>
          </w:p>
        </w:tc>
        <w:tc>
          <w:tcPr>
            <w:tcW w:w="6219" w:type="dxa"/>
            <w:vAlign w:val="center"/>
          </w:tcPr>
          <w:p w14:paraId="30F856B6">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多层级管理，工作单元化管理；</w:t>
            </w:r>
          </w:p>
          <w:p w14:paraId="587456AD">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基础数据标准化，分级定义引用（上传、下发、自定义）；</w:t>
            </w:r>
          </w:p>
          <w:p w14:paraId="759850B6">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常规条件简约设定与特殊限定条件规则设定相结合；</w:t>
            </w:r>
          </w:p>
          <w:p w14:paraId="0A497C38">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rPr>
              <w:t>一套LIS代码对应N对HIS代码；</w:t>
            </w:r>
          </w:p>
          <w:p w14:paraId="3590BAB1">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5.</w:t>
            </w:r>
            <w:r>
              <w:rPr>
                <w:rFonts w:hint="eastAsia" w:asciiTheme="minorEastAsia" w:hAnsiTheme="minorEastAsia" w:eastAsiaTheme="minorEastAsia" w:cstheme="minorEastAsia"/>
                <w:sz w:val="20"/>
                <w:szCs w:val="20"/>
              </w:rPr>
              <w:t>多维度交叉数据维护、快速预览、快速核对、统一总览；</w:t>
            </w:r>
          </w:p>
          <w:p w14:paraId="4AE4AB0B">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6.</w:t>
            </w:r>
            <w:r>
              <w:rPr>
                <w:rFonts w:hint="eastAsia" w:asciiTheme="minorEastAsia" w:hAnsiTheme="minorEastAsia" w:eastAsiaTheme="minorEastAsia" w:cstheme="minorEastAsia"/>
                <w:sz w:val="20"/>
                <w:szCs w:val="20"/>
              </w:rPr>
              <w:t>数据变动全过程记录，涉及的业务自动提醒；</w:t>
            </w:r>
          </w:p>
          <w:p w14:paraId="058E980F">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7.</w:t>
            </w:r>
            <w:r>
              <w:rPr>
                <w:rFonts w:hint="eastAsia" w:asciiTheme="minorEastAsia" w:hAnsiTheme="minorEastAsia" w:eastAsiaTheme="minorEastAsia" w:cstheme="minorEastAsia"/>
                <w:sz w:val="20"/>
                <w:szCs w:val="20"/>
              </w:rPr>
              <w:t>支持调价信息预先定义；</w:t>
            </w:r>
          </w:p>
          <w:p w14:paraId="4084312D">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8.</w:t>
            </w:r>
            <w:r>
              <w:rPr>
                <w:rFonts w:hint="eastAsia" w:asciiTheme="minorEastAsia" w:hAnsiTheme="minorEastAsia" w:eastAsiaTheme="minorEastAsia" w:cstheme="minorEastAsia"/>
                <w:sz w:val="20"/>
                <w:szCs w:val="20"/>
              </w:rPr>
              <w:t>岗位、角色、权组实现人员快速授权；</w:t>
            </w:r>
          </w:p>
          <w:p w14:paraId="55F454A0">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9.</w:t>
            </w:r>
            <w:r>
              <w:rPr>
                <w:rFonts w:hint="eastAsia" w:asciiTheme="minorEastAsia" w:hAnsiTheme="minorEastAsia" w:eastAsiaTheme="minorEastAsia" w:cstheme="minorEastAsia"/>
                <w:sz w:val="20"/>
                <w:szCs w:val="20"/>
              </w:rPr>
              <w:t>快速构建工作单元；</w:t>
            </w:r>
          </w:p>
          <w:p w14:paraId="24A45BEF">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10.</w:t>
            </w:r>
            <w:r>
              <w:rPr>
                <w:rFonts w:hint="eastAsia" w:asciiTheme="minorEastAsia" w:hAnsiTheme="minorEastAsia" w:eastAsiaTheme="minorEastAsia" w:cstheme="minorEastAsia"/>
                <w:sz w:val="20"/>
                <w:szCs w:val="20"/>
              </w:rPr>
              <w:t>快速构建标准化实验室。</w:t>
            </w:r>
          </w:p>
        </w:tc>
      </w:tr>
      <w:tr w14:paraId="3C85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5795FFAD">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3</w:t>
            </w:r>
          </w:p>
        </w:tc>
        <w:tc>
          <w:tcPr>
            <w:tcW w:w="1806" w:type="dxa"/>
            <w:vMerge w:val="restart"/>
            <w:vAlign w:val="center"/>
          </w:tcPr>
          <w:p w14:paraId="66B4621A">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智能</w:t>
            </w:r>
            <w:r>
              <w:rPr>
                <w:rFonts w:hint="eastAsia" w:asciiTheme="minorEastAsia" w:hAnsiTheme="minorEastAsia" w:eastAsiaTheme="minorEastAsia" w:cstheme="minorEastAsia"/>
                <w:sz w:val="20"/>
                <w:szCs w:val="20"/>
              </w:rPr>
              <w:t>检验护士站</w:t>
            </w:r>
          </w:p>
        </w:tc>
        <w:tc>
          <w:tcPr>
            <w:tcW w:w="6219" w:type="dxa"/>
            <w:vAlign w:val="center"/>
          </w:tcPr>
          <w:p w14:paraId="57AC71C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提供第三方调用的完整界面。涵盖条形码生成、打印、采集确认，标本归集、打包、送出，退回不合格标本处理，危急值处理，检验报告浏览等一系列管理。适应现打条形码、预制条形码两种应用模式。</w:t>
            </w:r>
          </w:p>
        </w:tc>
      </w:tr>
      <w:tr w14:paraId="3C43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65D75142">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6DAF47DE">
            <w:pPr>
              <w:jc w:val="center"/>
              <w:rPr>
                <w:rFonts w:hint="eastAsia" w:asciiTheme="minorEastAsia" w:hAnsiTheme="minorEastAsia" w:eastAsiaTheme="minorEastAsia" w:cstheme="minorEastAsia"/>
                <w:sz w:val="20"/>
                <w:szCs w:val="20"/>
              </w:rPr>
            </w:pPr>
          </w:p>
        </w:tc>
        <w:tc>
          <w:tcPr>
            <w:tcW w:w="6219" w:type="dxa"/>
            <w:vAlign w:val="center"/>
          </w:tcPr>
          <w:p w14:paraId="2B61AAF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智能化控制要求：</w:t>
            </w:r>
          </w:p>
          <w:p w14:paraId="54063867">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rPr>
              <w:t>申请自动拆分和合并成标本；</w:t>
            </w:r>
          </w:p>
          <w:p w14:paraId="7DBCC15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rPr>
              <w:t>标本类型错误的有效控制；</w:t>
            </w:r>
          </w:p>
          <w:p w14:paraId="1801405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标本容器错误的有效控制；</w:t>
            </w:r>
          </w:p>
          <w:p w14:paraId="269C213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采集时间要求的有效控制；</w:t>
            </w:r>
          </w:p>
          <w:p w14:paraId="0705A5A0">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标本采集量的自动计算；</w:t>
            </w:r>
          </w:p>
          <w:p w14:paraId="67C9FD9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rPr>
              <w:t>未执行标本的及时提醒；</w:t>
            </w:r>
          </w:p>
          <w:p w14:paraId="6A4E928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7.</w:t>
            </w:r>
            <w:r>
              <w:rPr>
                <w:rFonts w:hint="eastAsia" w:asciiTheme="minorEastAsia" w:hAnsiTheme="minorEastAsia" w:eastAsiaTheme="minorEastAsia" w:cstheme="minorEastAsia"/>
                <w:sz w:val="20"/>
                <w:szCs w:val="20"/>
              </w:rPr>
              <w:t>采血费的自动计算和收取；</w:t>
            </w:r>
          </w:p>
          <w:p w14:paraId="3C9EC3AE">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8.</w:t>
            </w:r>
            <w:r>
              <w:rPr>
                <w:rFonts w:hint="eastAsia" w:asciiTheme="minorEastAsia" w:hAnsiTheme="minorEastAsia" w:eastAsiaTheme="minorEastAsia" w:cstheme="minorEastAsia"/>
                <w:sz w:val="20"/>
                <w:szCs w:val="20"/>
              </w:rPr>
              <w:t>试管费的自动计算和收取；</w:t>
            </w:r>
          </w:p>
          <w:p w14:paraId="32AC1FE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自动产生实验室内部编号。</w:t>
            </w:r>
          </w:p>
        </w:tc>
      </w:tr>
      <w:tr w14:paraId="4373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184341D6">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4</w:t>
            </w:r>
          </w:p>
        </w:tc>
        <w:tc>
          <w:tcPr>
            <w:tcW w:w="1806" w:type="dxa"/>
            <w:vAlign w:val="center"/>
          </w:tcPr>
          <w:p w14:paraId="18CF928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智能检验报告</w:t>
            </w:r>
          </w:p>
          <w:p w14:paraId="2B554CA0">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浏览器</w:t>
            </w:r>
          </w:p>
        </w:tc>
        <w:tc>
          <w:tcPr>
            <w:tcW w:w="6219" w:type="dxa"/>
            <w:vAlign w:val="center"/>
          </w:tcPr>
          <w:p w14:paraId="440662F2">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提供第三方调用的报告浏览器。</w:t>
            </w:r>
          </w:p>
          <w:p w14:paraId="5B757005">
            <w:pPr>
              <w:pStyle w:val="10"/>
              <w:numPr>
                <w:ilvl w:val="0"/>
                <w:numId w:val="0"/>
              </w:numPr>
              <w:ind w:leftChars="0"/>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lang w:val="en-US" w:eastAsia="zh-CN"/>
              </w:rPr>
              <w:t>提供对检验报告、数据进行浏览、阅读、打印、分析的工具；</w:t>
            </w:r>
          </w:p>
          <w:p w14:paraId="20BAB36B">
            <w:pPr>
              <w:pStyle w:val="10"/>
              <w:numPr>
                <w:ilvl w:val="0"/>
                <w:numId w:val="0"/>
              </w:numPr>
              <w:ind w:leftChars="0"/>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lang w:val="en-US" w:eastAsia="zh-CN"/>
              </w:rPr>
              <w:t>含盖所有种类的检验报告，包括：常规检验报告、微生物检验报告、图像检验报告</w:t>
            </w:r>
            <w:r>
              <w:rPr>
                <w:rFonts w:hint="eastAsia" w:asciiTheme="minorEastAsia" w:hAnsiTheme="minorEastAsia" w:cstheme="minorEastAsia"/>
                <w:sz w:val="20"/>
                <w:szCs w:val="20"/>
                <w:lang w:val="en-US" w:eastAsia="zh-CN"/>
              </w:rPr>
              <w:t>等</w:t>
            </w:r>
            <w:r>
              <w:rPr>
                <w:rFonts w:hint="eastAsia" w:asciiTheme="minorEastAsia" w:hAnsiTheme="minorEastAsia" w:eastAsiaTheme="minorEastAsia" w:cstheme="minorEastAsia"/>
                <w:sz w:val="20"/>
                <w:szCs w:val="20"/>
                <w:lang w:val="en-US" w:eastAsia="zh-CN"/>
              </w:rPr>
              <w:t>；</w:t>
            </w:r>
          </w:p>
          <w:p w14:paraId="3D1756EC">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具有报告分密级管理功能；</w:t>
            </w:r>
          </w:p>
          <w:p w14:paraId="4E2008EE">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rPr>
              <w:t>提供报告单打印功能；</w:t>
            </w:r>
          </w:p>
          <w:p w14:paraId="7961216B">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5.</w:t>
            </w:r>
            <w:r>
              <w:rPr>
                <w:rFonts w:hint="eastAsia" w:asciiTheme="minorEastAsia" w:hAnsiTheme="minorEastAsia" w:eastAsiaTheme="minorEastAsia" w:cstheme="minorEastAsia"/>
                <w:sz w:val="20"/>
                <w:szCs w:val="20"/>
              </w:rPr>
              <w:t>提供报告单归档打印功能；</w:t>
            </w:r>
          </w:p>
          <w:p w14:paraId="14CA219F">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6.</w:t>
            </w:r>
            <w:r>
              <w:rPr>
                <w:rFonts w:hint="eastAsia" w:asciiTheme="minorEastAsia" w:hAnsiTheme="minorEastAsia" w:eastAsiaTheme="minorEastAsia" w:cstheme="minorEastAsia"/>
                <w:sz w:val="20"/>
                <w:szCs w:val="20"/>
              </w:rPr>
              <w:t>提供检验结果、报告单的浏览、阅读功能；</w:t>
            </w:r>
          </w:p>
          <w:p w14:paraId="156CEE2A">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7.</w:t>
            </w:r>
            <w:r>
              <w:rPr>
                <w:rFonts w:hint="eastAsia" w:asciiTheme="minorEastAsia" w:hAnsiTheme="minorEastAsia" w:eastAsiaTheme="minorEastAsia" w:cstheme="minorEastAsia"/>
                <w:sz w:val="20"/>
                <w:szCs w:val="20"/>
              </w:rPr>
              <w:t>提供检验结果的分析功能；</w:t>
            </w:r>
          </w:p>
          <w:p w14:paraId="443738F6">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8.</w:t>
            </w:r>
            <w:r>
              <w:rPr>
                <w:rFonts w:hint="eastAsia" w:asciiTheme="minorEastAsia" w:hAnsiTheme="minorEastAsia" w:eastAsiaTheme="minorEastAsia" w:cstheme="minorEastAsia"/>
                <w:sz w:val="20"/>
                <w:szCs w:val="20"/>
              </w:rPr>
              <w:t>提供检验项目直接链接到相关知识库功能。</w:t>
            </w:r>
          </w:p>
        </w:tc>
      </w:tr>
      <w:tr w14:paraId="73BD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6243BEF6">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5</w:t>
            </w:r>
          </w:p>
        </w:tc>
        <w:tc>
          <w:tcPr>
            <w:tcW w:w="1806" w:type="dxa"/>
            <w:vMerge w:val="restart"/>
            <w:vAlign w:val="center"/>
          </w:tcPr>
          <w:p w14:paraId="512F8AC9">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智能</w:t>
            </w:r>
            <w:r>
              <w:rPr>
                <w:rFonts w:hint="eastAsia" w:asciiTheme="minorEastAsia" w:hAnsiTheme="minorEastAsia" w:eastAsiaTheme="minorEastAsia" w:cstheme="minorEastAsia"/>
                <w:sz w:val="20"/>
                <w:szCs w:val="20"/>
              </w:rPr>
              <w:t>采集</w:t>
            </w:r>
            <w:r>
              <w:rPr>
                <w:rFonts w:hint="eastAsia" w:asciiTheme="minorEastAsia" w:hAnsiTheme="minorEastAsia" w:eastAsiaTheme="minorEastAsia" w:cstheme="minorEastAsia"/>
                <w:sz w:val="20"/>
                <w:szCs w:val="20"/>
                <w:lang w:val="en-US" w:eastAsia="zh-CN"/>
              </w:rPr>
              <w:t>工作站</w:t>
            </w:r>
          </w:p>
        </w:tc>
        <w:tc>
          <w:tcPr>
            <w:tcW w:w="6219" w:type="dxa"/>
            <w:vAlign w:val="center"/>
          </w:tcPr>
          <w:p w14:paraId="2689E1B0">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通过接口获取门诊检验申请信息并生成条形码电子标签；并支持现打条形码和预制条形码多种形式；</w:t>
            </w:r>
          </w:p>
          <w:p w14:paraId="2BE5D3B4">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支持窗口扣费，通过接口调用支持移动支付；</w:t>
            </w:r>
          </w:p>
          <w:p w14:paraId="0D609AA8">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▲支持界面标本容器类型形象展示和提醒，并支持标本采集顺序提示；</w:t>
            </w:r>
          </w:p>
          <w:p w14:paraId="0F8B7EB1">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rPr>
              <w:t>▲支持患者特殊标识提示</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晕针、HIV阳性等；</w:t>
            </w:r>
          </w:p>
          <w:p w14:paraId="1C473BE6">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5.</w:t>
            </w:r>
            <w:r>
              <w:rPr>
                <w:rFonts w:hint="eastAsia" w:asciiTheme="minorEastAsia" w:hAnsiTheme="minorEastAsia" w:eastAsiaTheme="minorEastAsia" w:cstheme="minorEastAsia"/>
                <w:sz w:val="20"/>
                <w:szCs w:val="20"/>
              </w:rPr>
              <w:t>支持未采集标签的提醒；</w:t>
            </w:r>
          </w:p>
          <w:p w14:paraId="04CC6904">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6.</w:t>
            </w:r>
            <w:r>
              <w:rPr>
                <w:rFonts w:hint="eastAsia" w:asciiTheme="minorEastAsia" w:hAnsiTheme="minorEastAsia" w:eastAsiaTheme="minorEastAsia" w:cstheme="minorEastAsia"/>
                <w:sz w:val="20"/>
                <w:szCs w:val="20"/>
              </w:rPr>
              <w:t>支持多采集单元的部署和管理；</w:t>
            </w:r>
          </w:p>
          <w:p w14:paraId="28211796">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7.</w:t>
            </w:r>
            <w:r>
              <w:rPr>
                <w:rFonts w:hint="eastAsia" w:asciiTheme="minorEastAsia" w:hAnsiTheme="minorEastAsia" w:eastAsiaTheme="minorEastAsia" w:cstheme="minorEastAsia"/>
                <w:sz w:val="20"/>
                <w:szCs w:val="20"/>
              </w:rPr>
              <w:t>可以自定义窗口采集包含的诊疗项目，对每个窗口采集种类进行个性化定义；</w:t>
            </w:r>
          </w:p>
          <w:p w14:paraId="518502D7">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8.</w:t>
            </w:r>
            <w:r>
              <w:rPr>
                <w:rFonts w:hint="eastAsia" w:asciiTheme="minorEastAsia" w:hAnsiTheme="minorEastAsia" w:eastAsiaTheme="minorEastAsia" w:cstheme="minorEastAsia"/>
                <w:sz w:val="20"/>
                <w:szCs w:val="20"/>
              </w:rPr>
              <w:t>准确记录采集时间、采集人信息；</w:t>
            </w:r>
          </w:p>
          <w:p w14:paraId="25C70DD0">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9.</w:t>
            </w:r>
            <w:r>
              <w:rPr>
                <w:rFonts w:hint="eastAsia" w:asciiTheme="minorEastAsia" w:hAnsiTheme="minorEastAsia" w:eastAsiaTheme="minorEastAsia" w:cstheme="minorEastAsia"/>
                <w:sz w:val="20"/>
                <w:szCs w:val="20"/>
              </w:rPr>
              <w:t>▲支持采集场景的图像获取。</w:t>
            </w:r>
          </w:p>
        </w:tc>
      </w:tr>
      <w:tr w14:paraId="66BC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69BEC149">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3D40B970">
            <w:pPr>
              <w:jc w:val="center"/>
              <w:rPr>
                <w:rFonts w:hint="eastAsia" w:asciiTheme="minorEastAsia" w:hAnsiTheme="minorEastAsia" w:eastAsiaTheme="minorEastAsia" w:cstheme="minorEastAsia"/>
                <w:sz w:val="20"/>
                <w:szCs w:val="20"/>
              </w:rPr>
            </w:pPr>
          </w:p>
        </w:tc>
        <w:tc>
          <w:tcPr>
            <w:tcW w:w="6219" w:type="dxa"/>
            <w:vAlign w:val="center"/>
          </w:tcPr>
          <w:p w14:paraId="2555436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支持对门诊标本采集时间范围、门诊标本采集地点、门诊采集排队叫号分类、门诊标本取报告时间、门诊标本取报告地点实现采集及相关管理。</w:t>
            </w:r>
          </w:p>
        </w:tc>
      </w:tr>
      <w:tr w14:paraId="5A1A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326AA1C8">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5A7ABBCB">
            <w:pPr>
              <w:jc w:val="center"/>
              <w:rPr>
                <w:rFonts w:hint="eastAsia" w:asciiTheme="minorEastAsia" w:hAnsiTheme="minorEastAsia" w:eastAsiaTheme="minorEastAsia" w:cstheme="minorEastAsia"/>
                <w:sz w:val="20"/>
                <w:szCs w:val="20"/>
              </w:rPr>
            </w:pPr>
          </w:p>
        </w:tc>
        <w:tc>
          <w:tcPr>
            <w:tcW w:w="6219" w:type="dxa"/>
            <w:vAlign w:val="center"/>
          </w:tcPr>
          <w:p w14:paraId="578DB84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智能化控制要求：</w:t>
            </w:r>
          </w:p>
          <w:p w14:paraId="67E6FD22">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1)申请自动拆分和合并成标本；</w:t>
            </w:r>
          </w:p>
          <w:p w14:paraId="30C8A08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2)标本类型错误的有效控制；</w:t>
            </w:r>
          </w:p>
          <w:p w14:paraId="42A3D3A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3)标本容器错误的有效控制；</w:t>
            </w:r>
          </w:p>
          <w:p w14:paraId="6647F62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4)采集时间要求的有效控制；</w:t>
            </w:r>
          </w:p>
          <w:p w14:paraId="2D279B2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5)标本采集量的自动计算；</w:t>
            </w:r>
          </w:p>
          <w:p w14:paraId="56CE1290">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6)未执行标本的及时提醒；</w:t>
            </w:r>
          </w:p>
          <w:p w14:paraId="646E85E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7)采血费的自动计算和收取；</w:t>
            </w:r>
          </w:p>
          <w:p w14:paraId="29957F9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8)试管费的自动计算和收取；</w:t>
            </w:r>
          </w:p>
          <w:p w14:paraId="6199376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9)自动产生实验室内部编号。</w:t>
            </w:r>
          </w:p>
        </w:tc>
      </w:tr>
      <w:tr w14:paraId="3A60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38F97D68">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5FDE8654">
            <w:pPr>
              <w:jc w:val="center"/>
              <w:rPr>
                <w:rFonts w:hint="eastAsia" w:asciiTheme="minorEastAsia" w:hAnsiTheme="minorEastAsia" w:eastAsiaTheme="minorEastAsia" w:cstheme="minorEastAsia"/>
                <w:sz w:val="20"/>
                <w:szCs w:val="20"/>
              </w:rPr>
            </w:pPr>
          </w:p>
        </w:tc>
        <w:tc>
          <w:tcPr>
            <w:tcW w:w="6219" w:type="dxa"/>
            <w:vAlign w:val="center"/>
          </w:tcPr>
          <w:p w14:paraId="5C0E9C7E">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支持窗口快速检验结果及报告的快速处理。</w:t>
            </w:r>
          </w:p>
        </w:tc>
      </w:tr>
      <w:tr w14:paraId="0406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27C4F577">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sz w:val="20"/>
                <w:szCs w:val="20"/>
                <w:lang w:val="en-US" w:eastAsia="zh-CN"/>
              </w:rPr>
              <w:t>6</w:t>
            </w:r>
          </w:p>
        </w:tc>
        <w:tc>
          <w:tcPr>
            <w:tcW w:w="1806" w:type="dxa"/>
            <w:vMerge w:val="restart"/>
            <w:vAlign w:val="center"/>
          </w:tcPr>
          <w:p w14:paraId="2C228A2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自助报告</w:t>
            </w:r>
          </w:p>
        </w:tc>
        <w:tc>
          <w:tcPr>
            <w:tcW w:w="6219" w:type="dxa"/>
            <w:vAlign w:val="center"/>
          </w:tcPr>
          <w:p w14:paraId="4F5D6F53">
            <w:pPr>
              <w:widowControl/>
              <w:jc w:val="left"/>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具有独立自助打印子系统，支持门诊自助打印报告，需支持各种打印机。</w:t>
            </w:r>
          </w:p>
        </w:tc>
      </w:tr>
      <w:tr w14:paraId="4572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7FEEAC6B">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46984AFC">
            <w:pPr>
              <w:jc w:val="center"/>
              <w:rPr>
                <w:rFonts w:hint="eastAsia" w:asciiTheme="minorEastAsia" w:hAnsiTheme="minorEastAsia" w:eastAsiaTheme="minorEastAsia" w:cstheme="minorEastAsia"/>
                <w:sz w:val="20"/>
                <w:szCs w:val="20"/>
              </w:rPr>
            </w:pPr>
          </w:p>
        </w:tc>
        <w:tc>
          <w:tcPr>
            <w:tcW w:w="6219" w:type="dxa"/>
            <w:vAlign w:val="center"/>
          </w:tcPr>
          <w:p w14:paraId="1357549C">
            <w:pPr>
              <w:widowControl/>
              <w:jc w:val="left"/>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要求可通过病人ID号、身份证号或发票号等病人唯一号的扫入或手工录入，然后自动打印已经审核并且未打印过的报告。</w:t>
            </w:r>
          </w:p>
        </w:tc>
      </w:tr>
      <w:tr w14:paraId="2AC5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1F06DEC4">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403E8C8B">
            <w:pPr>
              <w:jc w:val="center"/>
              <w:rPr>
                <w:rFonts w:hint="eastAsia" w:asciiTheme="minorEastAsia" w:hAnsiTheme="minorEastAsia" w:eastAsiaTheme="minorEastAsia" w:cstheme="minorEastAsia"/>
                <w:sz w:val="20"/>
                <w:szCs w:val="20"/>
              </w:rPr>
            </w:pPr>
          </w:p>
        </w:tc>
        <w:tc>
          <w:tcPr>
            <w:tcW w:w="6219" w:type="dxa"/>
            <w:vAlign w:val="center"/>
          </w:tcPr>
          <w:p w14:paraId="2E751174">
            <w:pPr>
              <w:widowControl/>
              <w:jc w:val="left"/>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提示该病人报告单是否已打印，如果病人发现已经打印过的报告丢失了可以提示到检验科前台补单。</w:t>
            </w:r>
          </w:p>
        </w:tc>
      </w:tr>
      <w:tr w14:paraId="4029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21B0A74F">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1BFB35B5">
            <w:pPr>
              <w:jc w:val="center"/>
              <w:rPr>
                <w:rFonts w:hint="eastAsia" w:asciiTheme="minorEastAsia" w:hAnsiTheme="minorEastAsia" w:eastAsiaTheme="minorEastAsia" w:cstheme="minorEastAsia"/>
                <w:sz w:val="20"/>
                <w:szCs w:val="20"/>
              </w:rPr>
            </w:pPr>
          </w:p>
        </w:tc>
        <w:tc>
          <w:tcPr>
            <w:tcW w:w="6219" w:type="dxa"/>
            <w:vAlign w:val="center"/>
          </w:tcPr>
          <w:p w14:paraId="410FD53E">
            <w:pPr>
              <w:widowControl/>
              <w:jc w:val="left"/>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可自定义自助打印界面信息内容显示。</w:t>
            </w:r>
          </w:p>
        </w:tc>
      </w:tr>
      <w:tr w14:paraId="1C08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608CB2C7">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48124A59">
            <w:pPr>
              <w:jc w:val="center"/>
              <w:rPr>
                <w:rFonts w:hint="eastAsia" w:asciiTheme="minorEastAsia" w:hAnsiTheme="minorEastAsia" w:eastAsiaTheme="minorEastAsia" w:cstheme="minorEastAsia"/>
                <w:sz w:val="20"/>
                <w:szCs w:val="20"/>
              </w:rPr>
            </w:pPr>
          </w:p>
        </w:tc>
        <w:tc>
          <w:tcPr>
            <w:tcW w:w="6219" w:type="dxa"/>
            <w:vAlign w:val="center"/>
          </w:tcPr>
          <w:p w14:paraId="641CBF3B">
            <w:pPr>
              <w:widowControl/>
              <w:jc w:val="left"/>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自助打印系统可通过外接大屏幕显示，显示出已出结果报告的患者名单，并提醒其自助取结果报告。</w:t>
            </w:r>
          </w:p>
        </w:tc>
      </w:tr>
      <w:tr w14:paraId="7180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5943ECFB">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667038BD">
            <w:pPr>
              <w:jc w:val="center"/>
              <w:rPr>
                <w:rFonts w:hint="eastAsia" w:asciiTheme="minorEastAsia" w:hAnsiTheme="minorEastAsia" w:eastAsiaTheme="minorEastAsia" w:cstheme="minorEastAsia"/>
                <w:sz w:val="20"/>
                <w:szCs w:val="20"/>
              </w:rPr>
            </w:pPr>
          </w:p>
        </w:tc>
        <w:tc>
          <w:tcPr>
            <w:tcW w:w="6219" w:type="dxa"/>
            <w:vAlign w:val="center"/>
          </w:tcPr>
          <w:p w14:paraId="5FFC6F08">
            <w:pPr>
              <w:widowControl/>
              <w:jc w:val="left"/>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可以实现与医院现有的各类自助取报告的设备系统接口互联。</w:t>
            </w:r>
          </w:p>
        </w:tc>
      </w:tr>
      <w:tr w14:paraId="1414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736C7317">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sz w:val="20"/>
                <w:szCs w:val="20"/>
                <w:lang w:val="en-US" w:eastAsia="zh-CN"/>
              </w:rPr>
              <w:t>7</w:t>
            </w:r>
          </w:p>
        </w:tc>
        <w:tc>
          <w:tcPr>
            <w:tcW w:w="1806" w:type="dxa"/>
            <w:vMerge w:val="restart"/>
            <w:vAlign w:val="center"/>
          </w:tcPr>
          <w:p w14:paraId="75707FD6">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智能前处理</w:t>
            </w:r>
          </w:p>
          <w:p w14:paraId="14F71C2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工作站</w:t>
            </w:r>
          </w:p>
        </w:tc>
        <w:tc>
          <w:tcPr>
            <w:tcW w:w="6219" w:type="dxa"/>
            <w:vAlign w:val="top"/>
          </w:tcPr>
          <w:p w14:paraId="3CCB9A06">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支持接收单元管理机制，实现了多院区、多检验科室复杂条件下的部署和管理。</w:t>
            </w:r>
          </w:p>
        </w:tc>
      </w:tr>
      <w:tr w14:paraId="432C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140A880D">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7A044315">
            <w:pPr>
              <w:jc w:val="center"/>
              <w:rPr>
                <w:rFonts w:hint="eastAsia" w:asciiTheme="minorEastAsia" w:hAnsiTheme="minorEastAsia" w:eastAsiaTheme="minorEastAsia" w:cstheme="minorEastAsia"/>
                <w:sz w:val="20"/>
                <w:szCs w:val="20"/>
                <w:lang w:val="en-US" w:eastAsia="zh-CN"/>
              </w:rPr>
            </w:pPr>
          </w:p>
        </w:tc>
        <w:tc>
          <w:tcPr>
            <w:tcW w:w="6219" w:type="dxa"/>
            <w:vAlign w:val="top"/>
          </w:tcPr>
          <w:p w14:paraId="2B888683">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通过扫描标本条形码完成对样本的核收，对部分不完全合格标本进行让步接收并作登记，并完成对标本检验费用的确认；对完全不合格标本进行拒收，并依据国家相关标准作不合格标本登记。</w:t>
            </w:r>
          </w:p>
        </w:tc>
      </w:tr>
      <w:tr w14:paraId="1E37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0C1CCFFF">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57FAC042">
            <w:pPr>
              <w:jc w:val="center"/>
              <w:rPr>
                <w:rFonts w:hint="eastAsia" w:asciiTheme="minorEastAsia" w:hAnsiTheme="minorEastAsia" w:eastAsiaTheme="minorEastAsia" w:cstheme="minorEastAsia"/>
                <w:sz w:val="20"/>
                <w:szCs w:val="20"/>
                <w:lang w:val="en-US" w:eastAsia="zh-CN"/>
              </w:rPr>
            </w:pPr>
          </w:p>
        </w:tc>
        <w:tc>
          <w:tcPr>
            <w:tcW w:w="6219" w:type="dxa"/>
            <w:vAlign w:val="top"/>
          </w:tcPr>
          <w:p w14:paraId="0EC95D82">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通过外接高拍仪等设备采集或从前处理设备读取不合格标本快照，提高可溯源性。</w:t>
            </w:r>
          </w:p>
        </w:tc>
      </w:tr>
      <w:tr w14:paraId="5309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06A85367">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0DED84EE">
            <w:pPr>
              <w:jc w:val="center"/>
              <w:rPr>
                <w:rFonts w:hint="eastAsia" w:asciiTheme="minorEastAsia" w:hAnsiTheme="minorEastAsia" w:eastAsiaTheme="minorEastAsia" w:cstheme="minorEastAsia"/>
                <w:sz w:val="20"/>
                <w:szCs w:val="20"/>
                <w:lang w:val="en-US" w:eastAsia="zh-CN"/>
              </w:rPr>
            </w:pPr>
          </w:p>
        </w:tc>
        <w:tc>
          <w:tcPr>
            <w:tcW w:w="6219" w:type="dxa"/>
            <w:vAlign w:val="top"/>
          </w:tcPr>
          <w:p w14:paraId="09DBFEE0">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对不合格标本作退回处理时，可与临床进行消息互动，形成从退回-临床确认-取消执行或重新采集电子化闭环管理。</w:t>
            </w:r>
          </w:p>
        </w:tc>
      </w:tr>
      <w:tr w14:paraId="20D0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5568F024">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749CB057">
            <w:pPr>
              <w:jc w:val="center"/>
              <w:rPr>
                <w:rFonts w:hint="eastAsia" w:asciiTheme="minorEastAsia" w:hAnsiTheme="minorEastAsia" w:eastAsiaTheme="minorEastAsia" w:cstheme="minorEastAsia"/>
                <w:sz w:val="20"/>
                <w:szCs w:val="20"/>
                <w:lang w:val="en-US" w:eastAsia="zh-CN"/>
              </w:rPr>
            </w:pPr>
          </w:p>
        </w:tc>
        <w:tc>
          <w:tcPr>
            <w:tcW w:w="6219" w:type="dxa"/>
            <w:vAlign w:val="top"/>
          </w:tcPr>
          <w:p w14:paraId="497AA474">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依据诊疗项目的相关属性对流转地错误、接收地错误、不合格标本、重复标本、漏检标本进行有效控制，并依据诊疗项目的TAT时间控制属性对标本送检超时进行预警和报警。</w:t>
            </w:r>
          </w:p>
        </w:tc>
      </w:tr>
      <w:tr w14:paraId="4B60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548610F3">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226BA275">
            <w:pPr>
              <w:jc w:val="center"/>
              <w:rPr>
                <w:rFonts w:hint="eastAsia" w:asciiTheme="minorEastAsia" w:hAnsiTheme="minorEastAsia" w:eastAsiaTheme="minorEastAsia" w:cstheme="minorEastAsia"/>
                <w:sz w:val="20"/>
                <w:szCs w:val="20"/>
                <w:lang w:val="en-US" w:eastAsia="zh-CN"/>
              </w:rPr>
            </w:pPr>
          </w:p>
        </w:tc>
        <w:tc>
          <w:tcPr>
            <w:tcW w:w="6219" w:type="dxa"/>
            <w:vAlign w:val="top"/>
          </w:tcPr>
          <w:p w14:paraId="0FF17B42">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具备智能分配功能，依据诊疗项目的实验室检验相关属性，自动对标本进行分类、分样和编号，自动将检验申请生成任务单，并根据任务分配机制，自动生成检验单，如需物理分样则自动生成分样标签，对于检验过程中存在手工记录数据的标本自动生成相应的跟单，有效提高工作效率，有效减少统一样本多处检验错检、漏检等情况的发生。</w:t>
            </w:r>
          </w:p>
        </w:tc>
      </w:tr>
      <w:tr w14:paraId="0637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71DD5011">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139E9085">
            <w:pPr>
              <w:jc w:val="center"/>
              <w:rPr>
                <w:rFonts w:hint="eastAsia" w:asciiTheme="minorEastAsia" w:hAnsiTheme="minorEastAsia" w:eastAsiaTheme="minorEastAsia" w:cstheme="minorEastAsia"/>
                <w:sz w:val="20"/>
                <w:szCs w:val="20"/>
                <w:lang w:val="en-US" w:eastAsia="zh-CN"/>
              </w:rPr>
            </w:pPr>
          </w:p>
        </w:tc>
        <w:tc>
          <w:tcPr>
            <w:tcW w:w="6219" w:type="dxa"/>
            <w:vAlign w:val="top"/>
          </w:tcPr>
          <w:p w14:paraId="452713E3">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能够与前序自动化传输设备衔接，后续自动化分拣设备或前处理、流水线进行深度多设备、多层级集成，形成完整的实验室分析前自动化。</w:t>
            </w:r>
          </w:p>
        </w:tc>
      </w:tr>
      <w:tr w14:paraId="30B8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30C47E97">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sz w:val="20"/>
                <w:szCs w:val="20"/>
                <w:lang w:val="en-US" w:eastAsia="zh-CN"/>
              </w:rPr>
              <w:t>8</w:t>
            </w:r>
          </w:p>
        </w:tc>
        <w:tc>
          <w:tcPr>
            <w:tcW w:w="1806" w:type="dxa"/>
            <w:vMerge w:val="restart"/>
            <w:vAlign w:val="center"/>
          </w:tcPr>
          <w:p w14:paraId="759B9121">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智能</w:t>
            </w:r>
            <w:r>
              <w:rPr>
                <w:rFonts w:hint="eastAsia" w:asciiTheme="minorEastAsia" w:hAnsiTheme="minorEastAsia" w:eastAsiaTheme="minorEastAsia" w:cstheme="minorEastAsia"/>
                <w:sz w:val="20"/>
                <w:szCs w:val="20"/>
              </w:rPr>
              <w:t>常规检验</w:t>
            </w:r>
          </w:p>
          <w:p w14:paraId="0D74661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工作平台</w:t>
            </w:r>
          </w:p>
        </w:tc>
        <w:tc>
          <w:tcPr>
            <w:tcW w:w="6219" w:type="dxa"/>
            <w:vAlign w:val="center"/>
          </w:tcPr>
          <w:p w14:paraId="0A9FB4C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支持个性化设置：</w:t>
            </w:r>
          </w:p>
          <w:p w14:paraId="1CF9938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对标本信息、结果信息、样本分类信息设置；</w:t>
            </w:r>
          </w:p>
          <w:p w14:paraId="0A5DBDF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对各种样本类别、状态的颜色识别进行自定义；</w:t>
            </w:r>
          </w:p>
          <w:p w14:paraId="08C8542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对样本信息开始焦点自定义；</w:t>
            </w:r>
          </w:p>
          <w:p w14:paraId="3C69457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对非每日开展项目进行定义；</w:t>
            </w:r>
          </w:p>
          <w:p w14:paraId="7EFE4342">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对每日仪器操作人员进行定义。</w:t>
            </w:r>
          </w:p>
        </w:tc>
      </w:tr>
      <w:tr w14:paraId="73F9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00E8C57D">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1A8D649B">
            <w:pPr>
              <w:jc w:val="center"/>
              <w:rPr>
                <w:rFonts w:hint="eastAsia" w:asciiTheme="minorEastAsia" w:hAnsiTheme="minorEastAsia" w:eastAsiaTheme="minorEastAsia" w:cstheme="minorEastAsia"/>
                <w:sz w:val="20"/>
                <w:szCs w:val="20"/>
              </w:rPr>
            </w:pPr>
          </w:p>
        </w:tc>
        <w:tc>
          <w:tcPr>
            <w:tcW w:w="6219" w:type="dxa"/>
            <w:vAlign w:val="center"/>
          </w:tcPr>
          <w:p w14:paraId="402FF14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快速切换：</w:t>
            </w:r>
          </w:p>
          <w:p w14:paraId="1CDE68F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支持检验日期快速切换；</w:t>
            </w:r>
          </w:p>
          <w:p w14:paraId="3FB1A64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支持分组快速切换；</w:t>
            </w:r>
          </w:p>
          <w:p w14:paraId="284DD9F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支持分组分号段管理；</w:t>
            </w:r>
          </w:p>
          <w:p w14:paraId="6233A48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支持自定义快捷按钮；</w:t>
            </w:r>
          </w:p>
          <w:p w14:paraId="17B98B1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支持自定义右键功能；</w:t>
            </w:r>
          </w:p>
          <w:p w14:paraId="58EC2CF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支持自定义样本分类快速筛选。</w:t>
            </w:r>
          </w:p>
        </w:tc>
      </w:tr>
      <w:tr w14:paraId="2215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4DE393C2">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59D2D46B">
            <w:pPr>
              <w:jc w:val="center"/>
              <w:rPr>
                <w:rFonts w:hint="eastAsia" w:asciiTheme="minorEastAsia" w:hAnsiTheme="minorEastAsia" w:eastAsiaTheme="minorEastAsia" w:cstheme="minorEastAsia"/>
                <w:sz w:val="20"/>
                <w:szCs w:val="20"/>
              </w:rPr>
            </w:pPr>
          </w:p>
        </w:tc>
        <w:tc>
          <w:tcPr>
            <w:tcW w:w="6219" w:type="dxa"/>
            <w:vAlign w:val="center"/>
          </w:tcPr>
          <w:p w14:paraId="5711A55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信息录入&amp;编号：</w:t>
            </w:r>
          </w:p>
          <w:p w14:paraId="39D8F62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支持从前处理工作站自动获取已编号样本信息及项目；</w:t>
            </w:r>
          </w:p>
          <w:p w14:paraId="7B465E57">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支持手工编号并扫描标本条形码获取样本信息及本分组单元项目；</w:t>
            </w:r>
          </w:p>
          <w:p w14:paraId="79195F9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支持特定授权下手工编号并根据患者ID获取患者信息，并手工录入样本信息及项目；</w:t>
            </w:r>
          </w:p>
          <w:p w14:paraId="13A12F5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支持特定授权下的样本信息全手工录入；</w:t>
            </w:r>
          </w:p>
          <w:p w14:paraId="16E7F6F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支持扫描标本条形码信息并获取样本信息及项目，并依据自定义编号规则自动编号，支持同一样本编同组多号，支持非本组单元项目自动编号；</w:t>
            </w:r>
          </w:p>
          <w:p w14:paraId="23E058D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支持批量提取任务单集中进行编号；</w:t>
            </w:r>
          </w:p>
          <w:p w14:paraId="2CA2875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支持窗口检验功能（血糖检验、儿童血常规、白带检验）。</w:t>
            </w:r>
          </w:p>
        </w:tc>
      </w:tr>
      <w:tr w14:paraId="0B26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2D96DCD9">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5805C0F8">
            <w:pPr>
              <w:jc w:val="center"/>
              <w:rPr>
                <w:rFonts w:hint="eastAsia" w:asciiTheme="minorEastAsia" w:hAnsiTheme="minorEastAsia" w:eastAsiaTheme="minorEastAsia" w:cstheme="minorEastAsia"/>
                <w:sz w:val="20"/>
                <w:szCs w:val="20"/>
              </w:rPr>
            </w:pPr>
          </w:p>
        </w:tc>
        <w:tc>
          <w:tcPr>
            <w:tcW w:w="6219" w:type="dxa"/>
            <w:vAlign w:val="center"/>
          </w:tcPr>
          <w:p w14:paraId="518DA0F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分析结果接收及手工数据录入：</w:t>
            </w:r>
          </w:p>
          <w:p w14:paraId="587E3AA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支持数字结果、字符结果、图片图形结果、描述性结果；</w:t>
            </w:r>
          </w:p>
          <w:p w14:paraId="125146F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同时支持原始结果、检验定量结果、检验定性结果、报告结果；</w:t>
            </w:r>
          </w:p>
          <w:p w14:paraId="31107D3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支持仪器分析数据自动接收，特定项目结果依据设定规则作自动转换；</w:t>
            </w:r>
          </w:p>
          <w:p w14:paraId="5909FAC0">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支持图形数据接收、存储和展现；</w:t>
            </w:r>
          </w:p>
          <w:p w14:paraId="6843668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支持仪器报警信息接收、存储和展现；</w:t>
            </w:r>
          </w:p>
          <w:p w14:paraId="151CD1D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支持仪器样本报警信息接收、存储和展现；</w:t>
            </w:r>
          </w:p>
          <w:p w14:paraId="607E9DF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支持仪器项目报警信息接收、存储和展现；</w:t>
            </w:r>
          </w:p>
          <w:p w14:paraId="74420E7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支持原始数据留存；</w:t>
            </w:r>
          </w:p>
          <w:p w14:paraId="486F51D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支持糖耐量等组合项目自动合并；</w:t>
            </w:r>
          </w:p>
          <w:p w14:paraId="38FD24A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支持指定项目接收数据功能；</w:t>
            </w:r>
          </w:p>
          <w:p w14:paraId="757A8EB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支持跨天标本数据接收功能；</w:t>
            </w:r>
          </w:p>
          <w:p w14:paraId="0405856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单个项目、组合项目、手工复查项目、批量标本等多种方式手工项目及结果录入，并可设定录入结果警示限，对结果有效性进行控制；</w:t>
            </w:r>
          </w:p>
          <w:p w14:paraId="6F4F518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支持双盲录入；</w:t>
            </w:r>
          </w:p>
          <w:p w14:paraId="7482476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支持条目化结果解释录入；</w:t>
            </w:r>
          </w:p>
          <w:p w14:paraId="1C54038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对数据来源有标识；</w:t>
            </w:r>
          </w:p>
          <w:p w14:paraId="5614908E">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自动根据标本的基本信息，自动根据相匹配的项目参考值范围进行高低判断，用标记或颜色等手段进行不正常提示；</w:t>
            </w:r>
          </w:p>
          <w:p w14:paraId="1C3135A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根据参考值自动判断（参考值根据性别、标本种类和年龄不同而不同，年龄可以是岁、月、周、天、小时等形式；可以处理特殊生理指征的参考值）。</w:t>
            </w:r>
          </w:p>
        </w:tc>
      </w:tr>
      <w:tr w14:paraId="77ED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0C605E12">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0A9EAD57">
            <w:pPr>
              <w:jc w:val="center"/>
              <w:rPr>
                <w:rFonts w:hint="eastAsia" w:asciiTheme="minorEastAsia" w:hAnsiTheme="minorEastAsia" w:eastAsiaTheme="minorEastAsia" w:cstheme="minorEastAsia"/>
                <w:sz w:val="20"/>
                <w:szCs w:val="20"/>
              </w:rPr>
            </w:pPr>
          </w:p>
        </w:tc>
        <w:tc>
          <w:tcPr>
            <w:tcW w:w="6219" w:type="dxa"/>
            <w:vAlign w:val="center"/>
          </w:tcPr>
          <w:p w14:paraId="47D4F87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数据处理：</w:t>
            </w:r>
          </w:p>
          <w:p w14:paraId="09A97ED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支持单样本、多样本整体删除并留痕；</w:t>
            </w:r>
          </w:p>
          <w:p w14:paraId="07095152">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支持样本信息修改并留痕；</w:t>
            </w:r>
          </w:p>
          <w:p w14:paraId="108725A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支持单项目、多项目整体删除并留痕；</w:t>
            </w:r>
          </w:p>
          <w:p w14:paraId="53B2485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支持单个、批量样本信息及结果信息复制或迁移，并留痕。</w:t>
            </w:r>
          </w:p>
        </w:tc>
      </w:tr>
      <w:tr w14:paraId="7165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1F9C3B15">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071C108B">
            <w:pPr>
              <w:jc w:val="center"/>
              <w:rPr>
                <w:rFonts w:hint="eastAsia" w:asciiTheme="minorEastAsia" w:hAnsiTheme="minorEastAsia" w:eastAsiaTheme="minorEastAsia" w:cstheme="minorEastAsia"/>
                <w:sz w:val="20"/>
                <w:szCs w:val="20"/>
              </w:rPr>
            </w:pPr>
          </w:p>
        </w:tc>
        <w:tc>
          <w:tcPr>
            <w:tcW w:w="6219" w:type="dxa"/>
            <w:vAlign w:val="center"/>
          </w:tcPr>
          <w:p w14:paraId="283C961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个体样本（警示）信息：</w:t>
            </w:r>
          </w:p>
          <w:p w14:paraId="173691DE">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能够显示单个样本的特殊阳性（如HIV阳性）标识；</w:t>
            </w:r>
          </w:p>
          <w:p w14:paraId="1004A90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能够显示单个样本的危急值标识；</w:t>
            </w:r>
          </w:p>
          <w:p w14:paraId="0CE23D5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能够显示单个样本的费用状态信息；</w:t>
            </w:r>
          </w:p>
          <w:p w14:paraId="0DACD0E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能够显示单个样本的特别嘱托信息；</w:t>
            </w:r>
          </w:p>
          <w:p w14:paraId="51D58AF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能够显示单个样本的样本状态信息；</w:t>
            </w:r>
          </w:p>
          <w:p w14:paraId="71C351B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能够显示样本的当前位置信息。</w:t>
            </w:r>
          </w:p>
        </w:tc>
      </w:tr>
      <w:tr w14:paraId="6D8C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73513BF2">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5C26A3D2">
            <w:pPr>
              <w:jc w:val="center"/>
              <w:rPr>
                <w:rFonts w:hint="eastAsia" w:asciiTheme="minorEastAsia" w:hAnsiTheme="minorEastAsia" w:eastAsiaTheme="minorEastAsia" w:cstheme="minorEastAsia"/>
                <w:sz w:val="20"/>
                <w:szCs w:val="20"/>
              </w:rPr>
            </w:pPr>
          </w:p>
        </w:tc>
        <w:tc>
          <w:tcPr>
            <w:tcW w:w="6219" w:type="dxa"/>
            <w:vAlign w:val="center"/>
          </w:tcPr>
          <w:p w14:paraId="17F8314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分组警示信息：</w:t>
            </w:r>
          </w:p>
          <w:p w14:paraId="45C75EA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能够显示分组质控失控警示信息，质控超时未做警示信息，移动均值超限警示信息；</w:t>
            </w:r>
          </w:p>
          <w:p w14:paraId="0DBA743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能够显示分组样本TAT超限预警及报警等警示信息；</w:t>
            </w:r>
          </w:p>
          <w:p w14:paraId="3FAF414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能够显示分组危急值预警、感知超时、报告超时预警、报告超时报警、接报超时报警信息；</w:t>
            </w:r>
          </w:p>
          <w:p w14:paraId="49F2145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能够显示分组仪器警示信息；</w:t>
            </w:r>
          </w:p>
          <w:p w14:paraId="363A9D1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能够显示分组嘱托信息。</w:t>
            </w:r>
          </w:p>
        </w:tc>
      </w:tr>
      <w:tr w14:paraId="6B8B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42A29AFC">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38C2E0D1">
            <w:pPr>
              <w:jc w:val="center"/>
              <w:rPr>
                <w:rFonts w:hint="eastAsia" w:asciiTheme="minorEastAsia" w:hAnsiTheme="minorEastAsia" w:eastAsiaTheme="minorEastAsia" w:cstheme="minorEastAsia"/>
                <w:sz w:val="20"/>
                <w:szCs w:val="20"/>
              </w:rPr>
            </w:pPr>
          </w:p>
        </w:tc>
        <w:tc>
          <w:tcPr>
            <w:tcW w:w="6219" w:type="dxa"/>
            <w:vAlign w:val="center"/>
          </w:tcPr>
          <w:p w14:paraId="1FA0E91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数据分析及信息浏览：</w:t>
            </w:r>
          </w:p>
          <w:p w14:paraId="774BAAA0">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▲支持按样本、申请单、报告单对全生命周期所有信息进行浏览（时间轴形式展现）；</w:t>
            </w:r>
          </w:p>
          <w:p w14:paraId="6A4651A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▲支持双屏联动；</w:t>
            </w:r>
          </w:p>
          <w:p w14:paraId="2EA8F9C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支持样本采集源图像浏览；</w:t>
            </w:r>
          </w:p>
          <w:p w14:paraId="7F9CF717">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支持项目多批次检验结果回顾；</w:t>
            </w:r>
          </w:p>
          <w:p w14:paraId="3D0E86F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支持单项目动态历史结果分析；</w:t>
            </w:r>
          </w:p>
          <w:p w14:paraId="1E33A5D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支持分组项目均值、SD、百分位数等统计分析；</w:t>
            </w:r>
          </w:p>
          <w:p w14:paraId="36D9266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支持同一标本其它样本分析结果浏览；</w:t>
            </w:r>
          </w:p>
          <w:p w14:paraId="1A6687F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支持同一患者同批次检验标本分析结果浏览；</w:t>
            </w:r>
          </w:p>
          <w:p w14:paraId="610C5220">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支持同一患者特定项目分析结果浏览；</w:t>
            </w:r>
          </w:p>
          <w:p w14:paraId="02C5875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支持信息集成实现360度临床信息浏览；</w:t>
            </w:r>
          </w:p>
          <w:p w14:paraId="0C48B4F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支持报告单应用记录浏览；</w:t>
            </w:r>
          </w:p>
          <w:p w14:paraId="5164864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支持样本信息修改记录浏览；</w:t>
            </w:r>
          </w:p>
          <w:p w14:paraId="2B3F3D0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支持通讯日志（测试事件、原始结果、位置信息等）浏览；</w:t>
            </w:r>
          </w:p>
          <w:p w14:paraId="1BE0BA8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支持当日未完成标本浏览；</w:t>
            </w:r>
          </w:p>
          <w:p w14:paraId="011DD6FE">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支持住院患者一览表。</w:t>
            </w:r>
          </w:p>
        </w:tc>
      </w:tr>
      <w:tr w14:paraId="5230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78646159">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1E13D30F">
            <w:pPr>
              <w:jc w:val="center"/>
              <w:rPr>
                <w:rFonts w:hint="eastAsia" w:asciiTheme="minorEastAsia" w:hAnsiTheme="minorEastAsia" w:eastAsiaTheme="minorEastAsia" w:cstheme="minorEastAsia"/>
                <w:sz w:val="20"/>
                <w:szCs w:val="20"/>
              </w:rPr>
            </w:pPr>
          </w:p>
        </w:tc>
        <w:tc>
          <w:tcPr>
            <w:tcW w:w="6219" w:type="dxa"/>
            <w:vAlign w:val="center"/>
          </w:tcPr>
          <w:p w14:paraId="27C256F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智能审核：</w:t>
            </w:r>
          </w:p>
          <w:p w14:paraId="3E90EEB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智能审核。包括：对一些有固定值的项目进行自动比较审核；对一些相关性的项目自动进行比较审核；将本次结果自动同最近一次结果进行比较，如果偏差较大，则自动进行报警，提示检验人员对此结果进行特别核查，并寻找其变化较大的原因；对标本进行漏项控制；结果有效性控制；</w:t>
            </w:r>
          </w:p>
          <w:p w14:paraId="67952AE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接收仪器中间体软件自动审核信息。</w:t>
            </w:r>
          </w:p>
        </w:tc>
      </w:tr>
      <w:tr w14:paraId="57B2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27DB7472">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45C53469">
            <w:pPr>
              <w:jc w:val="center"/>
              <w:rPr>
                <w:rFonts w:hint="eastAsia" w:asciiTheme="minorEastAsia" w:hAnsiTheme="minorEastAsia" w:eastAsiaTheme="minorEastAsia" w:cstheme="minorEastAsia"/>
                <w:sz w:val="20"/>
                <w:szCs w:val="20"/>
              </w:rPr>
            </w:pPr>
          </w:p>
        </w:tc>
        <w:tc>
          <w:tcPr>
            <w:tcW w:w="6219" w:type="dxa"/>
            <w:vAlign w:val="center"/>
          </w:tcPr>
          <w:p w14:paraId="6F6C98C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审核及报告：</w:t>
            </w:r>
          </w:p>
          <w:p w14:paraId="09A1F690">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支持检验审核、报告审核、报告发布；并可依据流程设定同步实现报告审核及报告发布，也可设定是否双审或特定项目、特定时间必须双审；</w:t>
            </w:r>
          </w:p>
          <w:p w14:paraId="0D7223A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支持样本锁定功能；</w:t>
            </w:r>
          </w:p>
          <w:p w14:paraId="0FAEEAD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支持检验描述性报告</w:t>
            </w:r>
          </w:p>
          <w:p w14:paraId="6FAFD11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▲支持结果解释性报告；</w:t>
            </w:r>
          </w:p>
          <w:p w14:paraId="25D1597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▲支持分步报告；</w:t>
            </w:r>
          </w:p>
          <w:p w14:paraId="02FD5D3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▲支持分级报告；</w:t>
            </w:r>
          </w:p>
          <w:p w14:paraId="4067BC2E">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▲支持进修生、实习生检验报告初审；</w:t>
            </w:r>
          </w:p>
          <w:p w14:paraId="63D6640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支持分级审核；</w:t>
            </w:r>
          </w:p>
          <w:p w14:paraId="61B95540">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支持报告批准；</w:t>
            </w:r>
          </w:p>
          <w:p w14:paraId="51726E72">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支持同一患者多样本报告自动合并；</w:t>
            </w:r>
          </w:p>
          <w:p w14:paraId="12736CF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在完成报告审核后自动生成PDF报告进行固化；</w:t>
            </w:r>
          </w:p>
          <w:p w14:paraId="5734DCC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支持PDF报告预览及打印；</w:t>
            </w:r>
          </w:p>
          <w:p w14:paraId="5D2662D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支持电子签名；</w:t>
            </w:r>
          </w:p>
          <w:p w14:paraId="248B05D0">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支持电子报告单水印。</w:t>
            </w:r>
          </w:p>
        </w:tc>
      </w:tr>
      <w:tr w14:paraId="2FF6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0A94FAE5">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3F55C397">
            <w:pPr>
              <w:jc w:val="center"/>
              <w:rPr>
                <w:rFonts w:hint="eastAsia" w:asciiTheme="minorEastAsia" w:hAnsiTheme="minorEastAsia" w:eastAsiaTheme="minorEastAsia" w:cstheme="minorEastAsia"/>
                <w:sz w:val="20"/>
                <w:szCs w:val="20"/>
              </w:rPr>
            </w:pPr>
          </w:p>
        </w:tc>
        <w:tc>
          <w:tcPr>
            <w:tcW w:w="6219" w:type="dxa"/>
            <w:vAlign w:val="center"/>
          </w:tcPr>
          <w:p w14:paraId="2BCB6952">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自动稀释及自动复查：</w:t>
            </w:r>
          </w:p>
          <w:p w14:paraId="6CFB27B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与分析设备联动，对超预设项目分析限样本自动稀释；</w:t>
            </w:r>
          </w:p>
          <w:p w14:paraId="196D76F7">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与分析设备联动，根据智能审核中的复查规则对样本自动复查，并记录每次复查结果，检验人员可以选择合适的项目分析结果。</w:t>
            </w:r>
          </w:p>
        </w:tc>
      </w:tr>
      <w:tr w14:paraId="350B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63BAAF75">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70BF7938">
            <w:pPr>
              <w:jc w:val="center"/>
              <w:rPr>
                <w:rFonts w:hint="eastAsia" w:asciiTheme="minorEastAsia" w:hAnsiTheme="minorEastAsia" w:eastAsiaTheme="minorEastAsia" w:cstheme="minorEastAsia"/>
                <w:sz w:val="20"/>
                <w:szCs w:val="20"/>
              </w:rPr>
            </w:pPr>
          </w:p>
        </w:tc>
        <w:tc>
          <w:tcPr>
            <w:tcW w:w="6219" w:type="dxa"/>
            <w:vAlign w:val="center"/>
          </w:tcPr>
          <w:p w14:paraId="155493D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流程管理：</w:t>
            </w:r>
          </w:p>
          <w:p w14:paraId="25B9D65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可以实现手工计费及二次补费；</w:t>
            </w:r>
          </w:p>
          <w:p w14:paraId="0329DE8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具备分组费用自动核对功能；</w:t>
            </w:r>
          </w:p>
          <w:p w14:paraId="0172B05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具备危急值全过程闭环管理；</w:t>
            </w:r>
          </w:p>
          <w:p w14:paraId="146E359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内嵌不合格标本全过程闭环管理；</w:t>
            </w:r>
          </w:p>
          <w:p w14:paraId="015D21D7">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内嵌特殊样本登记管理；</w:t>
            </w:r>
          </w:p>
          <w:p w14:paraId="151A153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具备报告召回全过程闭环管理；</w:t>
            </w:r>
          </w:p>
          <w:p w14:paraId="36576532">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检验状态调整登记管理；</w:t>
            </w:r>
          </w:p>
          <w:p w14:paraId="76FCC95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支持转科处理；</w:t>
            </w:r>
          </w:p>
          <w:p w14:paraId="24848CB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支持标本收藏。</w:t>
            </w:r>
          </w:p>
        </w:tc>
      </w:tr>
      <w:tr w14:paraId="6332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1401410E">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0F30FAE6">
            <w:pPr>
              <w:jc w:val="center"/>
              <w:rPr>
                <w:rFonts w:hint="eastAsia" w:asciiTheme="minorEastAsia" w:hAnsiTheme="minorEastAsia" w:eastAsiaTheme="minorEastAsia" w:cstheme="minorEastAsia"/>
                <w:sz w:val="20"/>
                <w:szCs w:val="20"/>
              </w:rPr>
            </w:pPr>
          </w:p>
        </w:tc>
        <w:tc>
          <w:tcPr>
            <w:tcW w:w="6219" w:type="dxa"/>
            <w:vAlign w:val="center"/>
          </w:tcPr>
          <w:p w14:paraId="5A7EE41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查询及单据：</w:t>
            </w:r>
          </w:p>
          <w:p w14:paraId="410A458E">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可以自定义模板按照样本各种信息进行单项或组合进行样本查询，并可导出；</w:t>
            </w:r>
          </w:p>
          <w:p w14:paraId="39D2619D">
            <w:pP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可以自定义模板按照项目或项目组合进行项目查询，并可导出</w:t>
            </w:r>
            <w:r>
              <w:rPr>
                <w:rFonts w:hint="eastAsia" w:asciiTheme="minorEastAsia" w:hAnsiTheme="minorEastAsia" w:eastAsiaTheme="minorEastAsia" w:cstheme="minorEastAsia"/>
                <w:sz w:val="20"/>
                <w:szCs w:val="20"/>
                <w:lang w:eastAsia="zh-CN"/>
              </w:rPr>
              <w:t>。</w:t>
            </w:r>
          </w:p>
        </w:tc>
      </w:tr>
      <w:tr w14:paraId="625E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416E59D7">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0956C1B5">
            <w:pPr>
              <w:jc w:val="center"/>
              <w:rPr>
                <w:rFonts w:hint="eastAsia" w:asciiTheme="minorEastAsia" w:hAnsiTheme="minorEastAsia" w:eastAsiaTheme="minorEastAsia" w:cstheme="minorEastAsia"/>
                <w:sz w:val="20"/>
                <w:szCs w:val="20"/>
                <w:lang w:val="en-US" w:eastAsia="zh-CN"/>
              </w:rPr>
            </w:pPr>
          </w:p>
        </w:tc>
        <w:tc>
          <w:tcPr>
            <w:tcW w:w="6219" w:type="dxa"/>
            <w:vAlign w:val="center"/>
          </w:tcPr>
          <w:p w14:paraId="2F74204E">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规则类型支持：智能审核规则、警示规则、错误规则、复查规则、分片/镜检规则、临床提示规则、科研初筛规则等通用型规则；以及传染病规则、慢病随访规则、麻醉巡视规则、危急值预警规则等专业型规则。</w:t>
            </w:r>
          </w:p>
        </w:tc>
      </w:tr>
      <w:tr w14:paraId="384C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18661A29">
            <w:pPr>
              <w:pStyle w:val="10"/>
              <w:numPr>
                <w:ilvl w:val="0"/>
                <w:numId w:val="0"/>
              </w:numPr>
              <w:ind w:leftChars="0"/>
              <w:jc w:val="center"/>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sz w:val="20"/>
                <w:szCs w:val="20"/>
                <w:lang w:val="en-US" w:eastAsia="zh-CN"/>
              </w:rPr>
              <w:t>9</w:t>
            </w:r>
          </w:p>
        </w:tc>
        <w:tc>
          <w:tcPr>
            <w:tcW w:w="1806" w:type="dxa"/>
            <w:vMerge w:val="restart"/>
            <w:vAlign w:val="center"/>
          </w:tcPr>
          <w:p w14:paraId="0F83025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智能常规质控</w:t>
            </w:r>
          </w:p>
          <w:p w14:paraId="06F449C5">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工作站</w:t>
            </w:r>
          </w:p>
        </w:tc>
        <w:tc>
          <w:tcPr>
            <w:tcW w:w="6219" w:type="dxa"/>
            <w:vAlign w:val="center"/>
          </w:tcPr>
          <w:p w14:paraId="12B3CF4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质控种类：</w:t>
            </w:r>
          </w:p>
          <w:p w14:paraId="18D7E811">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一般定量项目质控。</w:t>
            </w:r>
          </w:p>
          <w:p w14:paraId="50316388">
            <w:pPr>
              <w:pStyle w:val="10"/>
              <w:numPr>
                <w:ilvl w:val="0"/>
                <w:numId w:val="0"/>
              </w:numPr>
              <w:ind w:leftChars="0"/>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定性---半定量质控。</w:t>
            </w:r>
          </w:p>
        </w:tc>
      </w:tr>
      <w:tr w14:paraId="00A3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2AD88CB2">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31CF5D04">
            <w:pPr>
              <w:jc w:val="center"/>
              <w:rPr>
                <w:rFonts w:hint="eastAsia" w:asciiTheme="minorEastAsia" w:hAnsiTheme="minorEastAsia" w:eastAsiaTheme="minorEastAsia" w:cstheme="minorEastAsia"/>
                <w:sz w:val="20"/>
                <w:szCs w:val="20"/>
                <w:lang w:val="en-US" w:eastAsia="zh-CN"/>
              </w:rPr>
            </w:pPr>
          </w:p>
        </w:tc>
        <w:tc>
          <w:tcPr>
            <w:tcW w:w="6219" w:type="dxa"/>
            <w:vAlign w:val="center"/>
          </w:tcPr>
          <w:p w14:paraId="0397F15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质控图：</w:t>
            </w:r>
          </w:p>
          <w:p w14:paraId="7EEFE387">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常用质控图形：L-J图、Z-分数图、优顿图、累积和图、频率分布图、比对图。</w:t>
            </w:r>
          </w:p>
          <w:p w14:paraId="3F4F4D1E">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质控图显示内容丰富（频数分布、质控事件等）。</w:t>
            </w:r>
          </w:p>
          <w:p w14:paraId="1394A369">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支持质控图鼠标拖放进行缩放操作。</w:t>
            </w:r>
          </w:p>
          <w:p w14:paraId="643697F0">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rPr>
              <w:t>支持质控图事件直接操作。</w:t>
            </w:r>
          </w:p>
          <w:p w14:paraId="6F91D1E2">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5.</w:t>
            </w:r>
            <w:r>
              <w:rPr>
                <w:rFonts w:hint="eastAsia" w:asciiTheme="minorEastAsia" w:hAnsiTheme="minorEastAsia" w:eastAsiaTheme="minorEastAsia" w:cstheme="minorEastAsia"/>
                <w:sz w:val="20"/>
                <w:szCs w:val="20"/>
              </w:rPr>
              <w:t>支持项目质量目标分析。</w:t>
            </w:r>
          </w:p>
          <w:p w14:paraId="4ECF1CD8">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6.</w:t>
            </w:r>
            <w:r>
              <w:rPr>
                <w:rFonts w:hint="eastAsia" w:asciiTheme="minorEastAsia" w:hAnsiTheme="minorEastAsia" w:eastAsiaTheme="minorEastAsia" w:cstheme="minorEastAsia"/>
                <w:sz w:val="20"/>
                <w:szCs w:val="20"/>
              </w:rPr>
              <w:t>支持项目综合质量评估。</w:t>
            </w:r>
          </w:p>
          <w:p w14:paraId="65A2AADC">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7.</w:t>
            </w:r>
            <w:r>
              <w:rPr>
                <w:rFonts w:hint="eastAsia" w:asciiTheme="minorEastAsia" w:hAnsiTheme="minorEastAsia" w:eastAsiaTheme="minorEastAsia" w:cstheme="minorEastAsia"/>
                <w:sz w:val="20"/>
                <w:szCs w:val="20"/>
              </w:rPr>
              <w:t>支持项目质控情况图形化显示。</w:t>
            </w:r>
          </w:p>
          <w:p w14:paraId="1A35EF6A">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8.</w:t>
            </w:r>
            <w:r>
              <w:rPr>
                <w:rFonts w:hint="eastAsia" w:asciiTheme="minorEastAsia" w:hAnsiTheme="minorEastAsia" w:eastAsiaTheme="minorEastAsia" w:cstheme="minorEastAsia"/>
                <w:sz w:val="20"/>
                <w:szCs w:val="20"/>
              </w:rPr>
              <w:t>支持项目质控CV图显示。</w:t>
            </w:r>
          </w:p>
          <w:p w14:paraId="41F5B2B7">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9.</w:t>
            </w:r>
            <w:r>
              <w:rPr>
                <w:rFonts w:hint="eastAsia" w:asciiTheme="minorEastAsia" w:hAnsiTheme="minorEastAsia" w:eastAsiaTheme="minorEastAsia" w:cstheme="minorEastAsia"/>
                <w:sz w:val="20"/>
                <w:szCs w:val="20"/>
              </w:rPr>
              <w:t>支持单元当日质控情况图形化浏览。</w:t>
            </w:r>
          </w:p>
          <w:p w14:paraId="57032AB5">
            <w:pPr>
              <w:pStyle w:val="10"/>
              <w:numPr>
                <w:ilvl w:val="0"/>
                <w:numId w:val="0"/>
              </w:numPr>
              <w:ind w:leftChars="0"/>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10.</w:t>
            </w:r>
            <w:r>
              <w:rPr>
                <w:rFonts w:hint="eastAsia" w:asciiTheme="minorEastAsia" w:hAnsiTheme="minorEastAsia" w:eastAsiaTheme="minorEastAsia" w:cstheme="minorEastAsia"/>
                <w:sz w:val="20"/>
                <w:szCs w:val="20"/>
              </w:rPr>
              <w:t>支持质控数据显示。</w:t>
            </w:r>
          </w:p>
        </w:tc>
      </w:tr>
      <w:tr w14:paraId="5863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2630E075">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0C28E1F2">
            <w:pPr>
              <w:jc w:val="center"/>
              <w:rPr>
                <w:rFonts w:hint="eastAsia" w:asciiTheme="minorEastAsia" w:hAnsiTheme="minorEastAsia" w:eastAsiaTheme="minorEastAsia" w:cstheme="minorEastAsia"/>
                <w:sz w:val="20"/>
                <w:szCs w:val="20"/>
                <w:lang w:val="en-US" w:eastAsia="zh-CN"/>
              </w:rPr>
            </w:pPr>
          </w:p>
        </w:tc>
        <w:tc>
          <w:tcPr>
            <w:tcW w:w="6219" w:type="dxa"/>
            <w:vAlign w:val="center"/>
          </w:tcPr>
          <w:p w14:paraId="0805D0B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管理功能：</w:t>
            </w:r>
          </w:p>
          <w:p w14:paraId="41C708B5">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支持质控单元化管理。</w:t>
            </w:r>
          </w:p>
          <w:p w14:paraId="1083E210">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支持仪器多计划管理。</w:t>
            </w:r>
          </w:p>
          <w:p w14:paraId="667962D7">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支持定量质控图像化处理。</w:t>
            </w:r>
          </w:p>
          <w:p w14:paraId="14DF2BFB">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rPr>
              <w:t>支持质控平行试验流程化管理。</w:t>
            </w:r>
          </w:p>
          <w:p w14:paraId="3280D074">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5.</w:t>
            </w:r>
            <w:r>
              <w:rPr>
                <w:rFonts w:hint="eastAsia" w:asciiTheme="minorEastAsia" w:hAnsiTheme="minorEastAsia" w:eastAsiaTheme="minorEastAsia" w:cstheme="minorEastAsia"/>
                <w:sz w:val="20"/>
                <w:szCs w:val="20"/>
              </w:rPr>
              <w:t>支持质控数据多种接收方式。</w:t>
            </w:r>
          </w:p>
          <w:p w14:paraId="2A40438F">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6.</w:t>
            </w:r>
            <w:r>
              <w:rPr>
                <w:rFonts w:hint="eastAsia" w:asciiTheme="minorEastAsia" w:hAnsiTheme="minorEastAsia" w:eastAsiaTheme="minorEastAsia" w:cstheme="minorEastAsia"/>
                <w:sz w:val="20"/>
                <w:szCs w:val="20"/>
              </w:rPr>
              <w:t>支持质控品批次管理。</w:t>
            </w:r>
          </w:p>
          <w:p w14:paraId="081D8370">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7.</w:t>
            </w:r>
            <w:r>
              <w:rPr>
                <w:rFonts w:hint="eastAsia" w:asciiTheme="minorEastAsia" w:hAnsiTheme="minorEastAsia" w:eastAsiaTheme="minorEastAsia" w:cstheme="minorEastAsia"/>
                <w:sz w:val="20"/>
                <w:szCs w:val="20"/>
              </w:rPr>
              <w:t>支持试剂批次管理。</w:t>
            </w:r>
          </w:p>
          <w:p w14:paraId="26282D54">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8.</w:t>
            </w:r>
            <w:r>
              <w:rPr>
                <w:rFonts w:hint="eastAsia" w:asciiTheme="minorEastAsia" w:hAnsiTheme="minorEastAsia" w:eastAsiaTheme="minorEastAsia" w:cstheme="minorEastAsia"/>
                <w:sz w:val="20"/>
                <w:szCs w:val="20"/>
              </w:rPr>
              <w:t>支持校准品批次管理。</w:t>
            </w:r>
          </w:p>
          <w:p w14:paraId="1A87DB67">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9.</w:t>
            </w:r>
            <w:r>
              <w:rPr>
                <w:rFonts w:hint="eastAsia" w:asciiTheme="minorEastAsia" w:hAnsiTheme="minorEastAsia" w:eastAsiaTheme="minorEastAsia" w:cstheme="minorEastAsia"/>
                <w:sz w:val="20"/>
                <w:szCs w:val="20"/>
              </w:rPr>
              <w:t>支持项目判断规则根据项目西格玛（δ）选择。</w:t>
            </w:r>
          </w:p>
          <w:p w14:paraId="7219E826">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10.</w:t>
            </w:r>
            <w:r>
              <w:rPr>
                <w:rFonts w:hint="eastAsia" w:asciiTheme="minorEastAsia" w:hAnsiTheme="minorEastAsia" w:eastAsiaTheme="minorEastAsia" w:cstheme="minorEastAsia"/>
                <w:sz w:val="20"/>
                <w:szCs w:val="20"/>
              </w:rPr>
              <w:t>支持项目质控有效时间管理。</w:t>
            </w:r>
          </w:p>
          <w:p w14:paraId="1FEE4781">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11.</w:t>
            </w:r>
            <w:r>
              <w:rPr>
                <w:rFonts w:hint="eastAsia" w:asciiTheme="minorEastAsia" w:hAnsiTheme="minorEastAsia" w:eastAsiaTheme="minorEastAsia" w:cstheme="minorEastAsia"/>
                <w:sz w:val="20"/>
                <w:szCs w:val="20"/>
              </w:rPr>
              <w:t>支持质控项目注释功能。</w:t>
            </w:r>
          </w:p>
          <w:p w14:paraId="68B18805">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12.</w:t>
            </w:r>
            <w:r>
              <w:rPr>
                <w:rFonts w:hint="eastAsia" w:asciiTheme="minorEastAsia" w:hAnsiTheme="minorEastAsia" w:eastAsiaTheme="minorEastAsia" w:cstheme="minorEastAsia"/>
                <w:sz w:val="20"/>
                <w:szCs w:val="20"/>
              </w:rPr>
              <w:t>支持质控数据按仪器汇总归档。</w:t>
            </w:r>
          </w:p>
          <w:p w14:paraId="49DCA13A">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13.</w:t>
            </w:r>
            <w:r>
              <w:rPr>
                <w:rFonts w:hint="eastAsia" w:asciiTheme="minorEastAsia" w:hAnsiTheme="minorEastAsia" w:eastAsiaTheme="minorEastAsia" w:cstheme="minorEastAsia"/>
                <w:sz w:val="20"/>
                <w:szCs w:val="20"/>
              </w:rPr>
              <w:t>支持实验室项目可接受范围判断功能。</w:t>
            </w:r>
          </w:p>
          <w:p w14:paraId="4A0B46EB">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14.</w:t>
            </w:r>
            <w:r>
              <w:rPr>
                <w:rFonts w:hint="eastAsia" w:asciiTheme="minorEastAsia" w:hAnsiTheme="minorEastAsia" w:eastAsiaTheme="minorEastAsia" w:cstheme="minorEastAsia"/>
                <w:sz w:val="20"/>
                <w:szCs w:val="20"/>
              </w:rPr>
              <w:t>支持质控结果审核功能。</w:t>
            </w:r>
          </w:p>
          <w:p w14:paraId="68E1FE2D">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15.</w:t>
            </w:r>
            <w:r>
              <w:rPr>
                <w:rFonts w:hint="eastAsia" w:asciiTheme="minorEastAsia" w:hAnsiTheme="minorEastAsia" w:eastAsiaTheme="minorEastAsia" w:cstheme="minorEastAsia"/>
                <w:sz w:val="20"/>
                <w:szCs w:val="20"/>
              </w:rPr>
              <w:t>支持开机质控结果未做判断功能。</w:t>
            </w:r>
          </w:p>
          <w:p w14:paraId="75C1F7DB">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16.</w:t>
            </w:r>
            <w:r>
              <w:rPr>
                <w:rFonts w:hint="eastAsia" w:asciiTheme="minorEastAsia" w:hAnsiTheme="minorEastAsia" w:eastAsiaTheme="minorEastAsia" w:cstheme="minorEastAsia"/>
                <w:sz w:val="20"/>
                <w:szCs w:val="20"/>
              </w:rPr>
              <w:t>支持质控项目多次测试仪器双向功能。</w:t>
            </w:r>
          </w:p>
          <w:p w14:paraId="466AEBC2">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17.</w:t>
            </w:r>
            <w:r>
              <w:rPr>
                <w:rFonts w:hint="eastAsia" w:asciiTheme="minorEastAsia" w:hAnsiTheme="minorEastAsia" w:eastAsiaTheme="minorEastAsia" w:cstheme="minorEastAsia"/>
                <w:sz w:val="20"/>
                <w:szCs w:val="20"/>
              </w:rPr>
              <w:t>支持项目失控重做仪器双向功能。</w:t>
            </w:r>
          </w:p>
          <w:p w14:paraId="1D6FCB8E">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18.</w:t>
            </w:r>
            <w:r>
              <w:rPr>
                <w:rFonts w:hint="eastAsia" w:asciiTheme="minorEastAsia" w:hAnsiTheme="minorEastAsia" w:eastAsiaTheme="minorEastAsia" w:cstheme="minorEastAsia"/>
                <w:sz w:val="20"/>
                <w:szCs w:val="20"/>
              </w:rPr>
              <w:t>支持质控数据自定义统计。</w:t>
            </w:r>
          </w:p>
          <w:p w14:paraId="14DD00D3">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19.</w:t>
            </w:r>
            <w:r>
              <w:rPr>
                <w:rFonts w:hint="eastAsia" w:asciiTheme="minorEastAsia" w:hAnsiTheme="minorEastAsia" w:eastAsiaTheme="minorEastAsia" w:cstheme="minorEastAsia"/>
                <w:sz w:val="20"/>
                <w:szCs w:val="20"/>
              </w:rPr>
              <w:t>支持质控事件分类、分级别提示。</w:t>
            </w:r>
          </w:p>
          <w:p w14:paraId="47CFFA8C">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20.</w:t>
            </w:r>
            <w:r>
              <w:rPr>
                <w:rFonts w:hint="eastAsia" w:asciiTheme="minorEastAsia" w:hAnsiTheme="minorEastAsia" w:eastAsiaTheme="minorEastAsia" w:cstheme="minorEastAsia"/>
                <w:sz w:val="20"/>
                <w:szCs w:val="20"/>
              </w:rPr>
              <w:t>支持质控数据上报功能。</w:t>
            </w:r>
          </w:p>
          <w:p w14:paraId="6E12DB46">
            <w:pPr>
              <w:pStyle w:val="10"/>
              <w:numPr>
                <w:ilvl w:val="0"/>
                <w:numId w:val="0"/>
              </w:numPr>
              <w:ind w:leftChars="0"/>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21.</w:t>
            </w:r>
            <w:r>
              <w:rPr>
                <w:rFonts w:hint="eastAsia" w:asciiTheme="minorEastAsia" w:hAnsiTheme="minorEastAsia" w:eastAsiaTheme="minorEastAsia" w:cstheme="minorEastAsia"/>
                <w:sz w:val="20"/>
                <w:szCs w:val="20"/>
              </w:rPr>
              <w:t>支持项目相同仪器质控同时分析浏览。</w:t>
            </w:r>
          </w:p>
        </w:tc>
      </w:tr>
      <w:tr w14:paraId="46C8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7641ED51">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67211C23">
            <w:pPr>
              <w:jc w:val="center"/>
              <w:rPr>
                <w:rFonts w:hint="eastAsia" w:asciiTheme="minorEastAsia" w:hAnsiTheme="minorEastAsia" w:eastAsiaTheme="minorEastAsia" w:cstheme="minorEastAsia"/>
                <w:sz w:val="20"/>
                <w:szCs w:val="20"/>
                <w:lang w:val="en-US" w:eastAsia="zh-CN"/>
              </w:rPr>
            </w:pPr>
          </w:p>
        </w:tc>
        <w:tc>
          <w:tcPr>
            <w:tcW w:w="6219" w:type="dxa"/>
            <w:vAlign w:val="center"/>
          </w:tcPr>
          <w:p w14:paraId="0B9C8354">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常用质控报表：每月室内质控数据统计报表；失控报告单；每月质控报表；每月项目质控数据汇总表；每月项目质控数据控制图；每月上报质量控制图表。</w:t>
            </w:r>
          </w:p>
        </w:tc>
      </w:tr>
      <w:tr w14:paraId="47AF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1A99C076">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61384D4E">
            <w:pPr>
              <w:jc w:val="center"/>
              <w:rPr>
                <w:rFonts w:hint="eastAsia" w:asciiTheme="minorEastAsia" w:hAnsiTheme="minorEastAsia" w:eastAsiaTheme="minorEastAsia" w:cstheme="minorEastAsia"/>
                <w:sz w:val="20"/>
                <w:szCs w:val="20"/>
                <w:lang w:val="en-US" w:eastAsia="zh-CN"/>
              </w:rPr>
            </w:pPr>
          </w:p>
        </w:tc>
        <w:tc>
          <w:tcPr>
            <w:tcW w:w="6219" w:type="dxa"/>
            <w:vAlign w:val="center"/>
          </w:tcPr>
          <w:p w14:paraId="1AF247A7">
            <w:pPr>
              <w:widowControl/>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具体的质控方法：</w:t>
            </w:r>
          </w:p>
          <w:p w14:paraId="2DD74225">
            <w:pPr>
              <w:pStyle w:val="10"/>
              <w:widowControl/>
              <w:numPr>
                <w:ilvl w:val="0"/>
                <w:numId w:val="0"/>
              </w:numPr>
              <w:ind w:leftChars="0"/>
              <w:jc w:val="left"/>
              <w:rPr>
                <w:rFonts w:hint="eastAsia" w:asciiTheme="minorEastAsia" w:hAnsi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1）自定义质控规则；</w:t>
            </w:r>
          </w:p>
          <w:p w14:paraId="3A737910">
            <w:pPr>
              <w:pStyle w:val="10"/>
              <w:widowControl/>
              <w:numPr>
                <w:ilvl w:val="0"/>
                <w:numId w:val="0"/>
              </w:numPr>
              <w:ind w:leftChars="0"/>
              <w:jc w:val="left"/>
              <w:rPr>
                <w:rFonts w:hint="eastAsia" w:asciiTheme="minorEastAsia" w:hAnsi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2）支持固定范围规则；</w:t>
            </w:r>
          </w:p>
          <w:p w14:paraId="1BFA79B8">
            <w:pPr>
              <w:pStyle w:val="10"/>
              <w:widowControl/>
              <w:numPr>
                <w:ilvl w:val="0"/>
                <w:numId w:val="0"/>
              </w:numPr>
              <w:ind w:leftChars="0"/>
              <w:jc w:val="left"/>
              <w:rPr>
                <w:rFonts w:hint="eastAsia" w:asciiTheme="minorEastAsia" w:hAnsi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3）支持定性规则；</w:t>
            </w:r>
          </w:p>
          <w:p w14:paraId="4F149848">
            <w:pPr>
              <w:pStyle w:val="10"/>
              <w:widowControl/>
              <w:numPr>
                <w:ilvl w:val="0"/>
                <w:numId w:val="0"/>
              </w:numPr>
              <w:ind w:leftChars="0"/>
              <w:jc w:val="left"/>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color w:val="auto"/>
                <w:sz w:val="20"/>
                <w:szCs w:val="20"/>
                <w:highlight w:val="none"/>
                <w:lang w:val="en-US" w:eastAsia="zh-CN"/>
              </w:rPr>
              <w:t xml:space="preserve">4）支持质控规则组合。 </w:t>
            </w:r>
          </w:p>
        </w:tc>
      </w:tr>
      <w:tr w14:paraId="2B5B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7158383C">
            <w:pPr>
              <w:pStyle w:val="10"/>
              <w:numPr>
                <w:ilvl w:val="0"/>
                <w:numId w:val="0"/>
              </w:numPr>
              <w:ind w:leftChar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10</w:t>
            </w:r>
          </w:p>
        </w:tc>
        <w:tc>
          <w:tcPr>
            <w:tcW w:w="1806" w:type="dxa"/>
            <w:vMerge w:val="restart"/>
            <w:vAlign w:val="center"/>
          </w:tcPr>
          <w:p w14:paraId="18838796">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智能</w:t>
            </w:r>
            <w:r>
              <w:rPr>
                <w:rFonts w:hint="eastAsia" w:asciiTheme="minorEastAsia" w:hAnsiTheme="minorEastAsia" w:eastAsiaTheme="minorEastAsia" w:cstheme="minorEastAsia"/>
                <w:sz w:val="20"/>
                <w:szCs w:val="20"/>
              </w:rPr>
              <w:t>微生物检验</w:t>
            </w:r>
            <w:r>
              <w:rPr>
                <w:rFonts w:hint="eastAsia" w:asciiTheme="minorEastAsia" w:hAnsiTheme="minorEastAsia" w:eastAsiaTheme="minorEastAsia" w:cstheme="minorEastAsia"/>
                <w:sz w:val="20"/>
                <w:szCs w:val="20"/>
                <w:lang w:val="en-US" w:eastAsia="zh-CN"/>
              </w:rPr>
              <w:t>工作站</w:t>
            </w:r>
          </w:p>
        </w:tc>
        <w:tc>
          <w:tcPr>
            <w:tcW w:w="6219" w:type="dxa"/>
            <w:vAlign w:val="center"/>
          </w:tcPr>
          <w:p w14:paraId="451F2E9C">
            <w:pPr>
              <w:rPr>
                <w:rFonts w:hint="eastAsia" w:asciiTheme="minorEastAsia" w:hAnsiTheme="minorEastAsia" w:eastAsiaTheme="minorEastAsia" w:cstheme="minorEastAsia"/>
                <w:color w:val="000000" w:themeColor="text1"/>
                <w:kern w:val="2"/>
                <w:sz w:val="20"/>
                <w:szCs w:val="20"/>
                <w:lang w:val="en-US" w:eastAsia="zh-CN" w:bidi="ar-SA"/>
                <w14:textFill>
                  <w14:solidFill>
                    <w14:schemeClr w14:val="tx1"/>
                  </w14:solidFill>
                </w14:textFill>
              </w:rPr>
            </w:pPr>
            <w:r>
              <w:rPr>
                <w:rFonts w:hint="eastAsia" w:asciiTheme="minorEastAsia" w:hAnsiTheme="minorEastAsia" w:eastAsiaTheme="minorEastAsia" w:cstheme="minorEastAsia"/>
                <w:sz w:val="20"/>
                <w:szCs w:val="20"/>
              </w:rPr>
              <w:t>涵盖微生物检验从标本接收登记</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报告处理</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危急值处理、</w:t>
            </w:r>
            <w:r>
              <w:rPr>
                <w:rFonts w:hint="eastAsia" w:asciiTheme="minorEastAsia" w:hAnsiTheme="minorEastAsia" w:eastAsiaTheme="minorEastAsia" w:cstheme="minorEastAsia"/>
                <w:sz w:val="20"/>
                <w:szCs w:val="20"/>
                <w:lang w:val="en-US" w:eastAsia="zh-CN"/>
              </w:rPr>
              <w:t>WHONET导出</w:t>
            </w:r>
            <w:r>
              <w:rPr>
                <w:rFonts w:hint="eastAsia" w:asciiTheme="minorEastAsia" w:hAnsiTheme="minorEastAsia" w:eastAsiaTheme="minorEastAsia" w:cstheme="minorEastAsia"/>
                <w:sz w:val="20"/>
                <w:szCs w:val="20"/>
              </w:rPr>
              <w:t>等过程管理。</w:t>
            </w:r>
          </w:p>
        </w:tc>
      </w:tr>
      <w:tr w14:paraId="659C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393F0A46">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765B55B4">
            <w:pPr>
              <w:jc w:val="center"/>
              <w:rPr>
                <w:rFonts w:hint="eastAsia" w:asciiTheme="minorEastAsia" w:hAnsiTheme="minorEastAsia" w:eastAsiaTheme="minorEastAsia" w:cstheme="minorEastAsia"/>
                <w:sz w:val="20"/>
                <w:szCs w:val="20"/>
              </w:rPr>
            </w:pPr>
          </w:p>
        </w:tc>
        <w:tc>
          <w:tcPr>
            <w:tcW w:w="6219" w:type="dxa"/>
            <w:vAlign w:val="center"/>
          </w:tcPr>
          <w:p w14:paraId="023FD580">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支持微生物名称、药敏名称等数据标准化。</w:t>
            </w:r>
          </w:p>
        </w:tc>
      </w:tr>
      <w:tr w14:paraId="05F4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3594C38B">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668F8C1B">
            <w:pPr>
              <w:jc w:val="center"/>
              <w:rPr>
                <w:rFonts w:hint="eastAsia" w:asciiTheme="minorEastAsia" w:hAnsiTheme="minorEastAsia" w:eastAsiaTheme="minorEastAsia" w:cstheme="minorEastAsia"/>
                <w:sz w:val="20"/>
                <w:szCs w:val="20"/>
              </w:rPr>
            </w:pPr>
          </w:p>
        </w:tc>
        <w:tc>
          <w:tcPr>
            <w:tcW w:w="6219" w:type="dxa"/>
            <w:vAlign w:val="center"/>
          </w:tcPr>
          <w:p w14:paraId="43130A73">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支持微生物检验过程规范化管理。</w:t>
            </w:r>
          </w:p>
        </w:tc>
      </w:tr>
      <w:tr w14:paraId="37EC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74593255">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0D4A1F0C">
            <w:pPr>
              <w:jc w:val="center"/>
              <w:rPr>
                <w:rFonts w:hint="eastAsia" w:asciiTheme="minorEastAsia" w:hAnsiTheme="minorEastAsia" w:eastAsiaTheme="minorEastAsia" w:cstheme="minorEastAsia"/>
                <w:sz w:val="20"/>
                <w:szCs w:val="20"/>
              </w:rPr>
            </w:pPr>
          </w:p>
        </w:tc>
        <w:tc>
          <w:tcPr>
            <w:tcW w:w="6219" w:type="dxa"/>
            <w:vAlign w:val="center"/>
          </w:tcPr>
          <w:p w14:paraId="76FA2FD0">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支持微生物检验全程条码化管理（标本条形码、培养皿条形码、玻片条形码、工作单条形码、条形码上机）。</w:t>
            </w:r>
          </w:p>
        </w:tc>
      </w:tr>
      <w:tr w14:paraId="1E1C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65F7AA14">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13A8B83F">
            <w:pPr>
              <w:jc w:val="center"/>
              <w:rPr>
                <w:rFonts w:hint="eastAsia" w:asciiTheme="minorEastAsia" w:hAnsiTheme="minorEastAsia" w:eastAsiaTheme="minorEastAsia" w:cstheme="minorEastAsia"/>
                <w:sz w:val="20"/>
                <w:szCs w:val="20"/>
              </w:rPr>
            </w:pPr>
          </w:p>
        </w:tc>
        <w:tc>
          <w:tcPr>
            <w:tcW w:w="6219" w:type="dxa"/>
            <w:vAlign w:val="center"/>
          </w:tcPr>
          <w:p w14:paraId="3D901163">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支持微生物检验移动应用</w:t>
            </w:r>
            <w:r>
              <w:rPr>
                <w:rFonts w:hint="eastAsia" w:asciiTheme="minorEastAsia" w:hAnsiTheme="minorEastAsia" w:eastAsiaTheme="minorEastAsia" w:cstheme="minorEastAsia"/>
                <w:sz w:val="20"/>
                <w:szCs w:val="20"/>
                <w:lang w:eastAsia="zh-CN"/>
              </w:rPr>
              <w:t>。</w:t>
            </w:r>
          </w:p>
        </w:tc>
      </w:tr>
      <w:tr w14:paraId="267A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0A126EF2">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72EA08F4">
            <w:pPr>
              <w:jc w:val="center"/>
              <w:rPr>
                <w:rFonts w:hint="eastAsia" w:asciiTheme="minorEastAsia" w:hAnsiTheme="minorEastAsia" w:eastAsiaTheme="minorEastAsia" w:cstheme="minorEastAsia"/>
                <w:sz w:val="20"/>
                <w:szCs w:val="20"/>
              </w:rPr>
            </w:pPr>
          </w:p>
        </w:tc>
        <w:tc>
          <w:tcPr>
            <w:tcW w:w="6219" w:type="dxa"/>
            <w:vAlign w:val="center"/>
          </w:tcPr>
          <w:p w14:paraId="61E3996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具备智能化工作导引功能：</w:t>
            </w:r>
          </w:p>
          <w:p w14:paraId="273F809C">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标本接收时根据标本种类和送检目的与预先定义的方案实现智能化匹配；</w:t>
            </w:r>
          </w:p>
          <w:p w14:paraId="22E4BC8B">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根据目的+标本自动分类统计本院常见结果；</w:t>
            </w:r>
          </w:p>
          <w:p w14:paraId="2D78105B">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根据目的+标本自动匹配阴性默认；</w:t>
            </w:r>
          </w:p>
          <w:p w14:paraId="5BD6D776">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rPr>
              <w:t>根据专家规则自动生成备注或修正药敏或删除药敏；</w:t>
            </w:r>
          </w:p>
          <w:p w14:paraId="71CF2D99">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5.</w:t>
            </w:r>
            <w:r>
              <w:rPr>
                <w:rFonts w:hint="eastAsia" w:asciiTheme="minorEastAsia" w:hAnsiTheme="minorEastAsia" w:eastAsiaTheme="minorEastAsia" w:cstheme="minorEastAsia"/>
                <w:sz w:val="20"/>
                <w:szCs w:val="20"/>
              </w:rPr>
              <w:t>根据审核规则规避一些不合理的报告；</w:t>
            </w:r>
          </w:p>
          <w:p w14:paraId="741E3C70">
            <w:pPr>
              <w:pStyle w:val="10"/>
              <w:numPr>
                <w:ilvl w:val="0"/>
                <w:numId w:val="0"/>
              </w:numPr>
              <w:ind w:leftChars="0"/>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6.</w:t>
            </w:r>
            <w:r>
              <w:rPr>
                <w:rFonts w:hint="eastAsia" w:asciiTheme="minorEastAsia" w:hAnsiTheme="minorEastAsia" w:eastAsiaTheme="minorEastAsia" w:cstheme="minorEastAsia"/>
                <w:sz w:val="20"/>
                <w:szCs w:val="20"/>
              </w:rPr>
              <w:t>自动标记血培养污染。</w:t>
            </w:r>
          </w:p>
        </w:tc>
      </w:tr>
      <w:tr w14:paraId="40B1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1984848B">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12576385">
            <w:pPr>
              <w:jc w:val="center"/>
              <w:rPr>
                <w:rFonts w:hint="eastAsia" w:asciiTheme="minorEastAsia" w:hAnsiTheme="minorEastAsia" w:eastAsiaTheme="minorEastAsia" w:cstheme="minorEastAsia"/>
                <w:sz w:val="20"/>
                <w:szCs w:val="20"/>
              </w:rPr>
            </w:pPr>
          </w:p>
        </w:tc>
        <w:tc>
          <w:tcPr>
            <w:tcW w:w="6219" w:type="dxa"/>
            <w:vAlign w:val="center"/>
          </w:tcPr>
          <w:p w14:paraId="6098F2BD">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具备报告处理工作单元自动语音播报功能。</w:t>
            </w:r>
          </w:p>
        </w:tc>
      </w:tr>
      <w:tr w14:paraId="7D32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38EAD0CC">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3923351F">
            <w:pPr>
              <w:jc w:val="center"/>
              <w:rPr>
                <w:rFonts w:hint="eastAsia" w:asciiTheme="minorEastAsia" w:hAnsiTheme="minorEastAsia" w:eastAsiaTheme="minorEastAsia" w:cstheme="minorEastAsia"/>
                <w:sz w:val="20"/>
                <w:szCs w:val="20"/>
              </w:rPr>
            </w:pPr>
          </w:p>
        </w:tc>
        <w:tc>
          <w:tcPr>
            <w:tcW w:w="6219" w:type="dxa"/>
            <w:vAlign w:val="center"/>
          </w:tcPr>
          <w:p w14:paraId="494C43F2">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具备涂片结果、中间阴性结果默认及初报、培养阴性结果、培养阳性结果、细菌鉴定结果、药敏结果等多阶段结果处理及24小时初步报告、48小时报告、最终报告等分级化报告。</w:t>
            </w:r>
          </w:p>
        </w:tc>
      </w:tr>
      <w:tr w14:paraId="0D22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1779BE73">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044AF83F">
            <w:pPr>
              <w:jc w:val="center"/>
              <w:rPr>
                <w:rFonts w:hint="eastAsia" w:asciiTheme="minorEastAsia" w:hAnsiTheme="minorEastAsia" w:eastAsiaTheme="minorEastAsia" w:cstheme="minorEastAsia"/>
                <w:sz w:val="20"/>
                <w:szCs w:val="20"/>
              </w:rPr>
            </w:pPr>
          </w:p>
        </w:tc>
        <w:tc>
          <w:tcPr>
            <w:tcW w:w="6219" w:type="dxa"/>
            <w:vAlign w:val="center"/>
          </w:tcPr>
          <w:p w14:paraId="7A56BA6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具备多途径结果回顾：</w:t>
            </w:r>
          </w:p>
          <w:p w14:paraId="0C0C4834">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所有标本：该病人所有标本的微生物检验结果；</w:t>
            </w:r>
          </w:p>
          <w:p w14:paraId="796F6B61">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同类标本：该病人同类标本（比如呼吸道等）的微生物检验结果；</w:t>
            </w: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相同标本：该病人相同标本的微生物检验结果；</w:t>
            </w:r>
          </w:p>
          <w:p w14:paraId="00EC36AE">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rPr>
              <w:t>同一标本：该病人同一份标本的微生物检验结果；</w:t>
            </w:r>
          </w:p>
          <w:p w14:paraId="37E2AEBE">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5.</w:t>
            </w:r>
            <w:r>
              <w:rPr>
                <w:rFonts w:hint="eastAsia" w:asciiTheme="minorEastAsia" w:hAnsiTheme="minorEastAsia" w:eastAsiaTheme="minorEastAsia" w:cstheme="minorEastAsia"/>
                <w:sz w:val="20"/>
                <w:szCs w:val="20"/>
              </w:rPr>
              <w:t>感染指标：该病人所有其他专业组检验小项结果（例如：白细胞、降钙素原等）；</w:t>
            </w:r>
          </w:p>
          <w:p w14:paraId="688D70A8">
            <w:pPr>
              <w:pStyle w:val="10"/>
              <w:numPr>
                <w:ilvl w:val="0"/>
                <w:numId w:val="0"/>
              </w:numPr>
              <w:ind w:leftChars="0"/>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6.</w:t>
            </w:r>
            <w:r>
              <w:rPr>
                <w:rFonts w:hint="eastAsia" w:asciiTheme="minorEastAsia" w:hAnsiTheme="minorEastAsia" w:eastAsiaTheme="minorEastAsia" w:cstheme="minorEastAsia"/>
                <w:sz w:val="20"/>
                <w:szCs w:val="20"/>
              </w:rPr>
              <w:t>相关检验：该病人同一标本其他专业组检验结果（例如脑脊液培养可以回顾其脑脊液生化的结果）</w:t>
            </w:r>
            <w:r>
              <w:rPr>
                <w:rFonts w:hint="eastAsia" w:asciiTheme="minorEastAsia" w:hAnsiTheme="minorEastAsia" w:cstheme="minorEastAsia"/>
                <w:sz w:val="20"/>
                <w:szCs w:val="20"/>
                <w:lang w:val="en-US" w:eastAsia="zh-CN"/>
              </w:rPr>
              <w:t>等</w:t>
            </w:r>
            <w:r>
              <w:rPr>
                <w:rFonts w:hint="eastAsia" w:asciiTheme="minorEastAsia" w:hAnsiTheme="minorEastAsia" w:eastAsiaTheme="minorEastAsia" w:cstheme="minorEastAsia"/>
                <w:sz w:val="20"/>
                <w:szCs w:val="20"/>
              </w:rPr>
              <w:t>。</w:t>
            </w:r>
          </w:p>
        </w:tc>
      </w:tr>
      <w:tr w14:paraId="51B4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3BDE2EAC">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7B49A7C3">
            <w:pPr>
              <w:jc w:val="center"/>
              <w:rPr>
                <w:rFonts w:hint="eastAsia" w:asciiTheme="minorEastAsia" w:hAnsiTheme="minorEastAsia" w:eastAsiaTheme="minorEastAsia" w:cstheme="minorEastAsia"/>
                <w:sz w:val="20"/>
                <w:szCs w:val="20"/>
              </w:rPr>
            </w:pPr>
          </w:p>
        </w:tc>
        <w:tc>
          <w:tcPr>
            <w:tcW w:w="6219" w:type="dxa"/>
            <w:vAlign w:val="center"/>
          </w:tcPr>
          <w:p w14:paraId="6AC829E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实现微生物检验的全过程监控；包括：</w:t>
            </w:r>
          </w:p>
          <w:p w14:paraId="425DB15A">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危急值监控；</w:t>
            </w:r>
          </w:p>
          <w:p w14:paraId="4E391DD5">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报告审核监控；</w:t>
            </w:r>
          </w:p>
          <w:p w14:paraId="5ED98E59">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传染病监控；</w:t>
            </w:r>
          </w:p>
          <w:p w14:paraId="4EE2236A">
            <w:pPr>
              <w:pStyle w:val="10"/>
              <w:numPr>
                <w:ilvl w:val="0"/>
                <w:numId w:val="0"/>
              </w:numPr>
              <w:ind w:leftChars="0"/>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rPr>
              <w:t>多重耐药监控。</w:t>
            </w:r>
          </w:p>
        </w:tc>
      </w:tr>
      <w:tr w14:paraId="7F5A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7359DD00">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6672BA42">
            <w:pPr>
              <w:jc w:val="center"/>
              <w:rPr>
                <w:rFonts w:hint="eastAsia" w:asciiTheme="minorEastAsia" w:hAnsiTheme="minorEastAsia" w:eastAsiaTheme="minorEastAsia" w:cstheme="minorEastAsia"/>
                <w:sz w:val="20"/>
                <w:szCs w:val="20"/>
              </w:rPr>
            </w:pPr>
          </w:p>
        </w:tc>
        <w:tc>
          <w:tcPr>
            <w:tcW w:w="6219" w:type="dxa"/>
            <w:vAlign w:val="center"/>
          </w:tcPr>
          <w:p w14:paraId="188A8104">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支持与微生物检验相关自动化设备集成；包括微生物培养仪、细菌鉴定仪、全自动接种仪、质谱分析仪、中间体软件等，并实现数据采集。</w:t>
            </w:r>
          </w:p>
        </w:tc>
      </w:tr>
      <w:tr w14:paraId="69C9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43839BFA">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48608AB4">
            <w:pPr>
              <w:jc w:val="center"/>
              <w:rPr>
                <w:rFonts w:hint="eastAsia" w:asciiTheme="minorEastAsia" w:hAnsiTheme="minorEastAsia" w:eastAsiaTheme="minorEastAsia" w:cstheme="minorEastAsia"/>
                <w:sz w:val="20"/>
                <w:szCs w:val="20"/>
              </w:rPr>
            </w:pPr>
          </w:p>
        </w:tc>
        <w:tc>
          <w:tcPr>
            <w:tcW w:w="6219" w:type="dxa"/>
            <w:vAlign w:val="center"/>
          </w:tcPr>
          <w:p w14:paraId="4060C5C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支持与如WHONET等多系统融合：</w:t>
            </w:r>
          </w:p>
          <w:p w14:paraId="44EF43EA">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从WHONET导入细菌信息；</w:t>
            </w:r>
          </w:p>
          <w:p w14:paraId="3D7792C1">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从WHONET导入抗生素信息；</w:t>
            </w:r>
          </w:p>
          <w:p w14:paraId="67BBC2EF">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从WHONET导入药敏折点；</w:t>
            </w:r>
          </w:p>
          <w:p w14:paraId="0B73634D">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rPr>
              <w:t>从WHONET导入质控菌株；</w:t>
            </w:r>
          </w:p>
          <w:p w14:paraId="5ED319B9">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5.</w:t>
            </w:r>
            <w:r>
              <w:rPr>
                <w:rFonts w:hint="eastAsia" w:asciiTheme="minorEastAsia" w:hAnsiTheme="minorEastAsia" w:eastAsiaTheme="minorEastAsia" w:cstheme="minorEastAsia"/>
                <w:sz w:val="20"/>
                <w:szCs w:val="20"/>
              </w:rPr>
              <w:t>从WHONET导入质控菌株参考范围；</w:t>
            </w:r>
          </w:p>
          <w:p w14:paraId="4D13B28E">
            <w:pPr>
              <w:pStyle w:val="10"/>
              <w:numPr>
                <w:ilvl w:val="0"/>
                <w:numId w:val="0"/>
              </w:numPr>
              <w:ind w:leftChars="0"/>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6.</w:t>
            </w:r>
            <w:r>
              <w:rPr>
                <w:rFonts w:hint="eastAsia" w:asciiTheme="minorEastAsia" w:hAnsiTheme="minorEastAsia" w:eastAsiaTheme="minorEastAsia" w:cstheme="minorEastAsia"/>
                <w:sz w:val="20"/>
                <w:szCs w:val="20"/>
              </w:rPr>
              <w:t>结果导入到WHONET。</w:t>
            </w:r>
          </w:p>
        </w:tc>
      </w:tr>
      <w:tr w14:paraId="58CF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452F2D10">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03CE1AF0">
            <w:pPr>
              <w:jc w:val="center"/>
              <w:rPr>
                <w:rFonts w:hint="eastAsia" w:asciiTheme="minorEastAsia" w:hAnsiTheme="minorEastAsia" w:eastAsiaTheme="minorEastAsia" w:cstheme="minorEastAsia"/>
                <w:sz w:val="20"/>
                <w:szCs w:val="20"/>
              </w:rPr>
            </w:pPr>
          </w:p>
        </w:tc>
        <w:tc>
          <w:tcPr>
            <w:tcW w:w="6219" w:type="dxa"/>
            <w:vAlign w:val="center"/>
          </w:tcPr>
          <w:p w14:paraId="17081DF8">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具备智能化</w:t>
            </w:r>
            <w:r>
              <w:rPr>
                <w:rFonts w:hint="eastAsia" w:asciiTheme="minorEastAsia" w:hAnsiTheme="minorEastAsia" w:eastAsiaTheme="minorEastAsia" w:cstheme="minorEastAsia"/>
                <w:sz w:val="20"/>
                <w:szCs w:val="20"/>
                <w:lang w:val="en-US" w:eastAsia="zh-CN"/>
              </w:rPr>
              <w:t>向导</w:t>
            </w:r>
            <w:r>
              <w:rPr>
                <w:rFonts w:hint="eastAsia" w:asciiTheme="minorEastAsia" w:hAnsiTheme="minorEastAsia" w:eastAsiaTheme="minorEastAsia" w:cstheme="minorEastAsia"/>
                <w:sz w:val="20"/>
                <w:szCs w:val="20"/>
              </w:rPr>
              <w:t>及专家系统。</w:t>
            </w:r>
          </w:p>
        </w:tc>
      </w:tr>
      <w:tr w14:paraId="70F8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07754856">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35AB0531">
            <w:pPr>
              <w:jc w:val="center"/>
              <w:rPr>
                <w:rFonts w:hint="eastAsia" w:asciiTheme="minorEastAsia" w:hAnsiTheme="minorEastAsia" w:eastAsiaTheme="minorEastAsia" w:cstheme="minorEastAsia"/>
                <w:sz w:val="20"/>
                <w:szCs w:val="20"/>
              </w:rPr>
            </w:pPr>
          </w:p>
        </w:tc>
        <w:tc>
          <w:tcPr>
            <w:tcW w:w="6219" w:type="dxa"/>
            <w:vAlign w:val="center"/>
          </w:tcPr>
          <w:p w14:paraId="7FC90C6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支持自我学习性，包括：</w:t>
            </w:r>
          </w:p>
          <w:p w14:paraId="4B2BCBF9">
            <w:pPr>
              <w:pStyle w:val="10"/>
              <w:numPr>
                <w:ilvl w:val="0"/>
                <w:numId w:val="0"/>
              </w:numPr>
              <w:ind w:leftChars="0"/>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自动统计同目的+标本的本院常见结果</w:t>
            </w:r>
            <w:r>
              <w:rPr>
                <w:rFonts w:hint="eastAsia" w:asciiTheme="minorEastAsia" w:hAnsiTheme="minorEastAsia" w:cstheme="minorEastAsia"/>
                <w:sz w:val="20"/>
                <w:szCs w:val="20"/>
                <w:lang w:eastAsia="zh-CN"/>
              </w:rPr>
              <w:t>。</w:t>
            </w:r>
          </w:p>
          <w:p w14:paraId="75CC68BF">
            <w:pPr>
              <w:pStyle w:val="10"/>
              <w:numPr>
                <w:ilvl w:val="0"/>
                <w:numId w:val="0"/>
              </w:numPr>
              <w:ind w:leftChars="0"/>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可导入其他医院专家规则，了解其他医院情况。</w:t>
            </w:r>
          </w:p>
        </w:tc>
      </w:tr>
      <w:tr w14:paraId="45D3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421A2E0B">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6BE03595">
            <w:pPr>
              <w:jc w:val="center"/>
              <w:rPr>
                <w:rFonts w:hint="eastAsia" w:asciiTheme="minorEastAsia" w:hAnsiTheme="minorEastAsia" w:eastAsiaTheme="minorEastAsia" w:cstheme="minorEastAsia"/>
                <w:sz w:val="20"/>
                <w:szCs w:val="20"/>
              </w:rPr>
            </w:pPr>
          </w:p>
        </w:tc>
        <w:tc>
          <w:tcPr>
            <w:tcW w:w="6219" w:type="dxa"/>
            <w:vAlign w:val="center"/>
          </w:tcPr>
          <w:p w14:paraId="75D6184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可以实现微生物检验分步计费：</w:t>
            </w:r>
          </w:p>
          <w:p w14:paraId="71E0C4F5">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预收费模式</w:t>
            </w:r>
          </w:p>
          <w:p w14:paraId="5D42BE2E">
            <w:pPr>
              <w:ind w:firstLine="4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a)标本接收时一次性收取培养、鉴定及药敏费用；</w:t>
            </w:r>
          </w:p>
          <w:p w14:paraId="79269DCB">
            <w:pPr>
              <w:ind w:firstLine="4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b)培养阴性时自动退还鉴定及药敏费用；</w:t>
            </w:r>
          </w:p>
          <w:p w14:paraId="1312A451">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分步计费模式</w:t>
            </w:r>
          </w:p>
          <w:p w14:paraId="4653F819">
            <w:pPr>
              <w:pStyle w:val="10"/>
              <w:numPr>
                <w:ilvl w:val="0"/>
                <w:numId w:val="0"/>
              </w:numPr>
              <w:ind w:left="420" w:lef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a)标本接收时自动收取培养费；</w:t>
            </w:r>
          </w:p>
          <w:p w14:paraId="25EFE89D">
            <w:pPr>
              <w:pStyle w:val="10"/>
              <w:numPr>
                <w:ilvl w:val="0"/>
                <w:numId w:val="0"/>
              </w:numPr>
              <w:ind w:left="420" w:leftChars="0"/>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b)培养阳性上机，自动加收鉴定费和药敏费用，其中药敏费用可以是总价也可以是按照具体每个药敏计费。</w:t>
            </w:r>
          </w:p>
        </w:tc>
      </w:tr>
      <w:tr w14:paraId="35D5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7C69B0D7">
            <w:pPr>
              <w:pStyle w:val="10"/>
              <w:numPr>
                <w:ilvl w:val="0"/>
                <w:numId w:val="0"/>
              </w:numPr>
              <w:ind w:leftChar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11</w:t>
            </w:r>
          </w:p>
        </w:tc>
        <w:tc>
          <w:tcPr>
            <w:tcW w:w="1806" w:type="dxa"/>
            <w:vAlign w:val="center"/>
          </w:tcPr>
          <w:p w14:paraId="40A4E4AA">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仪器联机</w:t>
            </w:r>
          </w:p>
        </w:tc>
        <w:tc>
          <w:tcPr>
            <w:tcW w:w="6219" w:type="dxa"/>
            <w:vAlign w:val="center"/>
          </w:tcPr>
          <w:p w14:paraId="3008C84B">
            <w:pPr>
              <w:pStyle w:val="10"/>
              <w:numPr>
                <w:ilvl w:val="0"/>
                <w:numId w:val="0"/>
              </w:numP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现有检验仪器联机</w:t>
            </w:r>
          </w:p>
        </w:tc>
      </w:tr>
      <w:tr w14:paraId="02D1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756ED047">
            <w:pPr>
              <w:pStyle w:val="10"/>
              <w:numPr>
                <w:ilvl w:val="0"/>
                <w:numId w:val="0"/>
              </w:numPr>
              <w:ind w:leftChar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12</w:t>
            </w:r>
          </w:p>
        </w:tc>
        <w:tc>
          <w:tcPr>
            <w:tcW w:w="1806" w:type="dxa"/>
            <w:vMerge w:val="restart"/>
            <w:vAlign w:val="center"/>
          </w:tcPr>
          <w:p w14:paraId="0FBDF5A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危急值闭环管理系统</w:t>
            </w:r>
          </w:p>
        </w:tc>
        <w:tc>
          <w:tcPr>
            <w:tcW w:w="6219" w:type="dxa"/>
            <w:vAlign w:val="center"/>
          </w:tcPr>
          <w:p w14:paraId="1B65DF48">
            <w:pPr>
              <w:widowControl/>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支持实验室对检验危急值的及时处理、处理完毕后对检验危急值及时从网络上报告给临床，以及临床及时对危急值进行接报。</w:t>
            </w:r>
          </w:p>
          <w:p w14:paraId="3E6D448E">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包含危急值规则设置、预警、感知、处理、报告、接报/反馈全过程管理；</w:t>
            </w:r>
          </w:p>
          <w:p w14:paraId="1ADC13F9">
            <w:pPr>
              <w:pStyle w:val="10"/>
              <w:widowControl/>
              <w:numPr>
                <w:ilvl w:val="0"/>
                <w:numId w:val="0"/>
              </w:numPr>
              <w:ind w:leftChars="0"/>
              <w:jc w:val="left"/>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包含感知超时报警、报告超时预警、报告超时报警、接报超时报警等警示及处理；</w:t>
            </w:r>
          </w:p>
          <w:p w14:paraId="23561E2C">
            <w:pPr>
              <w:pStyle w:val="10"/>
              <w:numPr>
                <w:ilvl w:val="0"/>
                <w:numId w:val="0"/>
              </w:numPr>
              <w:ind w:leftChars="0"/>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包含临床接报超时后检验科电话回报过程登记。</w:t>
            </w:r>
          </w:p>
        </w:tc>
      </w:tr>
      <w:tr w14:paraId="0A4B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3F2C4378">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042E67EF">
            <w:pPr>
              <w:jc w:val="center"/>
              <w:rPr>
                <w:rFonts w:hint="eastAsia" w:asciiTheme="minorEastAsia" w:hAnsiTheme="minorEastAsia" w:eastAsiaTheme="minorEastAsia" w:cstheme="minorEastAsia"/>
                <w:sz w:val="20"/>
                <w:szCs w:val="20"/>
              </w:rPr>
            </w:pPr>
          </w:p>
        </w:tc>
        <w:tc>
          <w:tcPr>
            <w:tcW w:w="6219" w:type="dxa"/>
            <w:vAlign w:val="center"/>
          </w:tcPr>
          <w:p w14:paraId="3A508214">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危急值接报响应等级至少包括：分Ⅰ（立即）、Ⅱ（15分钟）、Ⅲ（30分钟）级等多个等级。</w:t>
            </w:r>
          </w:p>
        </w:tc>
      </w:tr>
      <w:tr w14:paraId="50D4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753CB576">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40343B36">
            <w:pPr>
              <w:jc w:val="center"/>
              <w:rPr>
                <w:rFonts w:hint="eastAsia" w:asciiTheme="minorEastAsia" w:hAnsiTheme="minorEastAsia" w:eastAsiaTheme="minorEastAsia" w:cstheme="minorEastAsia"/>
                <w:sz w:val="20"/>
                <w:szCs w:val="20"/>
              </w:rPr>
            </w:pPr>
          </w:p>
        </w:tc>
        <w:tc>
          <w:tcPr>
            <w:tcW w:w="6219" w:type="dxa"/>
            <w:vAlign w:val="center"/>
          </w:tcPr>
          <w:p w14:paraId="1718239E">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提供门诊、体检危急值集中地回报；在门诊部设置危急值接收终端，将门诊危急值发送到门诊部，通知门诊部联系患者并作处理登记。</w:t>
            </w:r>
          </w:p>
        </w:tc>
      </w:tr>
      <w:tr w14:paraId="5A4C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2B4BC8E5">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447FF813">
            <w:pPr>
              <w:jc w:val="center"/>
              <w:rPr>
                <w:rFonts w:hint="eastAsia" w:asciiTheme="minorEastAsia" w:hAnsiTheme="minorEastAsia" w:eastAsiaTheme="minorEastAsia" w:cstheme="minorEastAsia"/>
                <w:sz w:val="20"/>
                <w:szCs w:val="20"/>
              </w:rPr>
            </w:pPr>
          </w:p>
        </w:tc>
        <w:tc>
          <w:tcPr>
            <w:tcW w:w="6219" w:type="dxa"/>
            <w:vAlign w:val="center"/>
          </w:tcPr>
          <w:p w14:paraId="2DA4C1E3">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临床接报通过临床消息终端进行显示和处理，如果是一级报警将自动弹出消息窗口到工作站前端，如果是二、三级报警将以闪烁形式在工作站右下角显示；临床消息终端可以直接进行接报/回馈、转科、危急值报告单打印、危急值信息复制等操作，可以对历史危急值进行查询浏览，并可形成危急值清单存档和打印。</w:t>
            </w:r>
          </w:p>
        </w:tc>
      </w:tr>
      <w:tr w14:paraId="2A5D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6040CD93">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53B16E1D">
            <w:pPr>
              <w:jc w:val="center"/>
              <w:rPr>
                <w:rFonts w:hint="eastAsia" w:asciiTheme="minorEastAsia" w:hAnsiTheme="minorEastAsia" w:eastAsiaTheme="minorEastAsia" w:cstheme="minorEastAsia"/>
                <w:sz w:val="20"/>
                <w:szCs w:val="20"/>
              </w:rPr>
            </w:pPr>
          </w:p>
        </w:tc>
        <w:tc>
          <w:tcPr>
            <w:tcW w:w="6219" w:type="dxa"/>
            <w:vAlign w:val="center"/>
          </w:tcPr>
          <w:p w14:paraId="460BECBA">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能完整准确记录以下时间及时间差：检验危急值报警时间-检验危急值被感知时间-检验危急值复核完成时间-检验危急值报告时间-临床危急值阅读时间-报警-被感知时间差-报警-报告时间差-阅读-报告时间差。</w:t>
            </w:r>
          </w:p>
        </w:tc>
      </w:tr>
      <w:tr w14:paraId="51F4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31355FA9">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675FFA30">
            <w:pPr>
              <w:jc w:val="center"/>
              <w:rPr>
                <w:rFonts w:hint="eastAsia" w:asciiTheme="minorEastAsia" w:hAnsiTheme="minorEastAsia" w:eastAsiaTheme="minorEastAsia" w:cstheme="minorEastAsia"/>
                <w:sz w:val="20"/>
                <w:szCs w:val="20"/>
              </w:rPr>
            </w:pPr>
          </w:p>
        </w:tc>
        <w:tc>
          <w:tcPr>
            <w:tcW w:w="6219" w:type="dxa"/>
            <w:vAlign w:val="center"/>
          </w:tcPr>
          <w:p w14:paraId="5A8FFB23">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可根据病人的年龄、性别、标本种类、科别、临床诊断来分别设定危急值。</w:t>
            </w:r>
          </w:p>
        </w:tc>
      </w:tr>
      <w:tr w14:paraId="11F3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63DA9DCE">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4BABA3D8">
            <w:pPr>
              <w:ind w:left="240" w:hanging="240"/>
              <w:jc w:val="center"/>
              <w:rPr>
                <w:rFonts w:hint="eastAsia" w:asciiTheme="minorEastAsia" w:hAnsiTheme="minorEastAsia" w:eastAsiaTheme="minorEastAsia" w:cstheme="minorEastAsia"/>
                <w:sz w:val="20"/>
                <w:szCs w:val="20"/>
              </w:rPr>
            </w:pPr>
          </w:p>
        </w:tc>
        <w:tc>
          <w:tcPr>
            <w:tcW w:w="6219" w:type="dxa"/>
            <w:vAlign w:val="center"/>
          </w:tcPr>
          <w:p w14:paraId="26D26590">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可根据病人诊断或科别和结果范围设置报警周期；对微生物阳性结果和特殊耐药可以以危急值形式回报临床。</w:t>
            </w:r>
          </w:p>
        </w:tc>
      </w:tr>
      <w:tr w14:paraId="1662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4FB3DBA3">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01312B3E">
            <w:pPr>
              <w:ind w:left="240" w:hanging="240"/>
              <w:jc w:val="center"/>
              <w:rPr>
                <w:rFonts w:hint="eastAsia" w:asciiTheme="minorEastAsia" w:hAnsiTheme="minorEastAsia" w:eastAsiaTheme="minorEastAsia" w:cstheme="minorEastAsia"/>
                <w:sz w:val="20"/>
                <w:szCs w:val="20"/>
              </w:rPr>
            </w:pPr>
          </w:p>
        </w:tc>
        <w:tc>
          <w:tcPr>
            <w:tcW w:w="6219" w:type="dxa"/>
            <w:vAlign w:val="center"/>
          </w:tcPr>
          <w:p w14:paraId="2187ADE9">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危急值报告方式多样化，可以通过网络、短信、微信等多种方式进行回报，也可人工判断之后进行回报。</w:t>
            </w:r>
          </w:p>
        </w:tc>
      </w:tr>
      <w:tr w14:paraId="65A3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73852796">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6FDA1FBB">
            <w:pPr>
              <w:ind w:left="240" w:hanging="240"/>
              <w:jc w:val="center"/>
              <w:rPr>
                <w:rFonts w:hint="eastAsia" w:asciiTheme="minorEastAsia" w:hAnsiTheme="minorEastAsia" w:eastAsiaTheme="minorEastAsia" w:cstheme="minorEastAsia"/>
                <w:sz w:val="20"/>
                <w:szCs w:val="20"/>
              </w:rPr>
            </w:pPr>
          </w:p>
        </w:tc>
        <w:tc>
          <w:tcPr>
            <w:tcW w:w="6219" w:type="dxa"/>
            <w:vAlign w:val="center"/>
          </w:tcPr>
          <w:p w14:paraId="0C2ADFE9">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接报模式多样化，可以是门诊病人、门诊办接报,也可以是医生、护士同时接报，也可以是先由护士接报然后医生确认。</w:t>
            </w:r>
          </w:p>
        </w:tc>
      </w:tr>
      <w:tr w14:paraId="51FE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55B18B23">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3683AA90">
            <w:pPr>
              <w:ind w:left="240" w:hanging="240"/>
              <w:jc w:val="center"/>
              <w:rPr>
                <w:rFonts w:hint="eastAsia" w:asciiTheme="minorEastAsia" w:hAnsiTheme="minorEastAsia" w:eastAsiaTheme="minorEastAsia" w:cstheme="minorEastAsia"/>
                <w:sz w:val="20"/>
                <w:szCs w:val="20"/>
              </w:rPr>
            </w:pPr>
          </w:p>
        </w:tc>
        <w:tc>
          <w:tcPr>
            <w:tcW w:w="6219" w:type="dxa"/>
            <w:vAlign w:val="center"/>
          </w:tcPr>
          <w:p w14:paraId="10571962">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仪器分析完成后将数据传送到LIS系统，LIS系统能根据危急值规则对危急值进行预警。</w:t>
            </w:r>
          </w:p>
        </w:tc>
      </w:tr>
      <w:tr w14:paraId="476A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6ADA9AB3">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5255DEE4">
            <w:pPr>
              <w:ind w:left="240" w:hanging="240"/>
              <w:jc w:val="center"/>
              <w:rPr>
                <w:rFonts w:hint="eastAsia" w:asciiTheme="minorEastAsia" w:hAnsiTheme="minorEastAsia" w:eastAsiaTheme="minorEastAsia" w:cstheme="minorEastAsia"/>
                <w:sz w:val="20"/>
                <w:szCs w:val="20"/>
              </w:rPr>
            </w:pPr>
          </w:p>
        </w:tc>
        <w:tc>
          <w:tcPr>
            <w:tcW w:w="6219" w:type="dxa"/>
            <w:vAlign w:val="center"/>
          </w:tcPr>
          <w:p w14:paraId="20D716B6">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危急值预警信息、超时报警信息均可以通过大屏幕和工作站消息终端进行显示，超时报警形式将以更加强烈形式进行提示。工作站消息终端直接可以进行进一步处理，处理的动作包括感知确认、危急值消除、复查、报告、电话报告登记等操作。</w:t>
            </w:r>
          </w:p>
        </w:tc>
      </w:tr>
      <w:tr w14:paraId="3BDD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735C8D44">
            <w:pPr>
              <w:pStyle w:val="10"/>
              <w:numPr>
                <w:ilvl w:val="0"/>
                <w:numId w:val="0"/>
              </w:numPr>
              <w:ind w:leftChar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13</w:t>
            </w:r>
          </w:p>
        </w:tc>
        <w:tc>
          <w:tcPr>
            <w:tcW w:w="1806" w:type="dxa"/>
            <w:vMerge w:val="restart"/>
            <w:vAlign w:val="center"/>
          </w:tcPr>
          <w:p w14:paraId="4E2ABD6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智能报表平台</w:t>
            </w:r>
          </w:p>
        </w:tc>
        <w:tc>
          <w:tcPr>
            <w:tcW w:w="6219" w:type="dxa"/>
            <w:vAlign w:val="center"/>
          </w:tcPr>
          <w:p w14:paraId="1648294F">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提供独立的对按照ISO15189要求对实验室业务情况进行统计分析的专业工具。</w:t>
            </w:r>
          </w:p>
        </w:tc>
      </w:tr>
      <w:tr w14:paraId="544E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663CE72A">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6C390EF5">
            <w:pPr>
              <w:jc w:val="center"/>
              <w:rPr>
                <w:rFonts w:hint="eastAsia" w:asciiTheme="minorEastAsia" w:hAnsiTheme="minorEastAsia" w:eastAsiaTheme="minorEastAsia" w:cstheme="minorEastAsia"/>
                <w:sz w:val="20"/>
                <w:szCs w:val="20"/>
              </w:rPr>
            </w:pPr>
          </w:p>
        </w:tc>
        <w:tc>
          <w:tcPr>
            <w:tcW w:w="6219" w:type="dxa"/>
            <w:vAlign w:val="center"/>
          </w:tcPr>
          <w:p w14:paraId="366A3DAE">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可以预先设定分析条件并作为统计分析方法进行保存并添加到我的关注，便于后期经常性统计分析浏览。</w:t>
            </w:r>
          </w:p>
        </w:tc>
      </w:tr>
      <w:tr w14:paraId="1CD2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54C2A644">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16C221C5">
            <w:pPr>
              <w:jc w:val="center"/>
              <w:rPr>
                <w:rFonts w:hint="eastAsia" w:asciiTheme="minorEastAsia" w:hAnsiTheme="minorEastAsia" w:eastAsiaTheme="minorEastAsia" w:cstheme="minorEastAsia"/>
                <w:sz w:val="20"/>
                <w:szCs w:val="20"/>
              </w:rPr>
            </w:pPr>
          </w:p>
        </w:tc>
        <w:tc>
          <w:tcPr>
            <w:tcW w:w="6219" w:type="dxa"/>
            <w:vAlign w:val="center"/>
          </w:tcPr>
          <w:p w14:paraId="43B85694">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可以手工或自动对统计分析后需要存档的报表进行归档管理。</w:t>
            </w:r>
          </w:p>
        </w:tc>
      </w:tr>
      <w:tr w14:paraId="70C6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27187FCD">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41F88892">
            <w:pPr>
              <w:jc w:val="center"/>
              <w:rPr>
                <w:rFonts w:hint="eastAsia" w:asciiTheme="minorEastAsia" w:hAnsiTheme="minorEastAsia" w:eastAsiaTheme="minorEastAsia" w:cstheme="minorEastAsia"/>
                <w:sz w:val="20"/>
                <w:szCs w:val="20"/>
              </w:rPr>
            </w:pPr>
          </w:p>
        </w:tc>
        <w:tc>
          <w:tcPr>
            <w:tcW w:w="6219" w:type="dxa"/>
            <w:vAlign w:val="center"/>
          </w:tcPr>
          <w:p w14:paraId="5B551CC4">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提供统计分析报表库供用户自行选择应用，并可以以下类别进行分类管理。</w:t>
            </w:r>
          </w:p>
        </w:tc>
      </w:tr>
      <w:tr w14:paraId="3D57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56BE2422">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6817C24A">
            <w:pPr>
              <w:jc w:val="center"/>
              <w:rPr>
                <w:rFonts w:hint="eastAsia" w:asciiTheme="minorEastAsia" w:hAnsiTheme="minorEastAsia" w:eastAsiaTheme="minorEastAsia" w:cstheme="minorEastAsia"/>
                <w:sz w:val="20"/>
                <w:szCs w:val="20"/>
              </w:rPr>
            </w:pPr>
          </w:p>
        </w:tc>
        <w:tc>
          <w:tcPr>
            <w:tcW w:w="6219" w:type="dxa"/>
            <w:vAlign w:val="center"/>
          </w:tcPr>
          <w:p w14:paraId="0353ACAF">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超出统计分析报表库之外，可以根据用户要求增加用户自定义分析报表。</w:t>
            </w:r>
          </w:p>
        </w:tc>
      </w:tr>
      <w:tr w14:paraId="0EC2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07D7C0CE">
            <w:pPr>
              <w:pStyle w:val="10"/>
              <w:ind w:firstLineChars="0"/>
              <w:jc w:val="center"/>
              <w:rPr>
                <w:rFonts w:hint="eastAsia" w:asciiTheme="minorEastAsia" w:hAnsiTheme="minorEastAsia" w:eastAsiaTheme="minorEastAsia" w:cstheme="minorEastAsia"/>
                <w:sz w:val="20"/>
                <w:szCs w:val="20"/>
              </w:rPr>
            </w:pPr>
          </w:p>
        </w:tc>
        <w:tc>
          <w:tcPr>
            <w:tcW w:w="1806" w:type="dxa"/>
            <w:vMerge w:val="continue"/>
            <w:vAlign w:val="center"/>
          </w:tcPr>
          <w:p w14:paraId="4CDE5189">
            <w:pPr>
              <w:jc w:val="center"/>
              <w:rPr>
                <w:rFonts w:hint="eastAsia" w:asciiTheme="minorEastAsia" w:hAnsiTheme="minorEastAsia" w:eastAsiaTheme="minorEastAsia" w:cstheme="minorEastAsia"/>
                <w:sz w:val="20"/>
                <w:szCs w:val="20"/>
              </w:rPr>
            </w:pPr>
          </w:p>
        </w:tc>
        <w:tc>
          <w:tcPr>
            <w:tcW w:w="6219" w:type="dxa"/>
            <w:vAlign w:val="center"/>
          </w:tcPr>
          <w:p w14:paraId="2E851A97">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分析报表支持数据列表和图表等多种形式输出。</w:t>
            </w:r>
          </w:p>
        </w:tc>
      </w:tr>
      <w:tr w14:paraId="6127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1638965D">
            <w:pPr>
              <w:pStyle w:val="10"/>
              <w:numPr>
                <w:ilvl w:val="0"/>
                <w:numId w:val="0"/>
              </w:numPr>
              <w:ind w:leftChar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14</w:t>
            </w:r>
          </w:p>
        </w:tc>
        <w:tc>
          <w:tcPr>
            <w:tcW w:w="1806" w:type="dxa"/>
            <w:vMerge w:val="restart"/>
            <w:vAlign w:val="center"/>
          </w:tcPr>
          <w:p w14:paraId="231ABCD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智能检验专业</w:t>
            </w:r>
          </w:p>
          <w:p w14:paraId="6230950D">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质量指标统计与上报</w:t>
            </w:r>
          </w:p>
        </w:tc>
        <w:tc>
          <w:tcPr>
            <w:tcW w:w="6219" w:type="dxa"/>
            <w:vAlign w:val="center"/>
          </w:tcPr>
          <w:p w14:paraId="496BFAD7">
            <w:pP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依据全国、各省市实验室要求设定实验室质量指标方案，自动采集Hbi中工作量、TAT、危急值、不合格样本、室内质控等分析方案数据以及项目质量方案数据汇总显示质量指标，部分手工数据在线填报，并完成全国、各省市质量指标数据一键上报。</w:t>
            </w:r>
          </w:p>
        </w:tc>
      </w:tr>
      <w:tr w14:paraId="58EC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tcPr>
          <w:p w14:paraId="479CFFB5">
            <w:pPr>
              <w:pStyle w:val="10"/>
              <w:ind w:firstLineChars="0"/>
              <w:jc w:val="center"/>
              <w:rPr>
                <w:rFonts w:hint="eastAsia" w:asciiTheme="minorEastAsia" w:hAnsiTheme="minorEastAsia" w:eastAsiaTheme="minorEastAsia" w:cstheme="minorEastAsia"/>
                <w:sz w:val="20"/>
                <w:szCs w:val="20"/>
              </w:rPr>
            </w:pPr>
          </w:p>
        </w:tc>
        <w:tc>
          <w:tcPr>
            <w:tcW w:w="1806" w:type="dxa"/>
            <w:vMerge w:val="continue"/>
          </w:tcPr>
          <w:p w14:paraId="339B5E21">
            <w:pPr>
              <w:jc w:val="center"/>
              <w:rPr>
                <w:rFonts w:hint="eastAsia" w:asciiTheme="minorEastAsia" w:hAnsiTheme="minorEastAsia" w:eastAsiaTheme="minorEastAsia" w:cstheme="minorEastAsia"/>
                <w:sz w:val="20"/>
                <w:szCs w:val="20"/>
              </w:rPr>
            </w:pPr>
          </w:p>
        </w:tc>
        <w:tc>
          <w:tcPr>
            <w:tcW w:w="6219" w:type="dxa"/>
            <w:vAlign w:val="center"/>
          </w:tcPr>
          <w:p w14:paraId="09EBF554">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业务数据深度清洗；</w:t>
            </w:r>
          </w:p>
          <w:p w14:paraId="2E7CDB86">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rPr>
              <w:t>分析数据存入Clickhouse列式数据库（数仓）；</w:t>
            </w:r>
          </w:p>
          <w:p w14:paraId="19828D5D">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有效剔除无效样本；</w:t>
            </w:r>
          </w:p>
          <w:p w14:paraId="4AE32F23">
            <w:pPr>
              <w:pStyle w:val="10"/>
              <w:numPr>
                <w:ilvl w:val="0"/>
                <w:numId w:val="0"/>
              </w:numPr>
              <w:ind w:leftChars="0"/>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rPr>
              <w:t>指标数据直接链接分析方案；</w:t>
            </w:r>
          </w:p>
          <w:p w14:paraId="4E588ED5">
            <w:pPr>
              <w:pStyle w:val="10"/>
              <w:numPr>
                <w:ilvl w:val="0"/>
                <w:numId w:val="0"/>
              </w:numPr>
              <w:ind w:leftChars="0"/>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5.</w:t>
            </w:r>
            <w:r>
              <w:rPr>
                <w:rFonts w:hint="eastAsia" w:asciiTheme="minorEastAsia" w:hAnsiTheme="minorEastAsia" w:eastAsiaTheme="minorEastAsia" w:cstheme="minorEastAsia"/>
                <w:sz w:val="20"/>
                <w:szCs w:val="20"/>
              </w:rPr>
              <w:t>内嵌全国、各省市数据上报格式。</w:t>
            </w:r>
          </w:p>
        </w:tc>
      </w:tr>
      <w:tr w14:paraId="5AC0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30" w:type="dxa"/>
            <w:vAlign w:val="center"/>
          </w:tcPr>
          <w:p w14:paraId="51EA7BC2">
            <w:pPr>
              <w:pStyle w:val="10"/>
              <w:numPr>
                <w:ilvl w:val="0"/>
                <w:numId w:val="0"/>
              </w:numPr>
              <w:ind w:leftChar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15</w:t>
            </w:r>
          </w:p>
        </w:tc>
        <w:tc>
          <w:tcPr>
            <w:tcW w:w="1806" w:type="dxa"/>
            <w:vAlign w:val="center"/>
          </w:tcPr>
          <w:p w14:paraId="5B7C0D9E">
            <w:pPr>
              <w:jc w:val="center"/>
              <w:rPr>
                <w:rFonts w:hint="eastAsia" w:asciiTheme="minorEastAsia" w:hAnsiTheme="minorEastAsia" w:eastAsiaTheme="minorEastAsia" w:cstheme="minorEastAsia"/>
                <w:color w:val="auto"/>
                <w:sz w:val="20"/>
                <w:szCs w:val="20"/>
                <w:lang w:val="en-US" w:eastAsia="zh-CN"/>
              </w:rPr>
            </w:pPr>
            <w:r>
              <w:rPr>
                <w:rFonts w:hint="eastAsia" w:ascii="宋体" w:hAnsi="宋体" w:eastAsia="宋体" w:cs="宋体"/>
                <w:b/>
                <w:bCs/>
                <w:color w:val="auto"/>
                <w:sz w:val="20"/>
                <w:szCs w:val="20"/>
                <w:vertAlign w:val="baseline"/>
                <w:lang w:val="en-US" w:eastAsia="zh-CN"/>
              </w:rPr>
              <w:t>★</w:t>
            </w:r>
            <w:r>
              <w:rPr>
                <w:rFonts w:hint="eastAsia" w:asciiTheme="minorEastAsia" w:hAnsiTheme="minorEastAsia" w:eastAsiaTheme="minorEastAsia" w:cstheme="minorEastAsia"/>
                <w:b/>
                <w:bCs/>
                <w:color w:val="auto"/>
                <w:sz w:val="20"/>
                <w:szCs w:val="20"/>
                <w:lang w:val="en-US" w:eastAsia="zh-CN"/>
              </w:rPr>
              <w:t>备注（提供服务承诺）</w:t>
            </w:r>
          </w:p>
        </w:tc>
        <w:tc>
          <w:tcPr>
            <w:tcW w:w="6219" w:type="dxa"/>
            <w:vAlign w:val="center"/>
          </w:tcPr>
          <w:p w14:paraId="601CC541">
            <w:pPr>
              <w:numPr>
                <w:ilvl w:val="0"/>
                <w:numId w:val="2"/>
              </w:numPr>
              <w:rPr>
                <w:rFonts w:hint="eastAsia"/>
              </w:rPr>
            </w:pPr>
            <w:r>
              <w:rPr>
                <w:rFonts w:hint="eastAsia" w:asciiTheme="minorEastAsia" w:hAnsiTheme="minorEastAsia" w:eastAsiaTheme="minorEastAsia" w:cstheme="minorEastAsia"/>
                <w:color w:val="auto"/>
                <w:sz w:val="20"/>
                <w:szCs w:val="20"/>
                <w:lang w:val="en-US" w:eastAsia="zh-CN"/>
              </w:rPr>
              <w:t>正式验收交付之前，免费接入院方所有第三方系统接口及仪器设备连接。</w:t>
            </w:r>
          </w:p>
          <w:p w14:paraId="39A35E94">
            <w:pPr>
              <w:numPr>
                <w:ilvl w:val="0"/>
                <w:numId w:val="2"/>
              </w:numPr>
              <w:rPr>
                <w:rFonts w:hint="eastAsia"/>
              </w:rPr>
            </w:pPr>
            <w:r>
              <w:rPr>
                <w:rFonts w:hint="eastAsia" w:asciiTheme="minorEastAsia" w:hAnsiTheme="minorEastAsia" w:eastAsiaTheme="minorEastAsia" w:cstheme="minorEastAsia"/>
                <w:color w:val="auto"/>
                <w:sz w:val="20"/>
                <w:szCs w:val="20"/>
                <w:lang w:val="en-US" w:eastAsia="zh-CN"/>
              </w:rPr>
              <w:t>质保期内，免费开放本系统接口及第三方系统的接口接入与研发等相关工作</w:t>
            </w:r>
            <w:r>
              <w:rPr>
                <w:rFonts w:hint="eastAsia"/>
                <w:lang w:eastAsia="zh-CN"/>
              </w:rPr>
              <w:t>。</w:t>
            </w:r>
          </w:p>
          <w:p w14:paraId="6D7468C2">
            <w:pPr>
              <w:numPr>
                <w:ilvl w:val="0"/>
                <w:numId w:val="2"/>
              </w:numPr>
              <w:rPr>
                <w:rFonts w:hint="eastAsia"/>
              </w:rPr>
            </w:pPr>
            <w:r>
              <w:rPr>
                <w:rFonts w:hint="eastAsia" w:asciiTheme="minorEastAsia" w:hAnsiTheme="minorEastAsia" w:eastAsiaTheme="minorEastAsia" w:cstheme="minorEastAsia"/>
                <w:color w:val="auto"/>
                <w:sz w:val="20"/>
                <w:szCs w:val="20"/>
                <w:lang w:val="en-US" w:eastAsia="zh-CN"/>
              </w:rPr>
              <w:t>因本次LIS系统升级是在院方原有的服务器进行升级改造，所以后期根据上级部门要求如需国产化适配、迁移服务器及数据库等，LIS厂家应在确保系统及数据安全的情况下无条件免费、积极完成相关迁移工作。</w:t>
            </w:r>
          </w:p>
        </w:tc>
      </w:tr>
    </w:tbl>
    <w:p w14:paraId="527B4399">
      <w:pPr>
        <w:rPr>
          <w:rFonts w:hint="eastAsia"/>
          <w:b/>
          <w:bCs/>
          <w:lang w:val="en-US" w:eastAsia="zh-CN"/>
        </w:rPr>
      </w:pPr>
      <w:r>
        <w:rPr>
          <w:rFonts w:hint="eastAsia"/>
          <w:b/>
          <w:bCs/>
          <w:lang w:val="en-US" w:eastAsia="zh-CN"/>
        </w:rPr>
        <w:br w:type="page"/>
      </w:r>
    </w:p>
    <w:p w14:paraId="25618F67">
      <w:pPr>
        <w:pStyle w:val="6"/>
        <w:keepNext w:val="0"/>
        <w:keepLines w:val="0"/>
        <w:pageBreakBefore w:val="0"/>
        <w:widowControl w:val="0"/>
        <w:kinsoku/>
        <w:wordWrap w:val="0"/>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（三）血液透析管理系统</w:t>
      </w:r>
    </w:p>
    <w:tbl>
      <w:tblPr>
        <w:tblStyle w:val="7"/>
        <w:tblW w:w="8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7"/>
        <w:gridCol w:w="7069"/>
      </w:tblGrid>
      <w:tr w14:paraId="3359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1B5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系统要求</w:t>
            </w:r>
          </w:p>
        </w:tc>
        <w:tc>
          <w:tcPr>
            <w:tcW w:w="7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DB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具体需求描述</w:t>
            </w:r>
          </w:p>
        </w:tc>
      </w:tr>
      <w:tr w14:paraId="041A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5183">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自助签到</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3C36">
            <w:pPr>
              <w:tabs>
                <w:tab w:val="left" w:pos="900"/>
                <w:tab w:val="left" w:pos="3813"/>
              </w:tabs>
              <w:spacing w:line="360" w:lineRule="auto"/>
              <w:ind w:firstLine="480"/>
              <w:rPr>
                <w:rFonts w:hint="eastAsia" w:ascii="宋体" w:hAnsi="宋体" w:eastAsia="宋体" w:cs="宋体"/>
                <w:i w:val="0"/>
                <w:iCs w:val="0"/>
                <w:color w:val="000000"/>
                <w:sz w:val="20"/>
                <w:szCs w:val="20"/>
                <w:u w:val="none"/>
              </w:rPr>
            </w:pPr>
            <w:r>
              <w:rPr>
                <w:rFonts w:hint="eastAsia" w:ascii="宋体" w:hAnsi="宋体" w:eastAsia="宋体" w:cs="宋体"/>
                <w:bCs/>
                <w:color w:val="000000"/>
                <w:sz w:val="20"/>
                <w:szCs w:val="20"/>
              </w:rPr>
              <w:t>支持二维码</w:t>
            </w:r>
            <w:r>
              <w:rPr>
                <w:rFonts w:hint="eastAsia" w:ascii="宋体" w:hAnsi="宋体" w:eastAsia="宋体" w:cs="宋体"/>
                <w:bCs/>
                <w:color w:val="000000"/>
                <w:sz w:val="20"/>
                <w:szCs w:val="20"/>
                <w:lang w:val="en-US" w:eastAsia="zh-CN"/>
              </w:rPr>
              <w:t>等</w:t>
            </w:r>
            <w:r>
              <w:rPr>
                <w:rFonts w:hint="eastAsia" w:ascii="宋体" w:hAnsi="宋体" w:eastAsia="宋体" w:cs="宋体"/>
                <w:bCs/>
                <w:color w:val="000000"/>
                <w:sz w:val="20"/>
                <w:szCs w:val="20"/>
              </w:rPr>
              <w:t>识别患者身份，实现透前体重和血压的自动传输。</w:t>
            </w:r>
          </w:p>
        </w:tc>
      </w:tr>
      <w:tr w14:paraId="3ADE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851B8">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中心总览</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72B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1、今日总览</w:t>
            </w:r>
          </w:p>
        </w:tc>
      </w:tr>
      <w:tr w14:paraId="70E0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8D16B">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9AA4">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sz w:val="20"/>
                <w:szCs w:val="20"/>
              </w:rPr>
              <w:t>▲</w:t>
            </w:r>
            <w:r>
              <w:rPr>
                <w:rFonts w:hint="eastAsia" w:ascii="宋体" w:hAnsi="宋体" w:eastAsia="宋体" w:cs="宋体"/>
                <w:i w:val="0"/>
                <w:iCs w:val="0"/>
                <w:color w:val="000000"/>
                <w:kern w:val="0"/>
                <w:sz w:val="20"/>
                <w:szCs w:val="20"/>
                <w:u w:val="none"/>
                <w:lang w:val="en-US" w:eastAsia="zh-CN" w:bidi="ar"/>
              </w:rPr>
              <w:t>系统可以查看当日全部或指定班次的透析患者、并发症、透析异常、异常下机、检验提醒、传染病提醒对应的数据展示。</w:t>
            </w:r>
          </w:p>
        </w:tc>
      </w:tr>
      <w:tr w14:paraId="24C0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5FA1">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F3B4">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2）今日治疗方案：可查看各治疗模式人数及占比。</w:t>
            </w:r>
          </w:p>
        </w:tc>
      </w:tr>
      <w:tr w14:paraId="7CE1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98DEA">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3C8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3）今日血管通路分布：可查看透析患者使用通路类型数量及占比。</w:t>
            </w:r>
          </w:p>
        </w:tc>
      </w:tr>
      <w:tr w14:paraId="7376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EF50C">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A38">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4）今日班次患者分布：可查看各班次患者数量及占比。</w:t>
            </w:r>
          </w:p>
        </w:tc>
      </w:tr>
      <w:tr w14:paraId="7969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EC7B">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6F8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5）今日透析患者分布：可查看各区透析患者数量及占比。</w:t>
            </w:r>
          </w:p>
        </w:tc>
      </w:tr>
      <w:tr w14:paraId="4807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3A195">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2FA0">
            <w:pPr>
              <w:keepNext w:val="0"/>
              <w:keepLines w:val="0"/>
              <w:widowControl/>
              <w:numPr>
                <w:ilvl w:val="0"/>
                <w:numId w:val="3"/>
              </w:numPr>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20"/>
                <w:szCs w:val="20"/>
              </w:rPr>
              <w:t>▲</w:t>
            </w:r>
            <w:r>
              <w:rPr>
                <w:rFonts w:hint="eastAsia" w:ascii="宋体" w:hAnsi="宋体" w:eastAsia="宋体" w:cs="宋体"/>
                <w:i w:val="0"/>
                <w:iCs w:val="0"/>
                <w:color w:val="000000"/>
                <w:kern w:val="0"/>
                <w:sz w:val="20"/>
                <w:szCs w:val="20"/>
                <w:u w:val="none"/>
                <w:lang w:val="en-US" w:eastAsia="zh-CN" w:bidi="ar"/>
              </w:rPr>
              <w:t>透析进度情况汇总：可通过班次、透析区域、我的关注、标签管理等筛选方式查看患者透析进度以及占比情况，且该页面支持打印和下载。</w:t>
            </w:r>
          </w:p>
        </w:tc>
      </w:tr>
      <w:tr w14:paraId="7521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AAA1">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52EA">
            <w:pPr>
              <w:keepNext w:val="0"/>
              <w:keepLines w:val="0"/>
              <w:widowControl/>
              <w:numPr>
                <w:ilvl w:val="0"/>
                <w:numId w:val="3"/>
              </w:numPr>
              <w:suppressLineNumbers w:val="0"/>
              <w:spacing w:line="360" w:lineRule="auto"/>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20"/>
                <w:szCs w:val="20"/>
              </w:rPr>
              <w:t>▲</w:t>
            </w:r>
            <w:r>
              <w:rPr>
                <w:rFonts w:hint="eastAsia" w:ascii="宋体" w:hAnsi="宋体" w:eastAsia="宋体" w:cs="宋体"/>
                <w:i w:val="0"/>
                <w:iCs w:val="0"/>
                <w:color w:val="000000"/>
                <w:kern w:val="0"/>
                <w:sz w:val="20"/>
                <w:szCs w:val="20"/>
                <w:u w:val="none"/>
                <w:lang w:val="en-US" w:eastAsia="zh-CN" w:bidi="ar"/>
              </w:rPr>
              <w:t>患者动态详情：可通过班次、透析区域、我的关注、标签管理等筛选方式查看患者每一步流程的操作医生或护士，以及操作时间等，方便医护人员溯源，且该详情页面支持打印和下载。</w:t>
            </w:r>
          </w:p>
        </w:tc>
      </w:tr>
      <w:tr w14:paraId="7AD6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40251">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49E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2、透析总览</w:t>
            </w:r>
          </w:p>
        </w:tc>
      </w:tr>
      <w:tr w14:paraId="569E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649E4">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3BB0">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sz w:val="20"/>
                <w:szCs w:val="20"/>
              </w:rPr>
              <w:t>▲</w:t>
            </w:r>
            <w:r>
              <w:rPr>
                <w:rFonts w:hint="eastAsia" w:ascii="宋体" w:hAnsi="宋体" w:eastAsia="宋体" w:cs="宋体"/>
                <w:i w:val="0"/>
                <w:iCs w:val="0"/>
                <w:color w:val="000000"/>
                <w:kern w:val="0"/>
                <w:sz w:val="20"/>
                <w:szCs w:val="20"/>
                <w:u w:val="none"/>
                <w:lang w:val="en-US" w:eastAsia="zh-CN" w:bidi="ar"/>
              </w:rPr>
              <w:t>可根据医护不同需求，进行不同时间段内透析中心运营情况的统计报表，报表包含透析模式、通路统计、抗凝统计、透析器统计、灌流器统计、就诊类型、临时/长期、性别、费用类型、透析管路、透析龄统计、年龄统计、凝血统计、超滤达标统计、血压统计、体重统计、IDWG统计、护理评估、并发症统计、异常下机等20组统计报表。</w:t>
            </w:r>
          </w:p>
        </w:tc>
      </w:tr>
      <w:tr w14:paraId="2B37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F89E5">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DC7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2）以上所有的统计报表均支持指定日期、班次和病区的多条件筛选，以及展示统计详情，且支持下载数据。</w:t>
            </w:r>
          </w:p>
        </w:tc>
      </w:tr>
      <w:tr w14:paraId="602C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FC9C5">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80C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3、今日总览和透析总览配置</w:t>
            </w:r>
          </w:p>
        </w:tc>
      </w:tr>
      <w:tr w14:paraId="3A1D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537C">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BEC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1）系统支持通过今日总览和透析总览的配置，可自定义展示是否在主页面显示改项目、可自定义统计类型：饼状、柱状、折线图等方式。</w:t>
            </w:r>
          </w:p>
        </w:tc>
      </w:tr>
      <w:tr w14:paraId="6718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F6FC">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60F0">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4、公告中心</w:t>
            </w:r>
          </w:p>
        </w:tc>
      </w:tr>
      <w:tr w14:paraId="030F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A472">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7D70">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1）系统支持发布公告，且该功能可上传pdf等文件。</w:t>
            </w:r>
          </w:p>
        </w:tc>
      </w:tr>
      <w:tr w14:paraId="45AC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49F12">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透析管理</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87D5">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1、系统支持把透析室物理上的空间虚拟进入软件，分为候诊室和透析区。</w:t>
            </w:r>
          </w:p>
        </w:tc>
      </w:tr>
      <w:tr w14:paraId="1DB9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2252">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B721">
            <w:pPr>
              <w:keepNext w:val="0"/>
              <w:keepLines w:val="0"/>
              <w:widowControl/>
              <w:numPr>
                <w:ilvl w:val="0"/>
                <w:numId w:val="4"/>
              </w:numPr>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至少支持列表和卡片两种方式展示透析患者治疗数据，数据至少包括但不限于患者的姓名、床号、本次治疗剩余的时间、当前所处透析流程，患者头像支持拍照记录功能。方便医护快速掌握患者当天治疗状态和进行治疗操作。床位卡上显示当前医护需要执行的操作按钮，并且操作按钮会根据工作流程自动变化。</w:t>
            </w:r>
          </w:p>
        </w:tc>
      </w:tr>
      <w:tr w14:paraId="1BE8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C370F">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CC7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3、备忘录</w:t>
            </w:r>
          </w:p>
        </w:tc>
      </w:tr>
      <w:tr w14:paraId="4F4D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172F1">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9726">
            <w:pPr>
              <w:keepNext w:val="0"/>
              <w:keepLines w:val="0"/>
              <w:widowControl/>
              <w:numPr>
                <w:ilvl w:val="0"/>
                <w:numId w:val="5"/>
              </w:numPr>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▲能够根据患者姓名\简称、记录人，查询医护人员对患者透析过程当中的重要事项进行记录并在透析卡片上进行提醒。</w:t>
            </w:r>
          </w:p>
        </w:tc>
      </w:tr>
      <w:tr w14:paraId="605F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0763">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7E11">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2）展示内容至少包括：记录时间、事项内容、患者名称、提醒日期、记录人、状态。</w:t>
            </w:r>
          </w:p>
        </w:tc>
      </w:tr>
      <w:tr w14:paraId="3D5A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C5ED8">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A6A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4、过敏药物登记</w:t>
            </w:r>
          </w:p>
        </w:tc>
      </w:tr>
      <w:tr w14:paraId="0D46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2E5C7">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8FA8">
            <w:pPr>
              <w:keepNext w:val="0"/>
              <w:keepLines w:val="0"/>
              <w:widowControl/>
              <w:numPr>
                <w:ilvl w:val="0"/>
                <w:numId w:val="6"/>
              </w:numPr>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▲能够根据患者姓名、患者状态批量记录和查询已转归和在透患者的过敏药物数据，并在透析卡片上进行提醒。</w:t>
            </w:r>
          </w:p>
        </w:tc>
      </w:tr>
      <w:tr w14:paraId="5213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1BB8">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FCD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2）展示内容至少包括：病人号、患者姓名、性别、年龄、过敏药物、备注、登记人、登记时间。</w:t>
            </w:r>
          </w:p>
        </w:tc>
      </w:tr>
      <w:tr w14:paraId="70EF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BF25C">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CFB">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5、每日汇总</w:t>
            </w:r>
          </w:p>
        </w:tc>
      </w:tr>
      <w:tr w14:paraId="2D6B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0B17">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384A">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系统以表格形式可统计每天透析患者信息（姓名、性别、年龄、透析号），透析信息（床号、病区、班次、透析模式），生命体征（透前血压、透前心率、透后血压，透后心率），体重信息（透前体重、透后体重、干体重），耗材信息，抗凝信息等。且该表格支持自定义显示列，下载，打印。</w:t>
            </w:r>
          </w:p>
        </w:tc>
      </w:tr>
      <w:tr w14:paraId="6AE3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9A8B6">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5E54">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6、透前准备</w:t>
            </w:r>
          </w:p>
        </w:tc>
      </w:tr>
      <w:tr w14:paraId="4404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7C2C5">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315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1）系统能够根据患者排床信息和长期医嘱情况自动汇总未来班次的耗材和用药信息，且均支持批量打印，其中药品准备也支持瓶签打印。</w:t>
            </w:r>
          </w:p>
        </w:tc>
      </w:tr>
      <w:tr w14:paraId="420F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EBBC">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8DF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7、签到</w:t>
            </w:r>
          </w:p>
        </w:tc>
      </w:tr>
      <w:tr w14:paraId="65D48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7715">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5E4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1）系统能够与带有数据输出串口的体重秤、血压计进行联机，患者通过身份识别自助完成签到，并进行体重、血压称量，称量数据自动录入系统。同时，支持医护手动录入患者透前称量数据。</w:t>
            </w:r>
          </w:p>
        </w:tc>
      </w:tr>
      <w:tr w14:paraId="7440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C56EB">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724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8、制定处方</w:t>
            </w:r>
          </w:p>
        </w:tc>
      </w:tr>
      <w:tr w14:paraId="5474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9DEA5">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ACA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透析开始之前，医生根据患者称量数据为每个患者制定个性化的透析处方。系统为医生自动调出上一次使用同种透析模式时的透析处方（包括使用的抗凝方式，所选透析液的温度、流量、浓度以及所选透析器等），并可根据患者本次透前体重、上次透后体重、干体重，自动计算出本次透析预设的超滤量。</w:t>
            </w:r>
          </w:p>
        </w:tc>
      </w:tr>
      <w:tr w14:paraId="56E3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2868C">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0E7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系统提供简明历史，可以快速查看近期患者综合数据（干体重、IDWG、透前透后血压、透前透后体重、预超量、实超量）、患者评估、抗凝方案、医师记录等相关数据，辅助医生快速了解患者情况，调整治疗方案。</w:t>
            </w:r>
          </w:p>
        </w:tc>
      </w:tr>
      <w:tr w14:paraId="49DB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6FA54">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EF3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3）系统也提供例次记录功能，供医生查询患者以往透析记录单。</w:t>
            </w:r>
          </w:p>
        </w:tc>
      </w:tr>
      <w:tr w14:paraId="1256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468B6">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27E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4）若患者处方无数据，支持通过选取处方模板或长期处方快速制定处方，提高医生制定处方的效率。</w:t>
            </w:r>
          </w:p>
        </w:tc>
      </w:tr>
      <w:tr w14:paraId="38F9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7951B">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89BF">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9、核对处方</w:t>
            </w:r>
          </w:p>
        </w:tc>
      </w:tr>
      <w:tr w14:paraId="2CA1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25B7C">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7661">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1）护士根据患者实际情况核对医生制定的处方是否符合患者情况，若发现异常，可操作核对未通过并注明原因，并写明理由，该处方会返回至医生处,医生根据实际情况调整处方内容。</w:t>
            </w:r>
          </w:p>
        </w:tc>
      </w:tr>
      <w:tr w14:paraId="75F4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C7E6">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D97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2）核对处方时如本次处方与上次处方不一致，系统支持以橙色字体提示出本次处方和上次处方不一样的内容。</w:t>
            </w:r>
          </w:p>
        </w:tc>
      </w:tr>
      <w:tr w14:paraId="1AB8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89ECB">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A05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10、上机</w:t>
            </w:r>
          </w:p>
        </w:tc>
      </w:tr>
      <w:tr w14:paraId="3CF4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1F39">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ABF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护士确认患者当前状态，记录生命体征，评估患者通路情况，通路异常则支持通过平板拍照记录患者通路情况，并可查看内瘘患者的通路图片、穿刺点位置标注和穿刺历史，避免内瘘的重复穿刺，完成上机操作记录。</w:t>
            </w:r>
          </w:p>
        </w:tc>
      </w:tr>
      <w:tr w14:paraId="1A90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F0E1">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625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11、交叉核对</w:t>
            </w:r>
          </w:p>
        </w:tc>
      </w:tr>
      <w:tr w14:paraId="7067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CB64">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859C">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1）核对护士再次核对处方并检查机器参数设定、连接情况及管路情况，并由核对护士操作将患者转入到下一步治疗状态，核对护士与责任护士不可以是同一个人。</w:t>
            </w:r>
          </w:p>
        </w:tc>
      </w:tr>
      <w:tr w14:paraId="4AD0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3A810">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8CC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12、透中记录</w:t>
            </w:r>
          </w:p>
        </w:tc>
      </w:tr>
      <w:tr w14:paraId="6490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B047C">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FAD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护士每隔一段固定时间，对患者的生命体征、透析机的机器数据和患者的通路情况进行巡视和记录。系统需实现与透析机联机，自动采集患者血压脉搏的生命体征(透析机自身带有血压模块)和透析机的机器数据。</w:t>
            </w:r>
          </w:p>
        </w:tc>
      </w:tr>
      <w:tr w14:paraId="0625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98F17">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CD71">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2）治疗过程中，医生可开医嘱，护士执行医嘱。未执行的医嘱需在系统中床位卡上进行提示。</w:t>
            </w:r>
          </w:p>
        </w:tc>
      </w:tr>
      <w:tr w14:paraId="3BF1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965DD">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153C">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3）护士可勾选记录并发症的描述、原因和处理措施,并可拍照记录。</w:t>
            </w:r>
          </w:p>
        </w:tc>
      </w:tr>
      <w:tr w14:paraId="5BC5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99440">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5CA4">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13、透析下机</w:t>
            </w:r>
          </w:p>
        </w:tc>
      </w:tr>
      <w:tr w14:paraId="520C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E75B4">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5360">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1）患者完成透析后，系统自动生成治疗时间，护士填写实际超滤量 （HDF/HP模式需填写置换液总量），生命体征从联机透析机自动获取。</w:t>
            </w:r>
          </w:p>
        </w:tc>
      </w:tr>
      <w:tr w14:paraId="4F50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796C">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3225">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14、透后称量</w:t>
            </w:r>
          </w:p>
        </w:tc>
      </w:tr>
      <w:tr w14:paraId="040F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59D9">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0E3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1）患者下机后，患者自助称量透后体重，系统自动记录。</w:t>
            </w:r>
          </w:p>
        </w:tc>
      </w:tr>
      <w:tr w14:paraId="326B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BE8BE">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5F8F">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15、医嘱</w:t>
            </w:r>
          </w:p>
        </w:tc>
      </w:tr>
      <w:tr w14:paraId="4B73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98F8E">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90C2">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1）患者透析过程中，医生可开立透析医嘱和长期医嘱，其中透析医嘱包括：模板、新增、编辑、核对、执行删除等功能，长期医嘱包括：模板、新增、转透析医嘱、编辑、停用、删除、依从性等功能。</w:t>
            </w:r>
          </w:p>
        </w:tc>
      </w:tr>
      <w:tr w14:paraId="30BE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09691">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AA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16、更多附加功能</w:t>
            </w:r>
          </w:p>
        </w:tc>
      </w:tr>
      <w:tr w14:paraId="35B0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A6E92">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2B2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1）全程数据：可观察患者本次透析过程中血压、心率、呼吸、跨膜压、血流量、静脉压、透析液流量、透析液温度、超滤率、电导度、血容量、KT/V实时波动情况并以折线图的形式展示出来。</w:t>
            </w:r>
          </w:p>
        </w:tc>
      </w:tr>
      <w:tr w14:paraId="0797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80E6">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688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2）透析详情：可追溯患者本次透析治疗流程各个节点。</w:t>
            </w:r>
          </w:p>
        </w:tc>
      </w:tr>
      <w:tr w14:paraId="7419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2D54E">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5F1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3）护理评估和风险评估：可对患者治疗进行实时护理和风险评估。</w:t>
            </w:r>
          </w:p>
        </w:tc>
      </w:tr>
      <w:tr w14:paraId="304B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A68FA">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9F59">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4）消毒：系统支持可对该机器机内、机外消毒进行手动记录。</w:t>
            </w:r>
          </w:p>
        </w:tc>
      </w:tr>
      <w:tr w14:paraId="683D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A3634">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C86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5）呼叫：系统支持透析区内进行智能呼叫。</w:t>
            </w:r>
          </w:p>
        </w:tc>
      </w:tr>
      <w:tr w14:paraId="7CF1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6225A">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768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6）换床：可进行临时调整床位</w:t>
            </w:r>
          </w:p>
        </w:tc>
      </w:tr>
      <w:tr w14:paraId="2EAF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D45F">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D2E0">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7）关注：系统支持对重点患者进行关注，以及患者在透析区置顶看护，方便医护操作。</w:t>
            </w:r>
          </w:p>
        </w:tc>
      </w:tr>
      <w:tr w14:paraId="601C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5EDF6">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6F0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8）增加透析：可对当前提前结束透析的床位增加透析，提高床位利用率。</w:t>
            </w:r>
          </w:p>
        </w:tc>
      </w:tr>
      <w:tr w14:paraId="7866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18AF2">
            <w:pPr>
              <w:jc w:val="both"/>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DF8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9）小结记录：医护人员可对患者治疗结束整个过程进行描述记录，且使用该功能时可调用模板，系统支持小结模板设置。</w:t>
            </w:r>
          </w:p>
        </w:tc>
      </w:tr>
      <w:tr w14:paraId="05EA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574F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患者中心</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A21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1、以患者为中心，可通过姓名、简拼、透析号在患者列表中快速找到在该患者的电子病历。</w:t>
            </w:r>
          </w:p>
        </w:tc>
      </w:tr>
      <w:tr w14:paraId="0DDF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30AF">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EB55">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2、新增患者</w:t>
            </w:r>
          </w:p>
        </w:tc>
      </w:tr>
      <w:tr w14:paraId="56FE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F3712">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9E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1）系统支持通过患者住院号、门诊卡号等多种ID号快速从HIS系统中获取患者基本信息，并支持手动修改添加患者信息。同时支持上传患者头像信息，方便核对患者身份。</w:t>
            </w:r>
          </w:p>
        </w:tc>
      </w:tr>
      <w:tr w14:paraId="3D61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FBA37">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645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2）系统支持患者列表页面导出患者信息、自定义设置显示列</w:t>
            </w:r>
          </w:p>
        </w:tc>
      </w:tr>
      <w:tr w14:paraId="4F12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10616">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C6C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3、高级筛选</w:t>
            </w:r>
          </w:p>
        </w:tc>
      </w:tr>
      <w:tr w14:paraId="47EE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BE62">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3BC1">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1）支持患者基本信息、诊断信息、通路信息、转归信息、证件信息、标签信息等多条件的符合搜索查询功能。</w:t>
            </w:r>
          </w:p>
        </w:tc>
      </w:tr>
      <w:tr w14:paraId="00CC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22001">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0B01">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4、患者管理（电子病历）</w:t>
            </w:r>
          </w:p>
        </w:tc>
      </w:tr>
      <w:tr w14:paraId="1255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3255">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D3B1">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患者电子病历需包含以下几个部分：基本信息、病历首页、通路信息、处方信息、医嘱信息、治疗分析、评估量表、医疗文书、阶段评估、诊断信息、特殊治疗、检验记录、转归历史、营养评估、宣教信息、、过敏登记、排床记录。</w:t>
            </w:r>
          </w:p>
        </w:tc>
      </w:tr>
      <w:tr w14:paraId="2943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0FB60">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B01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5、基本信息</w:t>
            </w:r>
          </w:p>
        </w:tc>
      </w:tr>
      <w:tr w14:paraId="6622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89412">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A73C">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含患者证件号码、详细住址、身高、就诊卡号、透析号、患者类型、首次透析时间、透析总次数、血型、个人及家庭联系方式等基本信息，支持通过住院号、门诊卡号等方式从HIS系统获取并更新数据，同时支持手动编辑修改。</w:t>
            </w:r>
          </w:p>
        </w:tc>
      </w:tr>
      <w:tr w14:paraId="22D9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1414">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319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6、病历首页</w:t>
            </w:r>
          </w:p>
        </w:tc>
      </w:tr>
      <w:tr w14:paraId="37C1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72420">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5FD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1）包含患者的基本信息，诊断信息、病史记录、干体重、通路信息、抗凝以及治疗方案信息，所有的数据均来源于患者病历数据并同步更新支持在线打印。</w:t>
            </w:r>
          </w:p>
        </w:tc>
      </w:tr>
      <w:tr w14:paraId="0422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3FDD">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A94C">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7、通路信息</w:t>
            </w:r>
          </w:p>
        </w:tc>
      </w:tr>
      <w:tr w14:paraId="6475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C9EE">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9BF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1）支持记录患者的全周期通路信息，包含通路新增、编辑、通路图片上传、通路事件、转归操作；</w:t>
            </w:r>
          </w:p>
        </w:tc>
      </w:tr>
      <w:tr w14:paraId="274F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CBC38">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10B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2）通路图片上传后支持穿刺点位的标注；</w:t>
            </w:r>
          </w:p>
        </w:tc>
      </w:tr>
      <w:tr w14:paraId="4C45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0D5A2">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5380">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3）支持患者通路档案功能；</w:t>
            </w:r>
          </w:p>
        </w:tc>
      </w:tr>
      <w:tr w14:paraId="18E1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EA04">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0DF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8、处方信息</w:t>
            </w:r>
          </w:p>
        </w:tc>
      </w:tr>
      <w:tr w14:paraId="275B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50AE4">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B76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1）制定患者的透析治疗处方，支持HD、HDF、HP、HD+HP、HF等多种透析方式，支持单个患者多种透析处方。</w:t>
            </w:r>
          </w:p>
        </w:tc>
      </w:tr>
      <w:tr w14:paraId="7A30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C579">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1D21">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2）支持复制原有处方数据快速新增透析处方，方便医生快速为患者制定多中透析处方。</w:t>
            </w:r>
          </w:p>
        </w:tc>
      </w:tr>
      <w:tr w14:paraId="4473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33E5">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D108">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3）包含患者当前在用和已停用的透析频次信息，支持新增、编辑、停用、删除操作。</w:t>
            </w:r>
          </w:p>
        </w:tc>
      </w:tr>
      <w:tr w14:paraId="2FE5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CAF9E">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ED2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9、医嘱管理</w:t>
            </w:r>
          </w:p>
        </w:tc>
      </w:tr>
      <w:tr w14:paraId="4369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31B9A">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4179">
            <w:pPr>
              <w:keepNext w:val="0"/>
              <w:keepLines w:val="0"/>
              <w:widowControl/>
              <w:numPr>
                <w:ilvl w:val="0"/>
                <w:numId w:val="7"/>
              </w:numPr>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期医嘱：支持开立组套医嘱增加子医嘱项，可以根据用药数量、剂量、频次、用药时间、用药途径开立长期医嘱，通过设定用药频次与排床模板匹配实现长期医嘱自动转为临时医嘱，且支持长期医嘱单的打印，提高医生开医嘱的效率。</w:t>
            </w:r>
          </w:p>
        </w:tc>
      </w:tr>
      <w:tr w14:paraId="2DCF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DC8BA">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184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2）系统支持根据患者用药情况展示患者依从性，以及展示出患者已停用医嘱，方便医生查询以往记录。</w:t>
            </w:r>
          </w:p>
        </w:tc>
      </w:tr>
      <w:tr w14:paraId="75D4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476B">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9E6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3）口服医嘱：支持开立患者口服用药，包含使用状态、医嘱内容、用药时间、开立人等信息。且支持打印口服医嘱单。</w:t>
            </w:r>
          </w:p>
        </w:tc>
      </w:tr>
      <w:tr w14:paraId="206F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26703">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D7B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4)透析医嘱：系统支持透析医嘱功能，该功能帮助医护整理今日或当班次所有患者的临时医嘱，且支持打印功能。</w:t>
            </w:r>
          </w:p>
        </w:tc>
      </w:tr>
      <w:tr w14:paraId="769E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24CE">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C3B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10、治疗分析</w:t>
            </w:r>
          </w:p>
        </w:tc>
      </w:tr>
      <w:tr w14:paraId="09A6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4343B">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03B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具备治疗分析决策功能，可以对患者血压分析、体重分析、IDWG分析、超滤量分析、检验分析、评估分析等统计报表信息，并且可以以柱状图、折线图不同形式展现，辅助医生快速掌握并分析患者病情，为调整患者透析处方提供有效的数据支持。</w:t>
            </w:r>
          </w:p>
        </w:tc>
      </w:tr>
      <w:tr w14:paraId="7291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A2F43">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D1B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11、评估量表</w:t>
            </w:r>
          </w:p>
        </w:tc>
      </w:tr>
      <w:tr w14:paraId="7B67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4BAE6">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1CA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1）护理评估：支持多种护理评估的书写，可选择不同护理评估模板，且护理评估模板支持页面布局、内容及格式由医护自己在系统操作界面根据自己实际需要快速进行编辑修改，以支持医护快速使用。</w:t>
            </w:r>
          </w:p>
        </w:tc>
      </w:tr>
      <w:tr w14:paraId="7C98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624B">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4D9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12、治疗信息</w:t>
            </w:r>
          </w:p>
        </w:tc>
      </w:tr>
      <w:tr w14:paraId="21C7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CB8C1">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A93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透析记录：完整的记录患者例次透析治疗信息，支持医生快速了解患者病情情况，可在同一页面快速了解到患者历次治疗的相关数据，包含透析模式、通路、超滤量、IDWG相关信息。同时支持自定义时间区间内根据透析模式及是否正常下机条件快速查询患者的透析记录单和护理评估单信息查询。</w:t>
            </w:r>
          </w:p>
        </w:tc>
      </w:tr>
      <w:tr w14:paraId="0016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C0E02">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A4C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2）病程记录：支持病程记录书写，可选择病程记录模板，并引用检验数据和用药医嘱数据，病程记录模板支持页面布局及内容自定义编辑修改。</w:t>
            </w:r>
          </w:p>
        </w:tc>
      </w:tr>
      <w:tr w14:paraId="286A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2803D">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092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3）并发症记录：自动提取患者存在并发症记录的透析信息，支持自定义时间区间内患者的并发症信息查询。</w:t>
            </w:r>
          </w:p>
        </w:tc>
      </w:tr>
      <w:tr w14:paraId="0DED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6396">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FF0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13、医疗文书</w:t>
            </w:r>
          </w:p>
        </w:tc>
      </w:tr>
      <w:tr w14:paraId="176B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3EA2C">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FA2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1）血液净化病历：支持记录书写患者血液净化病历，内容及格式由医护自己在系统操作界面根据自己实际需要快速进行编辑修改，以支持医护快速使用。</w:t>
            </w:r>
          </w:p>
        </w:tc>
      </w:tr>
      <w:tr w14:paraId="2B1E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AAFB7">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58D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14、阶段评估</w:t>
            </w:r>
          </w:p>
        </w:tc>
      </w:tr>
      <w:tr w14:paraId="5751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ADEB">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C4C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1）系统支持根据时间周期自动生成阶段评估单，同时支持手动生成阶段评估单，已生成的阶段评估单可进行编辑和打印。</w:t>
            </w:r>
          </w:p>
        </w:tc>
      </w:tr>
      <w:tr w14:paraId="4287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6D9F2">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E04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2）阶段评估单展示内容包括：基本信息、透析信息、透析充分性、血压以及超滤评估、肾性贫血、CKD-MBD、营养状态、血脂、炎症、长期医嘱、阶段小结。</w:t>
            </w:r>
          </w:p>
        </w:tc>
      </w:tr>
      <w:tr w14:paraId="1248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FD11A">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EF0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15、诊断信息</w:t>
            </w:r>
          </w:p>
        </w:tc>
      </w:tr>
      <w:tr w14:paraId="520E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4326E">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79E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1)包含原发病诊断信息、病历诊断信息、并发症诊断信息、传染病诊断、肿瘤诊断、过敏诊断、CKD/AKI诊断。</w:t>
            </w:r>
          </w:p>
        </w:tc>
      </w:tr>
      <w:tr w14:paraId="53B5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FEC78">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8F4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16、特殊治疗</w:t>
            </w:r>
          </w:p>
        </w:tc>
      </w:tr>
      <w:tr w14:paraId="024D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6A998">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359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1）患者如没有当天次透析，但需在科室进行某些治疗（如：导管溶栓），系统支持特殊治疗记录，并生成治疗记录单且支持打印；</w:t>
            </w:r>
          </w:p>
        </w:tc>
      </w:tr>
      <w:tr w14:paraId="1628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56E62">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32F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kern w:val="0"/>
                <w:sz w:val="20"/>
                <w:szCs w:val="20"/>
                <w:u w:val="none"/>
                <w:lang w:val="en-US" w:eastAsia="zh-CN" w:bidi="ar"/>
              </w:rPr>
              <w:t>患者在特殊治疗中所产生的耗材、医嘱信息，系统均支持记录以及核对；</w:t>
            </w:r>
          </w:p>
        </w:tc>
      </w:tr>
      <w:tr w14:paraId="5C2C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3F138">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FEC5">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17、检验记录</w:t>
            </w:r>
          </w:p>
        </w:tc>
      </w:tr>
      <w:tr w14:paraId="0B66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DD46">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70E1">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与LIS系统进行接口对接，自动获取患者在院内的化验信息，并对化验项异常的数据进行提示，同时所有的数值型化验项均可以折线图的形式将历史数据变化情况展现出来，方便医护快速掌握患者阶段变化情况。</w:t>
            </w:r>
          </w:p>
        </w:tc>
      </w:tr>
      <w:tr w14:paraId="476C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B05D3">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EEF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2）支持手动新增院外的检验数据录入以及检验单的打印。</w:t>
            </w:r>
          </w:p>
        </w:tc>
      </w:tr>
      <w:tr w14:paraId="54FA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06F9">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B50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18、转归历史</w:t>
            </w:r>
          </w:p>
        </w:tc>
      </w:tr>
      <w:tr w14:paraId="714B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2E714">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A325">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1）完整的记录患者转出及转回信息，系统根据医护需求可自定义配置转归原因。</w:t>
            </w:r>
          </w:p>
        </w:tc>
      </w:tr>
      <w:tr w14:paraId="6269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F94D">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7EC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19、营养评估</w:t>
            </w:r>
          </w:p>
        </w:tc>
      </w:tr>
      <w:tr w14:paraId="364D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B2046">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753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1）测量记录：系统根据测量身高、体重自动生成BMI和BSA，且形成报表信息，并以折线图的形式展现</w:t>
            </w:r>
          </w:p>
        </w:tc>
      </w:tr>
      <w:tr w14:paraId="0C43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2BDB5">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28F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2）评估记录：系统支持SGA评分，且形成报表信息，并以折线图的形式展现</w:t>
            </w:r>
          </w:p>
        </w:tc>
      </w:tr>
      <w:tr w14:paraId="13DA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45C5C">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155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3）饮食记录：可根据评估结果改善饮食内容，自动生成DPI和DEI,且形成报表信息，并以折线图的形式展现</w:t>
            </w:r>
          </w:p>
        </w:tc>
      </w:tr>
      <w:tr w14:paraId="232D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E57DC">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BC88">
            <w:pPr>
              <w:keepNext w:val="0"/>
              <w:keepLines w:val="0"/>
              <w:widowControl/>
              <w:numPr>
                <w:ilvl w:val="0"/>
                <w:numId w:val="8"/>
              </w:numPr>
              <w:suppressLineNumbers w:val="0"/>
              <w:spacing w:line="360" w:lineRule="auto"/>
              <w:ind w:left="12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▲营养评估单：系统支持营养评估单自定义配置模板</w:t>
            </w:r>
          </w:p>
        </w:tc>
      </w:tr>
      <w:tr w14:paraId="288F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456D3">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3DE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20、排床记录</w:t>
            </w:r>
          </w:p>
        </w:tc>
      </w:tr>
      <w:tr w14:paraId="7C88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C0E67">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44E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支持查看患者排床记录，并且可以自定义选择时间查看患者排床情况</w:t>
            </w:r>
          </w:p>
        </w:tc>
      </w:tr>
      <w:tr w14:paraId="1172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1C15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库存管理</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8BD5">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1、耗材，药品，自备药管理</w:t>
            </w:r>
          </w:p>
        </w:tc>
      </w:tr>
      <w:tr w14:paraId="3D04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7ED0E">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B88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实现科室耗材、药品、自备药的库存管理，完成耗材、药品的入库、出库、报损、盘点、低库存预警功能，同时在透析过程中根据实际使用的耗材和药品信息，在上机操作和执行相关医嘱时自动扣减相应的耗材和药品库存，实现库存和操作的联动扣减功能，支持库存报表打印。</w:t>
            </w:r>
          </w:p>
        </w:tc>
      </w:tr>
      <w:tr w14:paraId="6247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D543B">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867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2）提供月度库存统计报表，包含期初数量、入库数量、出库数量、报损数量、结存数量、盘点数量，支持查看库存入库、出库、报损、盘点操作明细。</w:t>
            </w:r>
          </w:p>
        </w:tc>
      </w:tr>
      <w:tr w14:paraId="4CCA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53A4">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F23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3）支持患者自备药管理，当患者个人药品库存不足时系统支持通过借药还药方式完成药品出入库，患者药品库存统计报表中增加借药还药记录。</w:t>
            </w:r>
          </w:p>
        </w:tc>
      </w:tr>
      <w:tr w14:paraId="2550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76737">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2DD1">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2、库存用量统计</w:t>
            </w:r>
          </w:p>
        </w:tc>
      </w:tr>
      <w:tr w14:paraId="53E5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F6B1">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BA5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1）药品用量统计</w:t>
            </w:r>
          </w:p>
        </w:tc>
      </w:tr>
      <w:tr w14:paraId="534A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6E71A">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850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2）系统支持自定义时间范围内，根据药品类型汇总药品使用数量及其占比。</w:t>
            </w:r>
          </w:p>
        </w:tc>
      </w:tr>
      <w:tr w14:paraId="0259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3DB4B">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A188">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3）耗材用量统计</w:t>
            </w:r>
          </w:p>
        </w:tc>
      </w:tr>
      <w:tr w14:paraId="25B0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BF2C4">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DFE5">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4）系统支持自定义时间范围内，根据耗材类型汇总耗材使用数量及其占比。</w:t>
            </w:r>
          </w:p>
        </w:tc>
      </w:tr>
      <w:tr w14:paraId="0EE7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6B3A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排床管理</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9B22">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1、智能排床</w:t>
            </w:r>
          </w:p>
        </w:tc>
      </w:tr>
      <w:tr w14:paraId="6A43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1D58">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4F0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根据患者透析周期和科室透析班次，实现系统智能排床，提供排床增删改查功能，可直接通过拖拽方式完成患者换床操作，可快速空床排床，可批量复制，批量删除，批量换床，导出和打印排床内容，并参考患者设定的透析频次给出当前排班计划中各透析模式计划次数的差异。常规透析排床可根据单双周自动生成。</w:t>
            </w:r>
          </w:p>
        </w:tc>
      </w:tr>
      <w:tr w14:paraId="5B08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69FF">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4B1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2、感染控制</w:t>
            </w:r>
          </w:p>
        </w:tc>
      </w:tr>
      <w:tr w14:paraId="6CE0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E06A0">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D8B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1）系统针对患者传染病阴阳性进行严格区分，通过患者标识来区分出阳性患者，阳性患者不能排在阴性透析区，阴性患者不能排在阳性透析区，避免出现阴阳性患者混排的情况出现。</w:t>
            </w:r>
          </w:p>
        </w:tc>
      </w:tr>
      <w:tr w14:paraId="407C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6CF9">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46E5">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3、排床显示</w:t>
            </w:r>
          </w:p>
        </w:tc>
      </w:tr>
      <w:tr w14:paraId="60F6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67C1">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49E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1）支持将患者的排床信息在候诊室大屏上进行显示，方便患者快速获取透析治疗的床位信息，同时为保护患者隐私，支持将患者姓名加星号予以保护。</w:t>
            </w:r>
          </w:p>
        </w:tc>
      </w:tr>
      <w:tr w14:paraId="5332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1EBA">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5FE2">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4、排床个性化设置</w:t>
            </w:r>
          </w:p>
        </w:tc>
      </w:tr>
      <w:tr w14:paraId="4FDA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6C11B">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CD6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1）系统支持根据不同透析模式、周期、泵型和病区属性进行不同颜色的标识。</w:t>
            </w:r>
          </w:p>
        </w:tc>
      </w:tr>
      <w:tr w14:paraId="598F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6C75">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362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5、排床统计</w:t>
            </w:r>
          </w:p>
        </w:tc>
      </w:tr>
      <w:tr w14:paraId="1B8E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1EB3">
            <w:pPr>
              <w:jc w:val="left"/>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5F1F">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支持查看当周各班次的床位使用率，可以分天和班次快速了解到使用床位数和空床数，并可查看到当前使用床位的患者及治疗模式和空床位的床位号及透析机品牌型号，帮助医护快速、准确掌握当前床位使用情况，合理安排床位，提升床位使用率。</w:t>
            </w:r>
          </w:p>
        </w:tc>
      </w:tr>
      <w:tr w14:paraId="384D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9F7C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设备管理</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AD9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1、透析机管理</w:t>
            </w:r>
          </w:p>
        </w:tc>
      </w:tr>
      <w:tr w14:paraId="0ABF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72C24">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0557">
            <w:pPr>
              <w:spacing w:line="360" w:lineRule="auto"/>
              <w:ind w:firstLine="400" w:firstLineChars="200"/>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sz w:val="20"/>
                <w:szCs w:val="20"/>
              </w:rPr>
              <w:t>▲系统具备</w:t>
            </w:r>
            <w:r>
              <w:rPr>
                <w:rFonts w:hint="eastAsia" w:ascii="宋体" w:hAnsi="宋体" w:eastAsia="宋体" w:cs="宋体"/>
                <w:sz w:val="20"/>
                <w:szCs w:val="20"/>
                <w:lang w:val="en-US" w:eastAsia="zh-CN"/>
              </w:rPr>
              <w:t>采购方指定的角色</w:t>
            </w:r>
            <w:r>
              <w:rPr>
                <w:rFonts w:hint="eastAsia" w:ascii="宋体" w:hAnsi="宋体" w:eastAsia="宋体" w:cs="宋体"/>
                <w:sz w:val="20"/>
                <w:szCs w:val="20"/>
              </w:rPr>
              <w:t>权限，支持</w:t>
            </w:r>
            <w:r>
              <w:rPr>
                <w:rFonts w:hint="eastAsia" w:ascii="宋体" w:hAnsi="宋体" w:eastAsia="宋体" w:cs="宋体"/>
                <w:color w:val="000000"/>
                <w:sz w:val="20"/>
                <w:szCs w:val="20"/>
              </w:rPr>
              <w:t>对科室透析设备有总体统计数据及分类详细信息，包括床位号、病区、序列号、设备编号、品牌、型号、泵型、传染病等进行有效的记录和统计，同时工程师能够快捷的记录透析机的维修、保养、报废、消毒、使用记录等信息。</w:t>
            </w:r>
          </w:p>
        </w:tc>
      </w:tr>
      <w:tr w14:paraId="6258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F4D8D">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B92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2、水机管理</w:t>
            </w:r>
          </w:p>
        </w:tc>
      </w:tr>
      <w:tr w14:paraId="449D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BE8D">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EFD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1）系统支持对水机记录，同时工程师能够快捷的记录水机的检查、污染物监测、维修、检测、等信息。</w:t>
            </w:r>
          </w:p>
        </w:tc>
      </w:tr>
      <w:tr w14:paraId="29DC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822EA">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4474">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3、环境管理</w:t>
            </w:r>
          </w:p>
        </w:tc>
      </w:tr>
      <w:tr w14:paraId="6B4F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C51F6">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89B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1）系统支持记录透析中心各个功能区、物表以及医护手卫生检测结果。</w:t>
            </w:r>
          </w:p>
        </w:tc>
      </w:tr>
      <w:tr w14:paraId="14D7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0E82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治疗分析</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90E9">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1、透析充分性分析；</w:t>
            </w:r>
          </w:p>
        </w:tc>
      </w:tr>
      <w:tr w14:paraId="5446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21F2">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48A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阶段评估分析：系统支持根据时间周期自动生成阶段评估单，同时支持手动生成阶段评估单，已生成的阶段评估单可进行编辑。</w:t>
            </w:r>
          </w:p>
        </w:tc>
      </w:tr>
      <w:tr w14:paraId="457C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371BA">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F52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 阶段评估统计分析：汇总科室内所有患者阶段评估单内容（透析充分性、肾性贫血、CKD-MBD、营养状态、血脂、炎症等信息）</w:t>
            </w:r>
          </w:p>
        </w:tc>
      </w:tr>
      <w:tr w14:paraId="48C5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9A30">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87E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2、并发症分析；</w:t>
            </w:r>
          </w:p>
        </w:tc>
      </w:tr>
      <w:tr w14:paraId="73DB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4F5D9">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C3FC">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并发症统计：透中低血压、透中高血压等；</w:t>
            </w:r>
          </w:p>
        </w:tc>
      </w:tr>
      <w:tr w14:paraId="1359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6E5FC">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64F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3、检验类分析</w:t>
            </w:r>
          </w:p>
        </w:tc>
      </w:tr>
      <w:tr w14:paraId="442F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390D9">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1F94">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1）单项统计（至少包括：血总钙统计、血磷统计、全段甲状旁腺激素统计等各类化验项统计）、月度统计、阴转阳、促红素、检验分析。</w:t>
            </w:r>
          </w:p>
        </w:tc>
      </w:tr>
      <w:tr w14:paraId="79C0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EE57">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677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4、透析治疗分析</w:t>
            </w:r>
          </w:p>
        </w:tc>
      </w:tr>
      <w:tr w14:paraId="4A89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307B1">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FCC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透析例次、患者透析例次、透析频次、凝血等级、血压、体重统计、超滤量达标、IDWG控制率、抗凝使用统计并发症、异常下机、系统终止、阶段评估、血透质量监测、血流量统计。</w:t>
            </w:r>
          </w:p>
        </w:tc>
      </w:tr>
      <w:tr w14:paraId="11070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BDE4F">
            <w:pPr>
              <w:rPr>
                <w:rFonts w:hint="default" w:ascii="宋体" w:hAnsi="宋体" w:eastAsia="宋体" w:cs="宋体"/>
                <w:b/>
                <w:bCs/>
                <w:i w:val="0"/>
                <w:iCs w:val="0"/>
                <w:color w:val="000000"/>
                <w:sz w:val="20"/>
                <w:szCs w:val="20"/>
                <w:highlight w:val="yellow"/>
                <w:u w:val="none"/>
                <w:lang w:val="en-US" w:eastAsia="zh-CN"/>
              </w:rPr>
            </w:pPr>
            <w:r>
              <w:rPr>
                <w:rFonts w:hint="eastAsia" w:ascii="宋体" w:hAnsi="宋体" w:eastAsia="宋体" w:cs="宋体"/>
                <w:b/>
                <w:bCs/>
                <w:i w:val="0"/>
                <w:iCs w:val="0"/>
                <w:color w:val="000000"/>
                <w:sz w:val="20"/>
                <w:szCs w:val="20"/>
                <w:highlight w:val="none"/>
                <w:u w:val="none"/>
                <w:lang w:val="en-US" w:eastAsia="zh-CN"/>
              </w:rPr>
              <w:t>信息统计</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2CB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1、患者信息统计</w:t>
            </w:r>
          </w:p>
        </w:tc>
      </w:tr>
      <w:tr w14:paraId="25B5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A9A05">
            <w:pPr>
              <w:rPr>
                <w:rFonts w:hint="eastAsia" w:ascii="宋体" w:hAnsi="宋体" w:eastAsia="宋体" w:cs="宋体"/>
                <w:b/>
                <w:bCs/>
                <w:i w:val="0"/>
                <w:iCs w:val="0"/>
                <w:color w:val="000000"/>
                <w:sz w:val="20"/>
                <w:szCs w:val="20"/>
                <w:highlight w:val="yellow"/>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56C8">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1）性别统计、年龄段统计、透析龄统计、民族统计、文化程度统计、患者类型统计、患者来源统计、费用类型统计、新增患者统计、转归历史、死亡统计。</w:t>
            </w:r>
          </w:p>
        </w:tc>
      </w:tr>
      <w:tr w14:paraId="60FA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C5828">
            <w:pPr>
              <w:rPr>
                <w:rFonts w:hint="eastAsia" w:ascii="宋体" w:hAnsi="宋体" w:eastAsia="宋体" w:cs="宋体"/>
                <w:b/>
                <w:bCs/>
                <w:i w:val="0"/>
                <w:iCs w:val="0"/>
                <w:color w:val="000000"/>
                <w:sz w:val="20"/>
                <w:szCs w:val="20"/>
                <w:highlight w:val="yellow"/>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591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2、诊断信息统计</w:t>
            </w:r>
          </w:p>
        </w:tc>
      </w:tr>
      <w:tr w14:paraId="1A1B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3E06A">
            <w:pPr>
              <w:rPr>
                <w:rFonts w:hint="eastAsia" w:ascii="宋体" w:hAnsi="宋体" w:eastAsia="宋体" w:cs="宋体"/>
                <w:b/>
                <w:bCs/>
                <w:i w:val="0"/>
                <w:iCs w:val="0"/>
                <w:color w:val="000000"/>
                <w:sz w:val="20"/>
                <w:szCs w:val="20"/>
                <w:highlight w:val="yellow"/>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68B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1）诊断统计、原发病统计、病理统计、并发症统计、传染病统计、肿瘤统计、过敏统计。</w:t>
            </w:r>
          </w:p>
        </w:tc>
      </w:tr>
      <w:tr w14:paraId="35AA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2F75B">
            <w:pPr>
              <w:rPr>
                <w:rFonts w:hint="eastAsia" w:ascii="宋体" w:hAnsi="宋体" w:eastAsia="宋体" w:cs="宋体"/>
                <w:b/>
                <w:bCs/>
                <w:i w:val="0"/>
                <w:iCs w:val="0"/>
                <w:color w:val="000000"/>
                <w:sz w:val="20"/>
                <w:szCs w:val="20"/>
                <w:highlight w:val="yellow"/>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4FE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3、通路信息统计</w:t>
            </w:r>
          </w:p>
        </w:tc>
      </w:tr>
      <w:tr w14:paraId="2005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3621">
            <w:pPr>
              <w:rPr>
                <w:rFonts w:hint="eastAsia" w:ascii="宋体" w:hAnsi="宋体" w:eastAsia="宋体" w:cs="宋体"/>
                <w:b/>
                <w:bCs/>
                <w:i w:val="0"/>
                <w:iCs w:val="0"/>
                <w:color w:val="000000"/>
                <w:sz w:val="20"/>
                <w:szCs w:val="20"/>
                <w:highlight w:val="yellow"/>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2FB0">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1）通路统计、新增通路、通路转归、使用天数统计。</w:t>
            </w:r>
          </w:p>
        </w:tc>
      </w:tr>
      <w:tr w14:paraId="784D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8"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091BE">
            <w:pPr>
              <w:rPr>
                <w:rFonts w:hint="eastAsia" w:ascii="宋体" w:hAnsi="宋体" w:eastAsia="宋体" w:cs="宋体"/>
                <w:b/>
                <w:bCs/>
                <w:i w:val="0"/>
                <w:iCs w:val="0"/>
                <w:color w:val="000000"/>
                <w:sz w:val="20"/>
                <w:szCs w:val="20"/>
                <w:highlight w:val="yellow"/>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1CD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r>
              <w:rPr>
                <w:rFonts w:hint="eastAsia" w:ascii="宋体" w:hAnsi="宋体" w:eastAsia="宋体" w:cs="宋体"/>
                <w:sz w:val="20"/>
                <w:szCs w:val="20"/>
                <w:highlight w:val="none"/>
              </w:rPr>
              <w:t>▲</w:t>
            </w:r>
            <w:r>
              <w:rPr>
                <w:rFonts w:hint="eastAsia" w:ascii="宋体" w:hAnsi="宋体" w:eastAsia="宋体" w:cs="宋体"/>
                <w:i w:val="0"/>
                <w:iCs w:val="0"/>
                <w:color w:val="000000"/>
                <w:kern w:val="0"/>
                <w:sz w:val="20"/>
                <w:szCs w:val="20"/>
                <w:highlight w:val="none"/>
                <w:u w:val="none"/>
                <w:lang w:val="en-US" w:eastAsia="zh-CN" w:bidi="ar"/>
              </w:rPr>
              <w:t>报表筛选器</w:t>
            </w:r>
          </w:p>
          <w:p w14:paraId="5584DF47">
            <w:pPr>
              <w:spacing w:line="440" w:lineRule="exact"/>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rPr>
              <w:t>支持记忆医护通过需要自定义的筛选条件，并可根据需要对此筛选操作进行命名，医护可以通过点击自己的命名，快速调取已设定的筛选条件的统计结果，避免重复勾选筛选条件，节省数据筛选时间，且所有统计分析均可使用筛选器功能。</w:t>
            </w:r>
          </w:p>
        </w:tc>
      </w:tr>
      <w:tr w14:paraId="6486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8B18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接口设计</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2945">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1、完成HIS、LIS对接或者从集成平台系统上获取数据，实现：</w:t>
            </w:r>
          </w:p>
        </w:tc>
      </w:tr>
      <w:tr w14:paraId="3DAF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6A24">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4778">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1）单向拉取患者的基本信息、化验信息；</w:t>
            </w:r>
          </w:p>
        </w:tc>
      </w:tr>
      <w:tr w14:paraId="0D27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7041">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F0D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2）支持HL7、视图、WebService等形式实现上述接口；</w:t>
            </w:r>
          </w:p>
        </w:tc>
      </w:tr>
      <w:tr w14:paraId="4238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D83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透析机联机</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9BEC">
            <w:pPr>
              <w:tabs>
                <w:tab w:val="left" w:pos="900"/>
                <w:tab w:val="left" w:pos="3813"/>
              </w:tabs>
              <w:spacing w:line="360" w:lineRule="auto"/>
              <w:ind w:firstLine="400" w:firstLineChars="200"/>
              <w:rPr>
                <w:rFonts w:hint="eastAsia" w:ascii="宋体" w:hAnsi="宋体" w:eastAsia="宋体" w:cs="宋体"/>
                <w:i w:val="0"/>
                <w:iCs w:val="0"/>
                <w:color w:val="000000"/>
                <w:sz w:val="20"/>
                <w:szCs w:val="20"/>
                <w:u w:val="none"/>
              </w:rPr>
            </w:pP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w:t>
            </w:r>
            <w:r>
              <w:rPr>
                <w:rFonts w:hint="eastAsia" w:ascii="宋体" w:hAnsi="宋体" w:eastAsia="宋体" w:cs="宋体"/>
                <w:color w:val="000000"/>
                <w:sz w:val="20"/>
                <w:szCs w:val="20"/>
              </w:rPr>
              <w:t>与医院透析机</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具备</w:t>
            </w:r>
            <w:r>
              <w:rPr>
                <w:rFonts w:hint="eastAsia" w:ascii="宋体" w:hAnsi="宋体" w:eastAsia="宋体" w:cs="宋体"/>
                <w:color w:val="000000"/>
                <w:sz w:val="20"/>
                <w:szCs w:val="20"/>
              </w:rPr>
              <w:t>联机条件</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实现有线或无线连接，采集的参数包括：血流量、静脉压、跨膜压、超滤量、超滤率、电导度、透析液流量、若透析机带有血压模块则需采集舒张压、收缩压、心率。</w:t>
            </w:r>
          </w:p>
        </w:tc>
      </w:tr>
      <w:tr w14:paraId="3FF4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701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移动医疗</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490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1、系统支持个人电脑上使用，也支持在平板电脑上使用。医护人员手持平板在床边记录患者治疗信息、下达医嘱、执行医嘱等。</w:t>
            </w:r>
          </w:p>
        </w:tc>
      </w:tr>
      <w:tr w14:paraId="0DA8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75C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智能提醒</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EED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1、传染病提醒</w:t>
            </w:r>
          </w:p>
        </w:tc>
      </w:tr>
      <w:tr w14:paraId="1299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1ADE">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8FCC">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查询当班次或指定班次需要进行传染病检查的患者列表，支持自定义设置传染病检检查频率，可针对特殊患者单独设定检查频率。系统可提前进行检查提醒，若超期未检查，可设置逾期超过指定天数后限制透析操作。</w:t>
            </w:r>
          </w:p>
        </w:tc>
      </w:tr>
      <w:tr w14:paraId="3E4A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77DE">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45D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2、检验提醒</w:t>
            </w:r>
          </w:p>
        </w:tc>
      </w:tr>
      <w:tr w14:paraId="0AC0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BFFEF">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531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1）可查询当班次或指定班次需要进行化验项检查的患者列表，支持自定义设置化验项的检查间隔天数，系统可提前进行化验项检查提醒和逾期提醒，支持针对特殊患者单独设置化验项检查间隔天数。</w:t>
            </w:r>
          </w:p>
        </w:tc>
      </w:tr>
      <w:tr w14:paraId="6754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260A2">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0678">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3、阶段评估提醒</w:t>
            </w:r>
          </w:p>
        </w:tc>
      </w:tr>
      <w:tr w14:paraId="7ED2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16463">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677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1）可查询当班次或指定班次需要进行阶段评估的患者列表，支持自定义设置阶段评估的检查间隔天数</w:t>
            </w:r>
          </w:p>
        </w:tc>
      </w:tr>
      <w:tr w14:paraId="7C53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581C1">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DC7F">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4、预警提醒</w:t>
            </w:r>
          </w:p>
        </w:tc>
      </w:tr>
      <w:tr w14:paraId="058F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02E42">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9B38">
            <w:pPr>
              <w:keepNext w:val="0"/>
              <w:keepLines w:val="0"/>
              <w:widowControl/>
              <w:numPr>
                <w:ilvl w:val="0"/>
                <w:numId w:val="9"/>
              </w:numPr>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能够对血透患者的透析中处方被拒绝、处方被修改、并发症、血压预警（平均动脉压升高或下降幅度、收缩压下降幅度、收缩压值）、医生下达临时医嘱、病区呼叫医生、下次排床、透后称量体重变化、机器数据监测等情况进行提醒，并能够灵活的设置不同提醒对象。</w:t>
            </w:r>
          </w:p>
        </w:tc>
      </w:tr>
      <w:tr w14:paraId="0B4D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BCE8">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73E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5、体重提醒</w:t>
            </w:r>
          </w:p>
        </w:tc>
      </w:tr>
      <w:tr w14:paraId="169B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A6EDC">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FE7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1）IDWG提醒、超滤异常提醒,体重异常提醒。</w:t>
            </w:r>
          </w:p>
        </w:tc>
      </w:tr>
      <w:tr w14:paraId="211F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675B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健康宣教</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BD3F">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1、宣教库：</w:t>
            </w:r>
          </w:p>
        </w:tc>
      </w:tr>
      <w:tr w14:paraId="288C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3C83">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5582">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1）系统支持新增宣教材料，新增宣教材料的形式包含：文字、图片、视频三种类别，可编辑、删除；</w:t>
            </w:r>
          </w:p>
        </w:tc>
      </w:tr>
      <w:tr w14:paraId="5C24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E9596">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939F">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1）可以对宣教材料进行分类，并支持按宣教材料名搜索；</w:t>
            </w:r>
          </w:p>
        </w:tc>
      </w:tr>
      <w:tr w14:paraId="00E7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3AA31">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D7C1">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2、宣教计划：</w:t>
            </w:r>
          </w:p>
        </w:tc>
      </w:tr>
      <w:tr w14:paraId="10F7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7049">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F94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1）可查看所有患者的宣教计划，支持宣教计划新增、调整操作，可快速查看今日宣教患者和无宣教计划患者列表。</w:t>
            </w:r>
          </w:p>
        </w:tc>
      </w:tr>
      <w:tr w14:paraId="5F93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8B568">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A171">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2）支持制定宣教计划模板，可以批量为多个患者添加宣教计划模板。</w:t>
            </w:r>
          </w:p>
        </w:tc>
      </w:tr>
      <w:tr w14:paraId="7A9E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51AFD">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7C28">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3）支持关联化验项，针对化验项异常符合条件的患者实现智能推送，自动将对应的宣教计划模板添加至该患者宣教计划。</w:t>
            </w:r>
          </w:p>
        </w:tc>
      </w:tr>
      <w:tr w14:paraId="2AEF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5A454">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0E5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3、宣教统计</w:t>
            </w:r>
          </w:p>
        </w:tc>
      </w:tr>
      <w:tr w14:paraId="0201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0CAF1">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D3E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1）医护宣教：医护工作量统计，医护宣教总数量，可详情查看具体什么时间宣教了哪些患者、宣教内容、宣教对象、宣教情况等；</w:t>
            </w:r>
          </w:p>
        </w:tc>
      </w:tr>
      <w:tr w14:paraId="07DD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39D57">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99FF">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2）宣教类别：患者宣教统计，患者宣教总次数，可详情查看具体什么时间宣教、宣教内容、宣教对象、宣教情况等；</w:t>
            </w:r>
          </w:p>
        </w:tc>
      </w:tr>
      <w:tr w14:paraId="6D1B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274F">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4F7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3）宣教频次：宣教类别统计，根据宣教库自定义分类，可查询类别被宣教总次数，详情可查询具体的宣教内容被宣教了多少次，都是哪些患者被宣教了详情信息。</w:t>
            </w:r>
          </w:p>
        </w:tc>
      </w:tr>
      <w:tr w14:paraId="6E1B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4E62E">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B75A">
            <w:pPr>
              <w:spacing w:line="360" w:lineRule="auto"/>
              <w:jc w:val="left"/>
              <w:rPr>
                <w:rFonts w:hint="eastAsia" w:ascii="宋体" w:hAnsi="宋体" w:eastAsia="宋体" w:cs="宋体"/>
                <w:i w:val="0"/>
                <w:iCs w:val="0"/>
                <w:color w:val="000000"/>
                <w:sz w:val="20"/>
                <w:szCs w:val="20"/>
                <w:u w:val="none"/>
              </w:rPr>
            </w:pPr>
          </w:p>
        </w:tc>
      </w:tr>
      <w:tr w14:paraId="0437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6762">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0952">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4、大屏宣教</w:t>
            </w:r>
          </w:p>
        </w:tc>
      </w:tr>
      <w:tr w14:paraId="5F0C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B4255">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6EE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1）支持在候诊室或指定区域内大屏TV上播放播放宣教素材，可自定义选择播放时间范围和设备播放，在指定的时间段内自动开启宣教素材播放与关闭；</w:t>
            </w:r>
          </w:p>
        </w:tc>
      </w:tr>
      <w:tr w14:paraId="4441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4BBC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质量控制</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31F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1、质控上报</w:t>
            </w:r>
          </w:p>
        </w:tc>
      </w:tr>
      <w:tr w14:paraId="7D90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9A1A7">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E78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1）产品能够与现有全国质控上报中心系统进行对接，可以完成患者基本信息和化验数据的上报。</w:t>
            </w:r>
          </w:p>
        </w:tc>
      </w:tr>
      <w:tr w14:paraId="5E4E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4E441">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2DE1">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2）系统能自动生成“三甲”评审数据。</w:t>
            </w:r>
          </w:p>
        </w:tc>
      </w:tr>
      <w:tr w14:paraId="21F9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BEB8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科室管理</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153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1、大屏排床</w:t>
            </w:r>
          </w:p>
        </w:tc>
      </w:tr>
      <w:tr w14:paraId="5FBCF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A531">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D8D9">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1）可根据不同床位数量规模选择显示样式，姓名隐私保护、分区、空床显示、选择设备播放、皮肤风格等选项自定义；</w:t>
            </w:r>
          </w:p>
        </w:tc>
      </w:tr>
      <w:tr w14:paraId="2C07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27062">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4190">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2、进度监控</w:t>
            </w:r>
          </w:p>
        </w:tc>
      </w:tr>
      <w:tr w14:paraId="57F9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D60D">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3F5C">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1）透析进度监控显示，可根据床位规模选择排床显示样式、患者隐私保护、阴阳患者区分、选择设备播放等功能。</w:t>
            </w:r>
          </w:p>
        </w:tc>
      </w:tr>
      <w:tr w14:paraId="6717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98560">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BE08">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3、消息通知</w:t>
            </w:r>
          </w:p>
        </w:tc>
      </w:tr>
      <w:tr w14:paraId="1AC3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52A9">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4A1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1）支持通知播放、讲课提醒、欢迎等功能，可设置在固定时间段内自动开启与关闭，可以指定设备播放，编辑内容大小显示等，历史记录编辑、删除、预览。</w:t>
            </w:r>
          </w:p>
        </w:tc>
      </w:tr>
      <w:tr w14:paraId="21D7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5014">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01B2">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4、智能呼叫</w:t>
            </w:r>
          </w:p>
        </w:tc>
      </w:tr>
      <w:tr w14:paraId="2D68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5EB49">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0819">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1）支持软件叫号接诊，改善接诊秩序。候诊大屏支持叫号显示内容。</w:t>
            </w:r>
          </w:p>
        </w:tc>
      </w:tr>
      <w:tr w14:paraId="26D6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8D83">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402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2）支持设置不同方式的叫号模式</w:t>
            </w:r>
          </w:p>
        </w:tc>
      </w:tr>
      <w:tr w14:paraId="1031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A4365">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E030">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3）支持医护人员在系统透析区进行呼叫</w:t>
            </w:r>
          </w:p>
        </w:tc>
      </w:tr>
      <w:tr w14:paraId="28FD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69703">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6FC2">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5、交班看板</w:t>
            </w:r>
          </w:p>
        </w:tc>
      </w:tr>
      <w:tr w14:paraId="6563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5F44B">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0285">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1）系统自动生成医护交班信息，包括透析例次汇总、并发症交班、导管患者交班、无肝素患者交班、新患者交班、危重患者交班、患者转归交班、枸橼酸抗凝交班等交班信息。</w:t>
            </w:r>
          </w:p>
        </w:tc>
      </w:tr>
      <w:tr w14:paraId="3AFF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F3AF4">
            <w:pPr>
              <w:spacing w:line="360" w:lineRule="auto"/>
              <w:rPr>
                <w:rFonts w:hint="eastAsia" w:ascii="宋体" w:hAnsi="宋体" w:eastAsia="宋体" w:cs="宋体"/>
                <w:i w:val="0"/>
                <w:iCs w:val="0"/>
                <w:color w:val="000000"/>
                <w:sz w:val="20"/>
                <w:szCs w:val="20"/>
                <w:u w:val="none"/>
              </w:rPr>
            </w:pPr>
            <w:r>
              <w:rPr>
                <w:rFonts w:hint="eastAsia" w:ascii="宋体" w:hAnsi="宋体" w:eastAsia="宋体" w:cs="宋体"/>
                <w:sz w:val="20"/>
                <w:szCs w:val="20"/>
              </w:rPr>
              <w:t>▲</w:t>
            </w:r>
            <w:r>
              <w:rPr>
                <w:rFonts w:hint="eastAsia" w:ascii="宋体" w:hAnsi="宋体" w:eastAsia="宋体" w:cs="宋体"/>
                <w:color w:val="000000"/>
                <w:sz w:val="20"/>
                <w:szCs w:val="20"/>
              </w:rPr>
              <w:t>Sop报表</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32C0">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1、医院感染控制指标</w:t>
            </w:r>
          </w:p>
        </w:tc>
      </w:tr>
      <w:tr w14:paraId="61CB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CBA25">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D87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治疗室消毒合格率、</w:t>
            </w:r>
          </w:p>
        </w:tc>
      </w:tr>
      <w:tr w14:paraId="3D01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60866">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4C52">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透析用水生物检验合格率、</w:t>
            </w:r>
          </w:p>
        </w:tc>
      </w:tr>
      <w:tr w14:paraId="3D1C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A42B7">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B0A9">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新入血液透析患者血源性传染病标志物检测完成率、</w:t>
            </w:r>
          </w:p>
        </w:tc>
      </w:tr>
      <w:tr w14:paraId="468C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2CBC6">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770F">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维持性血液透析患者血源性传染病标志物检测完成率、</w:t>
            </w:r>
          </w:p>
        </w:tc>
      </w:tr>
      <w:tr w14:paraId="5B92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05FCE">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639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维持性血液透析患者的乙型肝炎和丙型肝炎发病率、</w:t>
            </w:r>
          </w:p>
        </w:tc>
      </w:tr>
      <w:tr w14:paraId="0C5A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2EAC">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3E7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2、透析治疗管理指标</w:t>
            </w:r>
          </w:p>
        </w:tc>
      </w:tr>
      <w:tr w14:paraId="7BAE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5ABA7">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23B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尿素清楚指数（Kt/v）和尿素下降率（URR）定时记录完成率、</w:t>
            </w:r>
          </w:p>
        </w:tc>
      </w:tr>
      <w:tr w14:paraId="0AEE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4D2E">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79B1">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β微球蛋白定时检验完成率、</w:t>
            </w:r>
          </w:p>
        </w:tc>
      </w:tr>
      <w:tr w14:paraId="1799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283A">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71C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尿素清楚指数（Kt/v）和尿素下降率（URR）控制率、</w:t>
            </w:r>
          </w:p>
        </w:tc>
      </w:tr>
      <w:tr w14:paraId="6C62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98E33">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1CB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透析间期体重增长控制率、</w:t>
            </w:r>
          </w:p>
        </w:tc>
      </w:tr>
      <w:tr w14:paraId="1DAF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840E">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53D8">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动静脉内瘘长期生存率、</w:t>
            </w:r>
          </w:p>
        </w:tc>
      </w:tr>
      <w:tr w14:paraId="439B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283F2">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3E9C">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3、透析并发症管理指标</w:t>
            </w:r>
          </w:p>
        </w:tc>
      </w:tr>
      <w:tr w14:paraId="5209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17E2A">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DC3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维持性血液透析患者血常规定时检验率、</w:t>
            </w:r>
          </w:p>
        </w:tc>
      </w:tr>
      <w:tr w14:paraId="337A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E16A7">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FCA0">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维持性血液透析患者生化检测完成率、</w:t>
            </w:r>
          </w:p>
        </w:tc>
      </w:tr>
      <w:tr w14:paraId="0291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CDE46">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033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全段甲状旁腺定时检验完成率、</w:t>
            </w:r>
          </w:p>
        </w:tc>
      </w:tr>
      <w:tr w14:paraId="2BA2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67C3">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6FFC">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血清铁蛋白和</w:t>
            </w:r>
          </w:p>
        </w:tc>
      </w:tr>
      <w:tr w14:paraId="1468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1DB44">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33E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转铁蛋白饱和度检测完成率、</w:t>
            </w:r>
          </w:p>
        </w:tc>
      </w:tr>
      <w:tr w14:paraId="171F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C7D2">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89C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血清前白蛋白检测完成率、</w:t>
            </w:r>
          </w:p>
        </w:tc>
      </w:tr>
      <w:tr w14:paraId="04CB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CB57">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10A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C反应白蛋白检测完成率、</w:t>
            </w:r>
          </w:p>
        </w:tc>
      </w:tr>
      <w:tr w14:paraId="7AD8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665D">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6539">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透析患者高血压控制率、</w:t>
            </w:r>
          </w:p>
        </w:tc>
      </w:tr>
      <w:tr w14:paraId="7BE7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BEB7F">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FCB4">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透析患者肾性贫血控制率、</w:t>
            </w:r>
          </w:p>
        </w:tc>
      </w:tr>
      <w:tr w14:paraId="5215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EED5F">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17B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透析患者矿物质与骨异常指标控制率、</w:t>
            </w:r>
          </w:p>
        </w:tc>
      </w:tr>
      <w:tr w14:paraId="53089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53E2E">
            <w:pPr>
              <w:rPr>
                <w:rFonts w:hint="eastAsia" w:ascii="宋体" w:hAnsi="宋体" w:eastAsia="宋体" w:cs="宋体"/>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B690">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透析患者血清白蛋白控制率。</w:t>
            </w:r>
          </w:p>
        </w:tc>
      </w:tr>
      <w:tr w14:paraId="0A6E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2334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系统管理</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CF5F">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1、用户角色</w:t>
            </w:r>
          </w:p>
        </w:tc>
      </w:tr>
      <w:tr w14:paraId="4BFE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0E58">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F3F0">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1）支持用户管理，可以新增、修改、冻结用户系统角色，支持对用户角色密码重置。支持通过账号、用户名称、电话进行系统用户信息查询。支持根据角色分配系统功能，可以新增、编辑、删除系统角色。</w:t>
            </w:r>
          </w:p>
        </w:tc>
      </w:tr>
      <w:tr w14:paraId="7F0A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D5A3">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4ED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2、模板配置</w:t>
            </w:r>
          </w:p>
        </w:tc>
      </w:tr>
      <w:tr w14:paraId="48A7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32C9D">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2FA8">
            <w:pPr>
              <w:keepNext w:val="0"/>
              <w:keepLines w:val="0"/>
              <w:widowControl/>
              <w:numPr>
                <w:ilvl w:val="0"/>
                <w:numId w:val="10"/>
              </w:numPr>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▲透析记录单，医护可以通过系统操作界面，通过自定义表单形式根据实际需要，自行对透析记录单内容及格式进行调整、编辑，以支持临床快速使用，以满足科室对于透析记录单管理需求。</w:t>
            </w:r>
          </w:p>
        </w:tc>
      </w:tr>
      <w:tr w14:paraId="29EF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3EFA">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1475">
            <w:pPr>
              <w:keepNext w:val="0"/>
              <w:keepLines w:val="0"/>
              <w:widowControl/>
              <w:numPr>
                <w:ilvl w:val="0"/>
                <w:numId w:val="10"/>
              </w:numPr>
              <w:suppressLineNumbers w:val="0"/>
              <w:spacing w:line="360" w:lineRule="auto"/>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▲血透病历，医护可以通过系统操作界面，通过自定义表单形式根据实际需要，自行对血透病历内容及格式进行调整、编辑，以支持临床快速使用，以满足科室对于透析记录单管理需求。</w:t>
            </w:r>
          </w:p>
        </w:tc>
      </w:tr>
      <w:tr w14:paraId="2E7D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16690">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E0EA">
            <w:pPr>
              <w:keepNext w:val="0"/>
              <w:keepLines w:val="0"/>
              <w:widowControl/>
              <w:numPr>
                <w:ilvl w:val="0"/>
                <w:numId w:val="10"/>
              </w:numPr>
              <w:suppressLineNumbers w:val="0"/>
              <w:spacing w:line="360" w:lineRule="auto"/>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护理评估单，医护可以通过系统操作界面，通过自定义表单形式根据实际需要，自行对护理评估单内容及格式进行调整、编辑，以支持临床快速使用，以满足科室对于透析记录单管理需求</w:t>
            </w:r>
            <w:r>
              <w:rPr>
                <w:rFonts w:hint="eastAsia" w:ascii="宋体" w:hAnsi="宋体" w:eastAsia="宋体" w:cs="宋体"/>
                <w:i w:val="0"/>
                <w:iCs w:val="0"/>
                <w:color w:val="000000"/>
                <w:kern w:val="0"/>
                <w:sz w:val="20"/>
                <w:szCs w:val="20"/>
                <w:u w:val="none"/>
                <w:lang w:val="en-US" w:eastAsia="zh-CN" w:bidi="ar"/>
              </w:rPr>
              <w:t>。</w:t>
            </w:r>
          </w:p>
        </w:tc>
      </w:tr>
      <w:tr w14:paraId="0D10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65915">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EFCF">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4）营养评估单，医护可以通过系统操作界面，通过自定义表单形式根据实际需要，自行对营养评估单内容及格式进行调整、编辑，以支持临床快速使用，以满足科室对于透析记录单管理需求。</w:t>
            </w:r>
          </w:p>
        </w:tc>
      </w:tr>
      <w:tr w14:paraId="71E9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8EB81">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CE8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5）▲医疗文书，医护可以通过系统操作界面，通过自定义表单形式根据实际需要，自行对医疗文书内容及格式进行调整、编辑，以支持临床快速使用，以满足科室对于透析记录单管理需求。</w:t>
            </w:r>
          </w:p>
        </w:tc>
      </w:tr>
      <w:tr w14:paraId="2350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F40C">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A30C">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3、标签管理</w:t>
            </w:r>
          </w:p>
        </w:tc>
      </w:tr>
      <w:tr w14:paraId="05E1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A04B8">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62D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1）可以单独或批量为一个患者或者多个患者快速添加一个或多个分类标签，方便统一管理。</w:t>
            </w:r>
          </w:p>
        </w:tc>
      </w:tr>
      <w:tr w14:paraId="0B3C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D35CD">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A3F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2）可对医嘱、并发症、护理、检验等项目自定义设置不同标签</w:t>
            </w:r>
          </w:p>
        </w:tc>
      </w:tr>
      <w:tr w14:paraId="3589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DBA4B">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D95B">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4、日志列表</w:t>
            </w:r>
          </w:p>
        </w:tc>
      </w:tr>
      <w:tr w14:paraId="4C38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97D4F">
            <w:pPr>
              <w:rPr>
                <w:rFonts w:hint="eastAsia" w:ascii="宋体" w:hAnsi="宋体" w:eastAsia="宋体" w:cs="宋体"/>
                <w:b/>
                <w:bCs/>
                <w:i w:val="0"/>
                <w:iCs w:val="0"/>
                <w:color w:val="000000"/>
                <w:sz w:val="20"/>
                <w:szCs w:val="20"/>
                <w:u w:val="none"/>
              </w:rPr>
            </w:pP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352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 支持查询系统用户登录日志，可查询用户的登录时间、登入、登出等操作记录。</w:t>
            </w:r>
          </w:p>
        </w:tc>
      </w:tr>
      <w:tr w14:paraId="40B9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549E">
            <w:pPr>
              <w:jc w:val="center"/>
              <w:rPr>
                <w:rFonts w:hint="eastAsia" w:ascii="宋体" w:hAnsi="宋体" w:eastAsia="宋体" w:cs="宋体"/>
                <w:b/>
                <w:bCs/>
                <w:color w:val="auto"/>
                <w:sz w:val="20"/>
                <w:szCs w:val="20"/>
                <w:vertAlign w:val="baseline"/>
                <w:lang w:val="en-US" w:eastAsia="zh-CN"/>
              </w:rPr>
            </w:pPr>
            <w:r>
              <w:rPr>
                <w:rFonts w:hint="eastAsia" w:ascii="宋体" w:hAnsi="宋体" w:eastAsia="宋体" w:cs="宋体"/>
                <w:b/>
                <w:bCs/>
                <w:color w:val="auto"/>
                <w:sz w:val="20"/>
                <w:szCs w:val="20"/>
                <w:vertAlign w:val="baseline"/>
                <w:lang w:val="en-US" w:eastAsia="zh-CN"/>
              </w:rPr>
              <w:t>★备注</w:t>
            </w:r>
          </w:p>
          <w:p w14:paraId="24D131F1">
            <w:pPr>
              <w:jc w:val="center"/>
              <w:rPr>
                <w:rFonts w:hint="eastAsia" w:ascii="宋体" w:hAnsi="宋体" w:eastAsia="宋体" w:cs="宋体"/>
                <w:b/>
                <w:bCs/>
                <w:i w:val="0"/>
                <w:iCs w:val="0"/>
                <w:color w:val="auto"/>
                <w:sz w:val="20"/>
                <w:szCs w:val="20"/>
                <w:u w:val="none"/>
              </w:rPr>
            </w:pPr>
            <w:r>
              <w:rPr>
                <w:rFonts w:hint="eastAsia" w:asciiTheme="minorEastAsia" w:hAnsiTheme="minorEastAsia" w:eastAsiaTheme="minorEastAsia" w:cstheme="minorEastAsia"/>
                <w:b/>
                <w:bCs/>
                <w:color w:val="auto"/>
                <w:sz w:val="20"/>
                <w:szCs w:val="20"/>
                <w:lang w:val="en-US" w:eastAsia="zh-CN"/>
              </w:rPr>
              <w:t>（提供服务承诺）</w:t>
            </w:r>
          </w:p>
        </w:tc>
        <w:tc>
          <w:tcPr>
            <w:tcW w:w="7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2CAB">
            <w:pPr>
              <w:widowControl/>
              <w:numPr>
                <w:ilvl w:val="0"/>
                <w:numId w:val="11"/>
              </w:numPr>
              <w:spacing w:line="360" w:lineRule="auto"/>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所有现有及后续采购设备仪器必须无条件及</w:t>
            </w:r>
            <w:r>
              <w:rPr>
                <w:rFonts w:hint="eastAsia" w:cs="宋体"/>
                <w:color w:val="auto"/>
                <w:kern w:val="0"/>
                <w:sz w:val="20"/>
                <w:szCs w:val="20"/>
                <w:lang w:val="en-US" w:eastAsia="zh-CN" w:bidi="ar"/>
              </w:rPr>
              <w:t>无</w:t>
            </w:r>
            <w:r>
              <w:rPr>
                <w:rFonts w:hint="eastAsia" w:ascii="宋体" w:hAnsi="宋体" w:eastAsia="宋体" w:cs="宋体"/>
                <w:color w:val="auto"/>
                <w:kern w:val="0"/>
                <w:sz w:val="20"/>
                <w:szCs w:val="20"/>
                <w:lang w:val="en-US" w:eastAsia="zh-CN" w:bidi="ar"/>
              </w:rPr>
              <w:t>任何费用接入，质保期内应接尽接。</w:t>
            </w:r>
          </w:p>
          <w:p w14:paraId="75A9F7C9">
            <w:pPr>
              <w:widowControl/>
              <w:numPr>
                <w:ilvl w:val="0"/>
                <w:numId w:val="11"/>
              </w:numPr>
              <w:spacing w:line="360" w:lineRule="auto"/>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根据管理及应用需求必须实现该系统与HIS、LIS、PACS等</w:t>
            </w:r>
            <w:r>
              <w:rPr>
                <w:rFonts w:hint="eastAsia" w:cs="宋体"/>
                <w:color w:val="auto"/>
                <w:kern w:val="0"/>
                <w:sz w:val="20"/>
                <w:szCs w:val="20"/>
                <w:lang w:val="en-US" w:eastAsia="zh-CN" w:bidi="ar"/>
              </w:rPr>
              <w:t>相关</w:t>
            </w:r>
            <w:r>
              <w:rPr>
                <w:rFonts w:hint="eastAsia" w:ascii="宋体" w:hAnsi="宋体" w:eastAsia="宋体" w:cs="宋体"/>
                <w:color w:val="auto"/>
                <w:kern w:val="0"/>
                <w:sz w:val="20"/>
                <w:szCs w:val="20"/>
                <w:lang w:val="en-US" w:eastAsia="zh-CN" w:bidi="ar"/>
              </w:rPr>
              <w:t>系统数据交互，互联互通。</w:t>
            </w:r>
          </w:p>
          <w:p w14:paraId="4F901C22">
            <w:pPr>
              <w:widowControl/>
              <w:numPr>
                <w:ilvl w:val="0"/>
                <w:numId w:val="11"/>
              </w:numPr>
              <w:spacing w:line="360" w:lineRule="auto"/>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质保期内如需与其他软件系统进行接口或视图等方式对接与开发改造，必须无条件免费对接及开发改造，应接尽接。</w:t>
            </w:r>
          </w:p>
          <w:p w14:paraId="69AD5D5D">
            <w:pPr>
              <w:widowControl/>
              <w:numPr>
                <w:ilvl w:val="0"/>
                <w:numId w:val="11"/>
              </w:numPr>
              <w:spacing w:line="360" w:lineRule="auto"/>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具有按照血透中的并发症种类统计相关数据及报表</w:t>
            </w:r>
            <w:r>
              <w:rPr>
                <w:rFonts w:hint="eastAsia" w:cs="宋体"/>
                <w:color w:val="auto"/>
                <w:kern w:val="0"/>
                <w:sz w:val="20"/>
                <w:szCs w:val="20"/>
                <w:lang w:val="en-US" w:eastAsia="zh-CN" w:bidi="ar"/>
              </w:rPr>
              <w:t>等</w:t>
            </w:r>
            <w:r>
              <w:rPr>
                <w:rFonts w:hint="eastAsia" w:ascii="宋体" w:hAnsi="宋体" w:eastAsia="宋体" w:cs="宋体"/>
                <w:color w:val="auto"/>
                <w:kern w:val="0"/>
                <w:sz w:val="20"/>
                <w:szCs w:val="20"/>
                <w:lang w:val="en-US" w:eastAsia="zh-CN" w:bidi="ar"/>
              </w:rPr>
              <w:t>功能。</w:t>
            </w:r>
          </w:p>
          <w:p w14:paraId="2F28936F">
            <w:pPr>
              <w:widowControl/>
              <w:numPr>
                <w:ilvl w:val="0"/>
                <w:numId w:val="11"/>
              </w:numPr>
              <w:spacing w:line="360" w:lineRule="auto"/>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具有护士工作量的相关数据统计及报表</w:t>
            </w:r>
            <w:r>
              <w:rPr>
                <w:rFonts w:hint="eastAsia" w:cs="宋体"/>
                <w:color w:val="auto"/>
                <w:kern w:val="0"/>
                <w:sz w:val="20"/>
                <w:szCs w:val="20"/>
                <w:lang w:val="en-US" w:eastAsia="zh-CN" w:bidi="ar"/>
              </w:rPr>
              <w:t>等</w:t>
            </w:r>
            <w:r>
              <w:rPr>
                <w:rFonts w:hint="eastAsia" w:ascii="宋体" w:hAnsi="宋体" w:eastAsia="宋体" w:cs="宋体"/>
                <w:color w:val="auto"/>
                <w:kern w:val="0"/>
                <w:sz w:val="20"/>
                <w:szCs w:val="20"/>
                <w:lang w:val="en-US" w:eastAsia="zh-CN" w:bidi="ar"/>
              </w:rPr>
              <w:t>功能。</w:t>
            </w:r>
          </w:p>
          <w:p w14:paraId="6ACB3BB8">
            <w:pPr>
              <w:widowControl/>
              <w:numPr>
                <w:ilvl w:val="0"/>
                <w:numId w:val="11"/>
              </w:numPr>
              <w:spacing w:line="360" w:lineRule="auto"/>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具有CRRT（连续性血液净化机）系统管理模块。</w:t>
            </w:r>
          </w:p>
          <w:p w14:paraId="18F70B7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0"/>
                <w:szCs w:val="20"/>
                <w:lang w:val="en-US" w:eastAsia="zh-CN" w:bidi="ar"/>
              </w:rPr>
              <w:t>7、具有水处理系统管理模块。</w:t>
            </w:r>
          </w:p>
        </w:tc>
      </w:tr>
    </w:tbl>
    <w:p w14:paraId="5C07A0EC">
      <w:pPr>
        <w:rPr>
          <w:rFonts w:hint="eastAsia"/>
          <w:b/>
          <w:bCs/>
          <w:lang w:val="en-US" w:eastAsia="zh-CN"/>
        </w:rPr>
      </w:pPr>
      <w:r>
        <w:rPr>
          <w:rFonts w:hint="eastAsia"/>
          <w:b/>
          <w:bCs/>
          <w:lang w:val="en-US" w:eastAsia="zh-CN"/>
        </w:rPr>
        <w:br w:type="page"/>
      </w:r>
    </w:p>
    <w:p w14:paraId="3FDE5397">
      <w:pPr>
        <w:pStyle w:val="6"/>
        <w:keepNext w:val="0"/>
        <w:keepLines w:val="0"/>
        <w:pageBreakBefore w:val="0"/>
        <w:widowControl w:val="0"/>
        <w:kinsoku/>
        <w:wordWrap w:val="0"/>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（四）手术麻醉管理系统</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405"/>
        <w:gridCol w:w="6399"/>
      </w:tblGrid>
      <w:tr w14:paraId="4C59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40" w:type="dxa"/>
          </w:tcPr>
          <w:p w14:paraId="3849405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line="360" w:lineRule="auto"/>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序号</w:t>
            </w:r>
          </w:p>
        </w:tc>
        <w:tc>
          <w:tcPr>
            <w:tcW w:w="1463" w:type="dxa"/>
            <w:vAlign w:val="center"/>
          </w:tcPr>
          <w:p w14:paraId="43C412C6">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line="360" w:lineRule="auto"/>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功能模块</w:t>
            </w:r>
          </w:p>
        </w:tc>
        <w:tc>
          <w:tcPr>
            <w:tcW w:w="6816" w:type="dxa"/>
            <w:vAlign w:val="center"/>
          </w:tcPr>
          <w:p w14:paraId="034EF5E6">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line="360" w:lineRule="auto"/>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功能描述</w:t>
            </w:r>
          </w:p>
        </w:tc>
      </w:tr>
      <w:tr w14:paraId="2D01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9" w:hRule="atLeast"/>
          <w:jc w:val="center"/>
        </w:trPr>
        <w:tc>
          <w:tcPr>
            <w:tcW w:w="740" w:type="dxa"/>
            <w:vAlign w:val="center"/>
          </w:tcPr>
          <w:p w14:paraId="592BC42C">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w:t>
            </w:r>
          </w:p>
        </w:tc>
        <w:tc>
          <w:tcPr>
            <w:tcW w:w="1463" w:type="dxa"/>
            <w:vAlign w:val="center"/>
          </w:tcPr>
          <w:p w14:paraId="56E02493">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手术排台</w:t>
            </w:r>
          </w:p>
        </w:tc>
        <w:tc>
          <w:tcPr>
            <w:tcW w:w="6816" w:type="dxa"/>
          </w:tcPr>
          <w:p w14:paraId="2194832D">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(1)支持与HIS集成，自动从HIS中提取患者基本信息、住院信息、手术申请信息；</w:t>
            </w:r>
          </w:p>
          <w:p w14:paraId="16BF277A">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(2)支持查看手术申请列表；</w:t>
            </w:r>
          </w:p>
          <w:p w14:paraId="6ACE77EA">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(3)支持根据日期、患者姓名等查询患者手术信息；</w:t>
            </w:r>
          </w:p>
          <w:p w14:paraId="5C58E803">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(4)支持下拉指定手术间的方式进行排台；</w:t>
            </w:r>
          </w:p>
          <w:p w14:paraId="3064EA37">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(5)支持拖拽手术申请到指定手术间的方式进行排台；</w:t>
            </w:r>
          </w:p>
          <w:p w14:paraId="4D478B01">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(6)支持在同手术间内调整手术台次；</w:t>
            </w:r>
          </w:p>
          <w:p w14:paraId="0AC0F12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(7)支持选择、修改手术预定时间、手术间、台次、麻醉医生、麻醉助手、洗手护士、巡回护士；</w:t>
            </w:r>
          </w:p>
          <w:p w14:paraId="50785EF0">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(8)支持取消手术，需填写取消原因；</w:t>
            </w:r>
          </w:p>
          <w:p w14:paraId="58EB8F40">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(9)支持已取消手术的恢复；</w:t>
            </w:r>
          </w:p>
          <w:p w14:paraId="690103DC">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(10)支持根据手术排台信息生成手术通知单，生成通知单时可根据科室、主刀医生进行分组；</w:t>
            </w:r>
          </w:p>
          <w:p w14:paraId="44076A96">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(11)支持过滤掉“取消或删除手术”后再生成手术通知单；</w:t>
            </w:r>
          </w:p>
          <w:p w14:paraId="408FCF19">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(12)支持导出、预览、打印手术通知单；</w:t>
            </w:r>
          </w:p>
          <w:p w14:paraId="5CEA61EC">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(13)支持完善信息后提交排台信息，可一键提交；</w:t>
            </w:r>
          </w:p>
          <w:p w14:paraId="61CAA50D">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(14)支持撤销已排台手术进行重新排台；</w:t>
            </w:r>
          </w:p>
          <w:p w14:paraId="67ECB785">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(15)支持手术排台信息全院共享；</w:t>
            </w:r>
          </w:p>
          <w:p w14:paraId="29528A9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(16)支持维护大屏公告信息；</w:t>
            </w:r>
          </w:p>
          <w:p w14:paraId="5F3FCFB6">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(17)支持麻醉医生、护士单独排台模式：麻醉医生负责指定麻醉医生、麻醉助手、麻醉方式等信息，护士负责指定手术预定时间、手术间、台次等；</w:t>
            </w:r>
          </w:p>
          <w:p w14:paraId="5C8FC8ED">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(18)支持麻醉医生、护士统一排台模式：麻醉医生或护士全部负责指定麻醉医生、麻醉助手、麻醉方式、手术预定时间、手术间、台次等；</w:t>
            </w:r>
          </w:p>
        </w:tc>
      </w:tr>
      <w:tr w14:paraId="585F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Align w:val="center"/>
          </w:tcPr>
          <w:p w14:paraId="517CF2FC">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w:t>
            </w:r>
          </w:p>
        </w:tc>
        <w:tc>
          <w:tcPr>
            <w:tcW w:w="1463" w:type="dxa"/>
            <w:vAlign w:val="center"/>
          </w:tcPr>
          <w:p w14:paraId="4632AE92">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麻醉医生工作站</w:t>
            </w:r>
          </w:p>
        </w:tc>
        <w:tc>
          <w:tcPr>
            <w:tcW w:w="6816" w:type="dxa"/>
          </w:tcPr>
          <w:p w14:paraId="1B716B97">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(1)支持通过扫码枪扫描患者腕带核对患者身份；</w:t>
            </w:r>
          </w:p>
          <w:p w14:paraId="1E7257EE">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(2)支持手术概览，可查看各手术间手术开展情况及进度；</w:t>
            </w:r>
          </w:p>
          <w:p w14:paraId="1FBDE3E3">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(3)支持急诊登记，保证紧急情况下手术的顺利开展；</w:t>
            </w:r>
          </w:p>
          <w:p w14:paraId="524BF26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(4)支持通过术前、术中、术后、全部等手术状态查看手术列表；</w:t>
            </w:r>
          </w:p>
          <w:p w14:paraId="5C1F5473">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(5)支持通过日期、术间、麻醉方法、患者ID、患者住院号、患者姓名、主刀医生等条件查询手术；</w:t>
            </w:r>
          </w:p>
          <w:p w14:paraId="4745CFBF">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(6)支持查看选中手术的患者信息、手术信息、各类文书状态信息；</w:t>
            </w:r>
          </w:p>
          <w:p w14:paraId="7A658A28">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(7)支持填写、修改手术名称、麻醉方式、ASA分级等手术信息；</w:t>
            </w:r>
          </w:p>
          <w:p w14:paraId="5BDEC17B">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(8)支持围术期关键时间节点的记录和维护；</w:t>
            </w:r>
          </w:p>
          <w:p w14:paraId="2535D1D0">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(9)支持在麻醉单上用不同符号表示围术期时间节点；</w:t>
            </w:r>
          </w:p>
          <w:p w14:paraId="5B123A22">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(10)支持监护设备管理，可伴随手术进度进行设备的绑定与解绑；</w:t>
            </w:r>
          </w:p>
          <w:p w14:paraId="7547D372">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(11)支持与监护设备对接，自动采集、处理、存储监护生命体征数据；</w:t>
            </w:r>
          </w:p>
          <w:p w14:paraId="4A8DE4AE">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(12)支持麻醉单上自动加载、展示采集的监护生命体征数据；</w:t>
            </w:r>
          </w:p>
          <w:p w14:paraId="2D9A6B5F">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(13)支持对采集到的监护生命体征数据进行修改并留痕；</w:t>
            </w:r>
          </w:p>
          <w:p w14:paraId="5D142EFE">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(14)支持没有数据采集场景下手动录入生命体征数据；</w:t>
            </w:r>
          </w:p>
          <w:p w14:paraId="39464FF1">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(15)支持在麻醉单上用不同符号表示生命体征数据；</w:t>
            </w:r>
          </w:p>
          <w:p w14:paraId="5CC24323">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(16)支持超出阈值的生命体征进行弹窗提醒；</w:t>
            </w:r>
          </w:p>
          <w:p w14:paraId="4DA831E2">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(17)支持超出阈值的生命体征在麻醉单上着重显示；</w:t>
            </w:r>
          </w:p>
          <w:p w14:paraId="561D21C3">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(18)支持用药、麻药、输血、输液、质控事件等各种麻醉事件的记录；</w:t>
            </w:r>
          </w:p>
          <w:p w14:paraId="0E0C0F2A">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(19)支持通过拼音首字母快速查找、定位麻醉事件；</w:t>
            </w:r>
          </w:p>
          <w:p w14:paraId="0812713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(20)支持术中快速录入自定义麻醉事件；</w:t>
            </w:r>
          </w:p>
          <w:p w14:paraId="3435CA01">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(21)支持建立麻醉事件模板，可在术中选择事件模板调整后一键录入多个麻醉事件；</w:t>
            </w:r>
          </w:p>
          <w:p w14:paraId="7089E89C">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(22)支持各种麻醉事件在麻醉单上的展示，瞬时事件与时段事件区分展示；</w:t>
            </w:r>
          </w:p>
          <w:p w14:paraId="5A96B33B">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(23)支持入量、出量的记录并实现麻醉单上入出量的自动加总；</w:t>
            </w:r>
          </w:p>
          <w:p w14:paraId="2F69B98A">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(24)支持多种内置常用文书模板：麻醉记录单、术前访视单、麻醉知情同意书、术后访视单、麻醉计划书、麻醉总结单、术后镇痛记录等；</w:t>
            </w:r>
          </w:p>
          <w:p w14:paraId="429C2291">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(25)支持文书客户化；</w:t>
            </w:r>
          </w:p>
          <w:p w14:paraId="0BD09B2E">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(26)支持对接CA完成麻醉医</w:t>
            </w:r>
            <w:r>
              <w:rPr>
                <w:rFonts w:hint="eastAsia" w:asciiTheme="minorEastAsia" w:hAnsiTheme="minorEastAsia" w:eastAsiaTheme="minorEastAsia" w:cstheme="minorEastAsia"/>
                <w:b w:val="0"/>
                <w:bCs w:val="0"/>
                <w:color w:val="auto"/>
                <w:sz w:val="20"/>
                <w:szCs w:val="20"/>
                <w:vertAlign w:val="baseline"/>
                <w:lang w:val="en-US" w:eastAsia="zh-CN"/>
              </w:rPr>
              <w:t>生、护士及相关人员在各类</w:t>
            </w:r>
            <w:r>
              <w:rPr>
                <w:rFonts w:hint="eastAsia" w:asciiTheme="minorEastAsia" w:hAnsiTheme="minorEastAsia" w:eastAsiaTheme="minorEastAsia" w:cstheme="minorEastAsia"/>
                <w:b w:val="0"/>
                <w:bCs w:val="0"/>
                <w:sz w:val="20"/>
                <w:szCs w:val="20"/>
                <w:vertAlign w:val="baseline"/>
                <w:lang w:val="en-US" w:eastAsia="zh-CN"/>
              </w:rPr>
              <w:t>文书上的电子签名；</w:t>
            </w:r>
          </w:p>
          <w:p w14:paraId="6F665CAB">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(27)支持文书上传平台服务器，完成归档并全员共享参考；</w:t>
            </w:r>
          </w:p>
          <w:p w14:paraId="7729FFC7">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(28)支持文书上传手麻服务器，完成归档并全院共享参考；</w:t>
            </w:r>
          </w:p>
          <w:p w14:paraId="1B538AAC">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(29)支持各类文书的预览、打印；</w:t>
            </w:r>
          </w:p>
          <w:p w14:paraId="5F29610F">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(30)支持中止手术，必须填入中止手术原因；</w:t>
            </w:r>
          </w:p>
          <w:p w14:paraId="118FA707">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(31)支持与HIS系统、EMR系统、360全景等系统对接，查阅患者电子病历、检查报告、检验结果信息等；</w:t>
            </w:r>
          </w:p>
          <w:p w14:paraId="6365D3C7">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(32)支持麻醉医生计费，计费支持模板计费；</w:t>
            </w:r>
          </w:p>
          <w:p w14:paraId="598E2351">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(33)支持模板计费时与HIS价表进行比对，以获取项目最新价格；</w:t>
            </w:r>
          </w:p>
          <w:p w14:paraId="335AD661">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(34)支持模板计费时将HIS已停价项目红色显示；</w:t>
            </w:r>
          </w:p>
        </w:tc>
      </w:tr>
      <w:tr w14:paraId="153D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1" w:hRule="atLeast"/>
          <w:jc w:val="center"/>
        </w:trPr>
        <w:tc>
          <w:tcPr>
            <w:tcW w:w="740" w:type="dxa"/>
            <w:vAlign w:val="center"/>
          </w:tcPr>
          <w:p w14:paraId="10A7A126">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w:t>
            </w:r>
          </w:p>
        </w:tc>
        <w:tc>
          <w:tcPr>
            <w:tcW w:w="1463" w:type="dxa"/>
            <w:vAlign w:val="center"/>
          </w:tcPr>
          <w:p w14:paraId="42BF1F2D">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护士工作站</w:t>
            </w:r>
          </w:p>
        </w:tc>
        <w:tc>
          <w:tcPr>
            <w:tcW w:w="6816" w:type="dxa"/>
          </w:tcPr>
          <w:p w14:paraId="067CEACF">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(1)支持通过扫码枪扫描患者腕带核对患者身份；</w:t>
            </w:r>
          </w:p>
          <w:p w14:paraId="3EF30A8F">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(2)支持通过术前、术中、术后、全部等手术状态查看手术列表；</w:t>
            </w:r>
          </w:p>
          <w:p w14:paraId="58BE3869">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(3)支持通过日期、术间、麻醉方法、患者ID、患者住院号、患者姓名、主刀医生等条件查询手术；</w:t>
            </w:r>
          </w:p>
          <w:p w14:paraId="18E11E0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(4)支持查看选中手术的患者信息、手术信息、各类文书状态信息；</w:t>
            </w:r>
          </w:p>
          <w:p w14:paraId="16B3188D">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(5)支持多种内置常用文书模板：三方核查单、清点记录单、护理记录单；</w:t>
            </w:r>
          </w:p>
          <w:p w14:paraId="4CF96151">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(6)支持文书客户化；</w:t>
            </w:r>
          </w:p>
          <w:p w14:paraId="6D969DF2">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(7)支持对接</w:t>
            </w:r>
            <w:r>
              <w:rPr>
                <w:rFonts w:hint="eastAsia" w:asciiTheme="minorEastAsia" w:hAnsiTheme="minorEastAsia" w:eastAsiaTheme="minorEastAsia" w:cstheme="minorEastAsia"/>
                <w:b w:val="0"/>
                <w:bCs w:val="0"/>
                <w:color w:val="auto"/>
                <w:sz w:val="20"/>
                <w:szCs w:val="20"/>
                <w:vertAlign w:val="baseline"/>
                <w:lang w:val="en-US" w:eastAsia="zh-CN"/>
              </w:rPr>
              <w:t>CA完成护士、医生及相关人员在各类</w:t>
            </w:r>
            <w:r>
              <w:rPr>
                <w:rFonts w:hint="eastAsia" w:asciiTheme="minorEastAsia" w:hAnsiTheme="minorEastAsia" w:eastAsiaTheme="minorEastAsia" w:cstheme="minorEastAsia"/>
                <w:b w:val="0"/>
                <w:bCs w:val="0"/>
                <w:sz w:val="20"/>
                <w:szCs w:val="20"/>
                <w:vertAlign w:val="baseline"/>
                <w:lang w:val="en-US" w:eastAsia="zh-CN"/>
              </w:rPr>
              <w:t>文书上的电子签名；</w:t>
            </w:r>
          </w:p>
          <w:p w14:paraId="556A5883">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(8)支持文书上传平台服务器，完成归档并全员共享参考；</w:t>
            </w:r>
          </w:p>
          <w:p w14:paraId="1466CA0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(9)支持文书上传手麻服务器，完成归档并全院共享参考；</w:t>
            </w:r>
          </w:p>
          <w:p w14:paraId="3355583A">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(10)支持各类文书的预览、打印；</w:t>
            </w:r>
          </w:p>
          <w:p w14:paraId="687B156D">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(11)支持与HIS系统、EMR系统、360全景等系统对接，查阅患者电子病历、检查报告、检验结果信息等；</w:t>
            </w:r>
          </w:p>
          <w:p w14:paraId="75B9D021">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(12)支持护士计费，计费支持模板计费；</w:t>
            </w:r>
          </w:p>
          <w:p w14:paraId="0D6ACC32">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(13)支持模板计费时与HIS价表进行比对，以获取项目最新价格；</w:t>
            </w:r>
          </w:p>
          <w:p w14:paraId="55AD6778">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(14)支持模板计费时将HIS已停价项目红色显示；</w:t>
            </w:r>
          </w:p>
          <w:p w14:paraId="7DB2F8DE">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(15)支持护士长计费审核；</w:t>
            </w:r>
          </w:p>
          <w:p w14:paraId="281B47B3">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(16)支持将审核完成的计费项目同步到HIS；</w:t>
            </w:r>
          </w:p>
          <w:p w14:paraId="4724119D">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(17)支持撤销计费项目；</w:t>
            </w:r>
          </w:p>
          <w:p w14:paraId="6F157968">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(18)支持未收费手术提醒；</w:t>
            </w:r>
          </w:p>
        </w:tc>
      </w:tr>
      <w:tr w14:paraId="1BA3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5" w:hRule="atLeast"/>
          <w:jc w:val="center"/>
        </w:trPr>
        <w:tc>
          <w:tcPr>
            <w:tcW w:w="740" w:type="dxa"/>
            <w:vAlign w:val="center"/>
          </w:tcPr>
          <w:p w14:paraId="2A7AA989">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4</w:t>
            </w:r>
          </w:p>
        </w:tc>
        <w:tc>
          <w:tcPr>
            <w:tcW w:w="1463" w:type="dxa"/>
            <w:vAlign w:val="center"/>
          </w:tcPr>
          <w:p w14:paraId="30769592">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复苏工作站</w:t>
            </w:r>
          </w:p>
        </w:tc>
        <w:tc>
          <w:tcPr>
            <w:tcW w:w="6816" w:type="dxa"/>
          </w:tcPr>
          <w:p w14:paraId="53FF244D">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(1)支持复苏床位的选择；</w:t>
            </w:r>
          </w:p>
          <w:p w14:paraId="0DB1E5C8">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(2)支持取消入复苏室；</w:t>
            </w:r>
          </w:p>
          <w:p w14:paraId="713C5489">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(3)支持复苏患者列表查看；</w:t>
            </w:r>
          </w:p>
          <w:p w14:paraId="3761B970">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(4)支持通过日期、患者ID、患者住院号、患者姓名等条件查询手术；</w:t>
            </w:r>
          </w:p>
          <w:p w14:paraId="33E055EE">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(5)支持入出复苏室时间设定；</w:t>
            </w:r>
          </w:p>
          <w:p w14:paraId="35C50088">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(6)支持监护设备管理，可伴入复苏室等操作进行设备的绑定与解绑；</w:t>
            </w:r>
          </w:p>
          <w:p w14:paraId="37BB28DA">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(7)支持与监护设备对接，自动采集、处理、存储监护生命体征数据；</w:t>
            </w:r>
          </w:p>
          <w:p w14:paraId="076B4560">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(8)支持复苏单上自动加载、展示采集的监护生命体征数据；</w:t>
            </w:r>
          </w:p>
          <w:p w14:paraId="10D157B7">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(9)支持对采集到的监护生命体征数据进行修改并留痕；</w:t>
            </w:r>
          </w:p>
          <w:p w14:paraId="49B860B2">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(10)支持没有数据采集场景下手动录入生命体征数据；</w:t>
            </w:r>
          </w:p>
          <w:p w14:paraId="1A2143DC">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(11)支持在复苏单上用不同符号表示生命体征数据；</w:t>
            </w:r>
          </w:p>
          <w:p w14:paraId="0566448C">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(12)支持超出阈值的生命体征进行弹窗提醒；</w:t>
            </w:r>
          </w:p>
          <w:p w14:paraId="299195FF">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(13)支持超出阈值的生命体征在复苏单上着重显示；</w:t>
            </w:r>
          </w:p>
          <w:p w14:paraId="1126F56D">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(14)支持用药、输血、输液等各种事件的记录；</w:t>
            </w:r>
          </w:p>
          <w:p w14:paraId="05B4D282">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(15)支持各种事件在复苏单上的展示，瞬时事件与时段事件区分展示；</w:t>
            </w:r>
          </w:p>
          <w:p w14:paraId="1548230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(16)支持多种内置常用文书模板：复苏单、Steward评分记录单等，其中Steward评分记录单支持自动算分；</w:t>
            </w:r>
          </w:p>
          <w:p w14:paraId="75E1A4E7">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(17)支持</w:t>
            </w:r>
            <w:r>
              <w:rPr>
                <w:rFonts w:hint="eastAsia" w:asciiTheme="minorEastAsia" w:hAnsiTheme="minorEastAsia" w:eastAsiaTheme="minorEastAsia" w:cstheme="minorEastAsia"/>
                <w:b w:val="0"/>
                <w:bCs w:val="0"/>
                <w:color w:val="auto"/>
                <w:sz w:val="20"/>
                <w:szCs w:val="20"/>
                <w:vertAlign w:val="baseline"/>
                <w:lang w:val="en-US" w:eastAsia="zh-CN"/>
              </w:rPr>
              <w:t>文书客户化；</w:t>
            </w:r>
          </w:p>
          <w:p w14:paraId="3A2FAD73">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(18)支持对接CA完成医生、护士及相关人员在</w:t>
            </w:r>
            <w:r>
              <w:rPr>
                <w:rFonts w:hint="eastAsia" w:asciiTheme="minorEastAsia" w:hAnsiTheme="minorEastAsia" w:eastAsiaTheme="minorEastAsia" w:cstheme="minorEastAsia"/>
                <w:b w:val="0"/>
                <w:bCs w:val="0"/>
                <w:sz w:val="20"/>
                <w:szCs w:val="20"/>
                <w:vertAlign w:val="baseline"/>
                <w:lang w:val="en-US" w:eastAsia="zh-CN"/>
              </w:rPr>
              <w:t>各类文书上的电子签名；</w:t>
            </w:r>
          </w:p>
          <w:p w14:paraId="299F7A52">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(19)支持文书上传平台服务器，完成归档并全员共享参考；</w:t>
            </w:r>
          </w:p>
          <w:p w14:paraId="5C35137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(20)支持文书上传手麻服务器，完成归档并全院共享参考；</w:t>
            </w:r>
          </w:p>
          <w:p w14:paraId="65254BA3">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(21)支持与HIS系统、EMR系统、360全景等系统对接，查阅患者电子病历、检查报告、检验结果信息等；</w:t>
            </w:r>
          </w:p>
        </w:tc>
      </w:tr>
      <w:tr w14:paraId="6750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6" w:hRule="atLeast"/>
          <w:jc w:val="center"/>
        </w:trPr>
        <w:tc>
          <w:tcPr>
            <w:tcW w:w="740" w:type="dxa"/>
            <w:vAlign w:val="center"/>
          </w:tcPr>
          <w:p w14:paraId="2D4EE78E">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5</w:t>
            </w:r>
          </w:p>
        </w:tc>
        <w:tc>
          <w:tcPr>
            <w:tcW w:w="1463" w:type="dxa"/>
            <w:vAlign w:val="center"/>
          </w:tcPr>
          <w:p w14:paraId="356ADD66">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信息大屏</w:t>
            </w:r>
          </w:p>
        </w:tc>
        <w:tc>
          <w:tcPr>
            <w:tcW w:w="6816" w:type="dxa"/>
          </w:tcPr>
          <w:p w14:paraId="27459F01">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(1)支持手术告示大屏，可将当日待进行及正在进行手术的术间、台次、科室、患者姓名、主刀医生、麻醉医生、麻醉助手、洗手护士、巡回护士等信息进行展示；</w:t>
            </w:r>
          </w:p>
          <w:p w14:paraId="36E15EB6">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(2)支持家属等待大屏，可将当日待进行及正在进行手术的患者姓名、科室、床号、手术状态进行展示；</w:t>
            </w:r>
          </w:p>
          <w:p w14:paraId="541E8FD3">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(3)支持家属等待大屏加密显示患者姓名；</w:t>
            </w:r>
          </w:p>
          <w:p w14:paraId="40BE4993">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(4)支持家属等待大屏循环播放宣教视频；</w:t>
            </w:r>
          </w:p>
          <w:p w14:paraId="666539F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(5)支持大屏展示当前日期、时间；</w:t>
            </w:r>
          </w:p>
          <w:p w14:paraId="6B9360BE">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(6)支持大屏循环显示手术列表信息，每页展示时间支持通过参数设定；</w:t>
            </w:r>
          </w:p>
        </w:tc>
      </w:tr>
      <w:tr w14:paraId="4B95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5" w:hRule="atLeast"/>
          <w:jc w:val="center"/>
        </w:trPr>
        <w:tc>
          <w:tcPr>
            <w:tcW w:w="740" w:type="dxa"/>
            <w:vAlign w:val="center"/>
          </w:tcPr>
          <w:p w14:paraId="04E01706">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6</w:t>
            </w:r>
          </w:p>
        </w:tc>
        <w:tc>
          <w:tcPr>
            <w:tcW w:w="1463" w:type="dxa"/>
            <w:vAlign w:val="center"/>
          </w:tcPr>
          <w:p w14:paraId="5177ECE1">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移动访视系统</w:t>
            </w:r>
          </w:p>
        </w:tc>
        <w:tc>
          <w:tcPr>
            <w:tcW w:w="6816" w:type="dxa"/>
          </w:tcPr>
          <w:p w14:paraId="671D396D">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(1)支持通过扫码枪扫描患者腕带核对患者身份；</w:t>
            </w:r>
          </w:p>
          <w:p w14:paraId="32F06E9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(2)支持查看手术列表；</w:t>
            </w:r>
          </w:p>
          <w:p w14:paraId="0DF06EE7">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(3)支持通过日期、术间、麻醉方法、患者ID、患者住院号、患者姓名、主刀医生等条件查询手术；</w:t>
            </w:r>
          </w:p>
          <w:p w14:paraId="76AA940F">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(4)支持多种内置常用文书模板：三方核查单、清点记录单、护理记录单、麻醉知情同意书、术前访视单、术后访视单、术后镇痛记录单等；</w:t>
            </w:r>
          </w:p>
          <w:p w14:paraId="157312F2">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(5)支持通过设定的模板快速录入文书；</w:t>
            </w:r>
          </w:p>
          <w:p w14:paraId="5F0A8E8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(6)支持文书客户化；</w:t>
            </w:r>
          </w:p>
          <w:p w14:paraId="6533A2D5">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(7)支持对接CA完成麻醉医生在各类文书上的电子签名；</w:t>
            </w:r>
          </w:p>
          <w:p w14:paraId="60626177">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(8)支持文书上传平台服务器，完成归档并全员共享参考；</w:t>
            </w:r>
          </w:p>
          <w:p w14:paraId="2BF3616D">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(9)支持文书上传手麻服务器，完成归档并全院共享参考；</w:t>
            </w:r>
          </w:p>
          <w:p w14:paraId="426A89EB">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(10)支持上述各类文书通过移动端打印；</w:t>
            </w:r>
          </w:p>
        </w:tc>
      </w:tr>
      <w:tr w14:paraId="0325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1" w:hRule="atLeast"/>
          <w:jc w:val="center"/>
        </w:trPr>
        <w:tc>
          <w:tcPr>
            <w:tcW w:w="740" w:type="dxa"/>
            <w:vAlign w:val="center"/>
          </w:tcPr>
          <w:p w14:paraId="759B560F">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7</w:t>
            </w:r>
          </w:p>
        </w:tc>
        <w:tc>
          <w:tcPr>
            <w:tcW w:w="1463" w:type="dxa"/>
            <w:vAlign w:val="center"/>
          </w:tcPr>
          <w:p w14:paraId="1516CBA0">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统计分析</w:t>
            </w:r>
          </w:p>
        </w:tc>
        <w:tc>
          <w:tcPr>
            <w:tcW w:w="6816" w:type="dxa"/>
            <w:vAlign w:val="center"/>
          </w:tcPr>
          <w:p w14:paraId="4F018F86">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(1)支持工作量统计：手术信息统计、麻醉信息统计、麻醉医生工作量统计、手术护士工作量统计、主刀医生工作量统计、科室工作量统计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(2)支持麻醉统计：麻醉方法统计、麻醉大类统计、麻醉总例数统计；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(3)支持镇痛治疗统计；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(4)支持心肺复苏治疗例数统计；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(5)支持Steward评分管理例数统计；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(6)支持麻醉非预期相关事件例数统计：麻醉中发生未预期的意识障碍例数、麻醉中出现氧饱和度重度降低例数、全身麻醉结束时使用催醒药物例数、麻醉中因误咽误吸引发呼吸道梗阻例数、麻醉意外死亡例数；</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(7)支持麻醉分级(ASA分级)例数统计；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(8)支持麻醉专业质控控制指标（2022年版）数据统计；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(9)支持查询结果导出为Excel文件。</w:t>
            </w:r>
          </w:p>
        </w:tc>
      </w:tr>
      <w:tr w14:paraId="1D5B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40" w:type="dxa"/>
            <w:vAlign w:val="center"/>
          </w:tcPr>
          <w:p w14:paraId="155D0FD8">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8</w:t>
            </w:r>
          </w:p>
        </w:tc>
        <w:tc>
          <w:tcPr>
            <w:tcW w:w="1463" w:type="dxa"/>
            <w:vAlign w:val="center"/>
          </w:tcPr>
          <w:p w14:paraId="3E65629E">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权限管理</w:t>
            </w:r>
          </w:p>
        </w:tc>
        <w:tc>
          <w:tcPr>
            <w:tcW w:w="6816" w:type="dxa"/>
            <w:vAlign w:val="center"/>
          </w:tcPr>
          <w:p w14:paraId="1495D558">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(1)支持用户的添加、删除、修改和启停用功能；</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(2)支持角色的添加、删除、修改和菜单的分配；</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(3)支持菜单的添加、删除和修改；</w:t>
            </w:r>
          </w:p>
        </w:tc>
      </w:tr>
      <w:tr w14:paraId="180B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jc w:val="center"/>
        </w:trPr>
        <w:tc>
          <w:tcPr>
            <w:tcW w:w="740" w:type="dxa"/>
            <w:vAlign w:val="center"/>
          </w:tcPr>
          <w:p w14:paraId="5B7477D5">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w:t>
            </w:r>
          </w:p>
        </w:tc>
        <w:tc>
          <w:tcPr>
            <w:tcW w:w="1463" w:type="dxa"/>
            <w:vAlign w:val="center"/>
          </w:tcPr>
          <w:p w14:paraId="38D56FD0">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系统配置</w:t>
            </w:r>
          </w:p>
        </w:tc>
        <w:tc>
          <w:tcPr>
            <w:tcW w:w="6816" w:type="dxa"/>
            <w:vAlign w:val="center"/>
          </w:tcPr>
          <w:p w14:paraId="63AA3969">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(1)支持系统初始化参数配置；</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(2)支持系统字典表数据设置；</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(3)支持手术名称、诊断、员工、科室等字典与HIS的同步；</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(4)支持生命体征上下限阈值维护；</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(5)支持获取HIS价表，实现价表统一源头管理；</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(6)支持创建收费模板；</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（7）预留对接平台接口。</w:t>
            </w:r>
          </w:p>
        </w:tc>
      </w:tr>
      <w:tr w14:paraId="0CA6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jc w:val="center"/>
        </w:trPr>
        <w:tc>
          <w:tcPr>
            <w:tcW w:w="740" w:type="dxa"/>
            <w:vAlign w:val="center"/>
          </w:tcPr>
          <w:p w14:paraId="0887F9A1">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color w:val="auto"/>
                <w:sz w:val="20"/>
                <w:szCs w:val="20"/>
                <w:vertAlign w:val="baseline"/>
                <w:lang w:val="en-US" w:eastAsia="zh-CN"/>
              </w:rPr>
            </w:pPr>
          </w:p>
          <w:p w14:paraId="30C0CA29">
            <w:pPr>
              <w:bidi w:val="0"/>
              <w:jc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10</w:t>
            </w:r>
          </w:p>
        </w:tc>
        <w:tc>
          <w:tcPr>
            <w:tcW w:w="1463" w:type="dxa"/>
            <w:vAlign w:val="center"/>
          </w:tcPr>
          <w:p w14:paraId="3C1FA9FA">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lang w:val="en-US" w:eastAsia="zh-CN"/>
              </w:rPr>
            </w:pPr>
            <w:r>
              <w:rPr>
                <w:rFonts w:hint="eastAsia" w:asciiTheme="minorEastAsia" w:hAnsiTheme="minorEastAsia" w:eastAsiaTheme="minorEastAsia" w:cstheme="minorEastAsia"/>
                <w:b/>
                <w:bCs/>
                <w:color w:val="auto"/>
                <w:sz w:val="20"/>
                <w:szCs w:val="20"/>
                <w:lang w:val="en-US" w:eastAsia="zh-CN"/>
              </w:rPr>
              <w:t>★备注</w:t>
            </w:r>
          </w:p>
          <w:p w14:paraId="29197AA7">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lang w:val="en-US" w:eastAsia="zh-CN"/>
              </w:rPr>
            </w:pPr>
            <w:r>
              <w:rPr>
                <w:rFonts w:hint="eastAsia" w:asciiTheme="minorEastAsia" w:hAnsiTheme="minorEastAsia" w:eastAsiaTheme="minorEastAsia" w:cstheme="minorEastAsia"/>
                <w:b/>
                <w:bCs/>
                <w:color w:val="auto"/>
                <w:sz w:val="20"/>
                <w:szCs w:val="20"/>
                <w:lang w:val="en-US" w:eastAsia="zh-CN"/>
              </w:rPr>
              <w:t>（提供服务</w:t>
            </w:r>
          </w:p>
          <w:p w14:paraId="5E1C16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Theme="minorEastAsia" w:hAnsiTheme="minorEastAsia" w:eastAsiaTheme="minorEastAsia" w:cstheme="minorEastAsia"/>
                <w:b/>
                <w:bCs/>
                <w:color w:val="auto"/>
                <w:sz w:val="20"/>
                <w:szCs w:val="20"/>
                <w:lang w:val="en-US" w:eastAsia="zh-CN"/>
              </w:rPr>
              <w:t>承诺）</w:t>
            </w:r>
          </w:p>
        </w:tc>
        <w:tc>
          <w:tcPr>
            <w:tcW w:w="6816" w:type="dxa"/>
            <w:vAlign w:val="center"/>
          </w:tcPr>
          <w:p w14:paraId="568D2DC1">
            <w:pPr>
              <w:widowControl/>
              <w:numPr>
                <w:ilvl w:val="0"/>
                <w:numId w:val="0"/>
              </w:numPr>
              <w:spacing w:line="360" w:lineRule="auto"/>
              <w:jc w:val="left"/>
              <w:textAlignment w:val="center"/>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lang w:val="en-US" w:eastAsia="zh-CN" w:bidi="ar"/>
              </w:rPr>
              <w:t>1、质保期内如需与其他软件系统进行接口或视图等方式对接或开发改造，必须无条件免费开发、对接、开发、改造，质保期内应接尽接。</w:t>
            </w:r>
          </w:p>
          <w:p w14:paraId="7DB43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2、支持手麻系统与HIS系统及电子病历数据交互功能，可实现电子病历关于手麻系统数据自动提取交互等。</w:t>
            </w:r>
          </w:p>
          <w:p w14:paraId="740054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3、实现手麻系统的数据及医疗文书在电子病历系统的自动提取，满足电子病历的完整性需求等。</w:t>
            </w:r>
          </w:p>
          <w:p w14:paraId="01CE29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4、结合我院临床管理流程，必须满足临床功能流程、医疗文书模板及报表的个性化需求等。</w:t>
            </w:r>
          </w:p>
        </w:tc>
      </w:tr>
    </w:tbl>
    <w:p w14:paraId="386017FC">
      <w:pPr>
        <w:rPr>
          <w:rFonts w:hint="eastAsia"/>
          <w:b/>
          <w:bCs/>
          <w:lang w:val="en-US" w:eastAsia="zh-CN"/>
        </w:rPr>
      </w:pPr>
      <w:r>
        <w:rPr>
          <w:rFonts w:hint="eastAsia"/>
          <w:b/>
          <w:bCs/>
          <w:lang w:val="en-US" w:eastAsia="zh-CN"/>
        </w:rPr>
        <w:br w:type="page"/>
      </w:r>
    </w:p>
    <w:p w14:paraId="16466481">
      <w:pPr>
        <w:pStyle w:val="6"/>
        <w:keepNext w:val="0"/>
        <w:keepLines w:val="0"/>
        <w:pageBreakBefore w:val="0"/>
        <w:widowControl w:val="0"/>
        <w:kinsoku/>
        <w:wordWrap w:val="0"/>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（五）危急值管理系统</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132"/>
        <w:gridCol w:w="1441"/>
        <w:gridCol w:w="5237"/>
      </w:tblGrid>
      <w:tr w14:paraId="2BCC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29" w:type="dxa"/>
            <w:vAlign w:val="center"/>
          </w:tcPr>
          <w:p w14:paraId="34D002B2">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b/>
                <w:bCs/>
                <w:sz w:val="20"/>
                <w:szCs w:val="20"/>
                <w:vertAlign w:val="baseline"/>
                <w:lang w:val="en-US" w:eastAsia="zh-CN"/>
              </w:rPr>
              <w:t>序号</w:t>
            </w:r>
          </w:p>
        </w:tc>
        <w:tc>
          <w:tcPr>
            <w:tcW w:w="1194" w:type="dxa"/>
            <w:vAlign w:val="center"/>
          </w:tcPr>
          <w:p w14:paraId="66D6C47A">
            <w:pPr>
              <w:keepNext w:val="0"/>
              <w:keepLines w:val="0"/>
              <w:widowControl/>
              <w:suppressLineNumbers w:val="0"/>
              <w:jc w:val="center"/>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b/>
                <w:bCs/>
                <w:i w:val="0"/>
                <w:iCs w:val="0"/>
                <w:color w:val="000000"/>
                <w:kern w:val="0"/>
                <w:sz w:val="20"/>
                <w:szCs w:val="20"/>
                <w:u w:val="none"/>
                <w:lang w:val="en-US" w:eastAsia="zh-CN" w:bidi="ar"/>
              </w:rPr>
              <w:t>信息系统</w:t>
            </w:r>
          </w:p>
        </w:tc>
        <w:tc>
          <w:tcPr>
            <w:tcW w:w="1564" w:type="dxa"/>
            <w:vAlign w:val="center"/>
          </w:tcPr>
          <w:p w14:paraId="384E5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功能模块</w:t>
            </w:r>
          </w:p>
        </w:tc>
        <w:tc>
          <w:tcPr>
            <w:tcW w:w="5755" w:type="dxa"/>
            <w:vAlign w:val="center"/>
          </w:tcPr>
          <w:p w14:paraId="7BA4B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功能描述</w:t>
            </w:r>
          </w:p>
        </w:tc>
      </w:tr>
      <w:tr w14:paraId="50E8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29" w:type="dxa"/>
            <w:vMerge w:val="restart"/>
            <w:vAlign w:val="center"/>
          </w:tcPr>
          <w:p w14:paraId="52AEC292">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w:t>
            </w:r>
          </w:p>
        </w:tc>
        <w:tc>
          <w:tcPr>
            <w:tcW w:w="1194" w:type="dxa"/>
            <w:vMerge w:val="restart"/>
            <w:vAlign w:val="center"/>
          </w:tcPr>
          <w:p w14:paraId="2A3E9B0F">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危急值管理</w:t>
            </w:r>
          </w:p>
        </w:tc>
        <w:tc>
          <w:tcPr>
            <w:tcW w:w="1564" w:type="dxa"/>
            <w:vAlign w:val="center"/>
          </w:tcPr>
          <w:p w14:paraId="730B907B">
            <w:pPr>
              <w:keepNext w:val="0"/>
              <w:keepLines w:val="0"/>
              <w:widowControl/>
              <w:suppressLineNumbers w:val="0"/>
              <w:jc w:val="center"/>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危急值管理</w:t>
            </w:r>
          </w:p>
        </w:tc>
        <w:tc>
          <w:tcPr>
            <w:tcW w:w="5755" w:type="dxa"/>
            <w:vAlign w:val="center"/>
          </w:tcPr>
          <w:p w14:paraId="7E058334">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1）支持危急值上报管理，检查/检验系统将报告数据推送到危急值系统，危急值系统根据危急值知识库的指标进行对比，匹配到危机之后，推送上报信息到上报人员的客户端，上报人员通过客户端的弹窗进行处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（2）支持在上报处理过程中，上报人可对危急值列表进行勾选，确认哪些是需要上报的危急值信息，系统自动生成上报日志和统计报表进行跟踪分析；</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支持对确认后的危急值进行审核，危急值系统发送待审核消息到审核人员客户端，对于审核通过的危急值会发送到指定的人员的客户端弹窗提醒，对于超时未审核的危急值，程序可进行定时弹窗提醒，定时时间和次数支持配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（4）支持临床客户端接收和处理危急值消息；</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（5）危急值审核通过后，默认发送给接诊医生处理，医生对应的客户端会进行弹窗提醒，医生接收到危急值后，填写处理意见完成完成危急值处理，包括门诊、住院、体检；</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（6）系统自动记录危急值信息，处理人，处理意见，处理时间，实时生成危急值日志，并支持跟踪分析该危急值处理情况。</w:t>
            </w:r>
          </w:p>
        </w:tc>
      </w:tr>
      <w:tr w14:paraId="6C02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tcPr>
          <w:p w14:paraId="0926B290">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194" w:type="dxa"/>
            <w:vMerge w:val="continue"/>
          </w:tcPr>
          <w:p w14:paraId="4D66D3FD">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564" w:type="dxa"/>
            <w:vAlign w:val="center"/>
          </w:tcPr>
          <w:p w14:paraId="37891840">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处理模板管理</w:t>
            </w:r>
          </w:p>
        </w:tc>
        <w:tc>
          <w:tcPr>
            <w:tcW w:w="5755" w:type="dxa"/>
            <w:vAlign w:val="center"/>
          </w:tcPr>
          <w:p w14:paraId="5F07A600">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（1）提供可视化处理模版维护界面，方便上报人员，审核人员，医生，护士等快速接收和处理危急值；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（2）支持通用模板和与具体检查检验项目关联的模板；</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（3）支持知识库根据预设的模版样式批量导入到系统进行统一管理；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（4）支持对授权用户对已维护好的知识库进行修改或删除操作。</w:t>
            </w:r>
          </w:p>
        </w:tc>
      </w:tr>
      <w:tr w14:paraId="33E3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tcPr>
          <w:p w14:paraId="6CB6846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194" w:type="dxa"/>
            <w:vMerge w:val="continue"/>
          </w:tcPr>
          <w:p w14:paraId="3EB30610">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564" w:type="dxa"/>
            <w:vAlign w:val="center"/>
          </w:tcPr>
          <w:p w14:paraId="0FF08CBC">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危急值配置</w:t>
            </w:r>
          </w:p>
        </w:tc>
        <w:tc>
          <w:tcPr>
            <w:tcW w:w="5755" w:type="dxa"/>
            <w:vAlign w:val="center"/>
          </w:tcPr>
          <w:p w14:paraId="043777AD">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（1）医院可以根据具体业务管理情况选择是否启用危急值审核功能。不开启审核流程则上报后直接提醒医生处理；</w:t>
            </w:r>
          </w:p>
        </w:tc>
      </w:tr>
      <w:tr w14:paraId="2695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tcPr>
          <w:p w14:paraId="1DB32EC8">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194" w:type="dxa"/>
            <w:vMerge w:val="continue"/>
          </w:tcPr>
          <w:p w14:paraId="05B9E608">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564" w:type="dxa"/>
            <w:vAlign w:val="center"/>
          </w:tcPr>
          <w:p w14:paraId="61A6415B">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知识库管理</w:t>
            </w:r>
          </w:p>
        </w:tc>
        <w:tc>
          <w:tcPr>
            <w:tcW w:w="5755" w:type="dxa"/>
            <w:vAlign w:val="center"/>
          </w:tcPr>
          <w:p w14:paraId="18AE3394">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检验知识库：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（1）提供可视化预设定危急值项目以及结果值触发范围，识别结果是否触发危急值警示，如检验危急值项目(白蛋白低于2、血糖低于2.2或大于25等)；</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（2）支持根据诊断、年龄、生理周期、性别的不同配置不同的危急值范围；</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（3）支持知识库根据预设的模版样式批量导入到系统进行统一管理；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（4）支持对授权用户对已维护好的知识库进行修改或删除操作。</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检查知识库：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（1）提供科室话根据关键字识别危急值配置界面，包括但不限于超声项目危急值(心包填塞、主动脉夹层、食管异物、消化道穿孔、急性胆道梗阻等)；</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（2）支持根据诊断、年龄、生理周期、性别的不同配置不同的危急值范围；</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（3）支持知识库根据预设的模版样式批量导入到系统进行统一管理；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（4）支持对授权用户对已维护好的知识库进行修改或删除操作；</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（5）支持配置包含多个关键字，不包含多个关键字.</w:t>
            </w:r>
          </w:p>
        </w:tc>
      </w:tr>
      <w:tr w14:paraId="59B2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tcPr>
          <w:p w14:paraId="7AE0CFF0">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194" w:type="dxa"/>
            <w:vMerge w:val="continue"/>
          </w:tcPr>
          <w:p w14:paraId="721AED69">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564" w:type="dxa"/>
            <w:vAlign w:val="center"/>
          </w:tcPr>
          <w:p w14:paraId="1F61D187">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危急值流程管理</w:t>
            </w:r>
          </w:p>
        </w:tc>
        <w:tc>
          <w:tcPr>
            <w:tcW w:w="5755" w:type="dxa"/>
            <w:vAlign w:val="center"/>
          </w:tcPr>
          <w:p w14:paraId="5A6EA98E">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危急值流程维护管理：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（1）支持对危急值进行审核的节点、显示时间、接收范围、通知方式进行维护；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（2）支持对危急值的流程审核级别进行维护，包括但不限于危急值确认、初审、终审上报、护士接收、医生处理、危急值反馈</w:t>
            </w:r>
            <w:r>
              <w:rPr>
                <w:rStyle w:val="11"/>
                <w:rFonts w:hint="eastAsia" w:asciiTheme="minorEastAsia" w:hAnsiTheme="minorEastAsia" w:eastAsiaTheme="minorEastAsia" w:cstheme="minorEastAsia"/>
                <w:sz w:val="20"/>
                <w:szCs w:val="20"/>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（3）支持对危急值流程管理授权用户进行新增和删除操作。</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危急值处理流程管理：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（1）支持对危急值科室处理流程进行对照，包括具体科室进行确认还是初审；</w:t>
            </w:r>
          </w:p>
        </w:tc>
      </w:tr>
      <w:tr w14:paraId="221A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tcPr>
          <w:p w14:paraId="0DE381A1">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194" w:type="dxa"/>
            <w:vMerge w:val="continue"/>
          </w:tcPr>
          <w:p w14:paraId="4AE5E4CE">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564" w:type="dxa"/>
            <w:vAlign w:val="center"/>
          </w:tcPr>
          <w:p w14:paraId="30F91131">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临床危急值提示配置管理</w:t>
            </w:r>
          </w:p>
        </w:tc>
        <w:tc>
          <w:tcPr>
            <w:tcW w:w="5755" w:type="dxa"/>
            <w:vAlign w:val="center"/>
          </w:tcPr>
          <w:p w14:paraId="20304045">
            <w:pPr>
              <w:keepNext w:val="0"/>
              <w:keepLines w:val="0"/>
              <w:widowControl/>
              <w:numPr>
                <w:ilvl w:val="0"/>
                <w:numId w:val="12"/>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提供可视化开启审核流程需要配置审核医生，开启上报到医务科需要配置医务科人员。开启上报到分管院长需要配置分管院长；</w:t>
            </w:r>
          </w:p>
          <w:p w14:paraId="5CBB7429">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（2）提供可视化消息上报人员配置维护界面。</w:t>
            </w:r>
          </w:p>
        </w:tc>
      </w:tr>
      <w:tr w14:paraId="28C2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vAlign w:val="center"/>
          </w:tcPr>
          <w:p w14:paraId="637BA7AB">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w:t>
            </w:r>
          </w:p>
        </w:tc>
        <w:tc>
          <w:tcPr>
            <w:tcW w:w="1194" w:type="dxa"/>
            <w:vMerge w:val="restart"/>
            <w:vAlign w:val="center"/>
          </w:tcPr>
          <w:p w14:paraId="4A3029CF">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系统设置</w:t>
            </w:r>
          </w:p>
        </w:tc>
        <w:tc>
          <w:tcPr>
            <w:tcW w:w="1564" w:type="dxa"/>
            <w:vAlign w:val="center"/>
          </w:tcPr>
          <w:p w14:paraId="3672843B">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菜单管理</w:t>
            </w:r>
          </w:p>
        </w:tc>
        <w:tc>
          <w:tcPr>
            <w:tcW w:w="5755" w:type="dxa"/>
            <w:vAlign w:val="center"/>
          </w:tcPr>
          <w:p w14:paraId="215BFA1B">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（1）系统支持授权用户通过可视化界面配置实现系统菜单名称人性化管理，包括增加新菜单、修改已有菜单名称、删除菜单名称、配置下级菜单。</w:t>
            </w:r>
          </w:p>
        </w:tc>
      </w:tr>
      <w:tr w14:paraId="1FCE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tcPr>
          <w:p w14:paraId="52F7DCB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194" w:type="dxa"/>
            <w:vMerge w:val="continue"/>
          </w:tcPr>
          <w:p w14:paraId="392336BC">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564" w:type="dxa"/>
            <w:vAlign w:val="center"/>
          </w:tcPr>
          <w:p w14:paraId="4B2D92D3">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用户管理</w:t>
            </w:r>
          </w:p>
        </w:tc>
        <w:tc>
          <w:tcPr>
            <w:tcW w:w="5755" w:type="dxa"/>
            <w:vAlign w:val="center"/>
          </w:tcPr>
          <w:p w14:paraId="7B0CDD4D">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（1）系统支持授权用户通过可视化界面配置实现用户管理管理，包括用户菜单权限等级和排序。</w:t>
            </w:r>
          </w:p>
        </w:tc>
      </w:tr>
      <w:tr w14:paraId="1A54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tcPr>
          <w:p w14:paraId="42AB7296">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194" w:type="dxa"/>
            <w:vMerge w:val="continue"/>
          </w:tcPr>
          <w:p w14:paraId="3345C24C">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564" w:type="dxa"/>
            <w:vAlign w:val="center"/>
          </w:tcPr>
          <w:p w14:paraId="5CFAB7B1">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角色管理</w:t>
            </w:r>
          </w:p>
        </w:tc>
        <w:tc>
          <w:tcPr>
            <w:tcW w:w="5755" w:type="dxa"/>
            <w:vAlign w:val="center"/>
          </w:tcPr>
          <w:p w14:paraId="10A0E232">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（1）系统支持授权用户通过可视化界面配置实现角色管理，包括角色代码和角色名称。</w:t>
            </w:r>
          </w:p>
        </w:tc>
      </w:tr>
      <w:tr w14:paraId="34F7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tcPr>
          <w:p w14:paraId="5690A9BA">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194" w:type="dxa"/>
            <w:vMerge w:val="continue"/>
          </w:tcPr>
          <w:p w14:paraId="14527369">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564" w:type="dxa"/>
            <w:vAlign w:val="center"/>
          </w:tcPr>
          <w:p w14:paraId="556D68C3">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基础字典维护</w:t>
            </w:r>
          </w:p>
        </w:tc>
        <w:tc>
          <w:tcPr>
            <w:tcW w:w="5755" w:type="dxa"/>
            <w:vAlign w:val="center"/>
          </w:tcPr>
          <w:p w14:paraId="29C330B6">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（1）系统支持危急值相关科室字典维护；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（2）系统支持危急值处理或接收消息人员字典维护；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（3）系统支持诊断字典维护；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（4）系统支持生理周期字典维护；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（5）系统支持对检查类别字典维护；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（6）系统支持对检查部位字典维护；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（7）系统支持检验子项目维护；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（8）系统支持检验标本维护。</w:t>
            </w:r>
          </w:p>
        </w:tc>
      </w:tr>
      <w:tr w14:paraId="6506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tcPr>
          <w:p w14:paraId="235FFD07">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194" w:type="dxa"/>
            <w:vMerge w:val="continue"/>
          </w:tcPr>
          <w:p w14:paraId="60FCC743">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both"/>
              <w:textAlignment w:val="auto"/>
              <w:rPr>
                <w:rFonts w:hint="eastAsia" w:asciiTheme="minorEastAsia" w:hAnsiTheme="minorEastAsia" w:eastAsiaTheme="minorEastAsia" w:cstheme="minorEastAsia"/>
                <w:b/>
                <w:bCs/>
                <w:sz w:val="20"/>
                <w:szCs w:val="20"/>
                <w:vertAlign w:val="baseline"/>
                <w:lang w:val="en-US" w:eastAsia="zh-CN"/>
              </w:rPr>
            </w:pPr>
          </w:p>
        </w:tc>
        <w:tc>
          <w:tcPr>
            <w:tcW w:w="1564" w:type="dxa"/>
            <w:vAlign w:val="center"/>
          </w:tcPr>
          <w:p w14:paraId="6BE42E01">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危急值字典管理</w:t>
            </w:r>
          </w:p>
        </w:tc>
        <w:tc>
          <w:tcPr>
            <w:tcW w:w="5755" w:type="dxa"/>
            <w:vAlign w:val="center"/>
          </w:tcPr>
          <w:p w14:paraId="3FDE065A">
            <w:pPr>
              <w:keepNext w:val="0"/>
              <w:keepLines w:val="0"/>
              <w:widowControl/>
              <w:suppressLineNumbers w:val="0"/>
              <w:jc w:val="left"/>
              <w:textAlignment w:val="center"/>
              <w:rPr>
                <w:rFonts w:hint="eastAsia" w:asciiTheme="minorEastAsia" w:hAnsiTheme="minorEastAsia" w:eastAsiaTheme="minorEastAsia" w:cstheme="minorEastAsia"/>
                <w:b/>
                <w:bCs/>
                <w:sz w:val="20"/>
                <w:szCs w:val="20"/>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（1）系统支持对危急值消息推送的渠道进行维护；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（2）系统支持对危急值超时未处理提醒方式。</w:t>
            </w:r>
          </w:p>
        </w:tc>
      </w:tr>
      <w:tr w14:paraId="2C19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29" w:type="dxa"/>
            <w:vAlign w:val="center"/>
          </w:tcPr>
          <w:p w14:paraId="00206374">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ind w:firstLine="253" w:firstLineChars="0"/>
              <w:jc w:val="center"/>
              <w:textAlignment w:val="auto"/>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3</w:t>
            </w:r>
          </w:p>
        </w:tc>
        <w:tc>
          <w:tcPr>
            <w:tcW w:w="1194" w:type="dxa"/>
            <w:vAlign w:val="center"/>
          </w:tcPr>
          <w:p w14:paraId="1DFD469C">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bCs/>
                <w:color w:val="auto"/>
                <w:sz w:val="20"/>
                <w:szCs w:val="20"/>
                <w:lang w:val="en-US" w:eastAsia="zh-CN"/>
              </w:rPr>
            </w:pPr>
            <w:r>
              <w:rPr>
                <w:rFonts w:hint="eastAsia" w:asciiTheme="minorEastAsia" w:hAnsiTheme="minorEastAsia" w:eastAsiaTheme="minorEastAsia" w:cstheme="minorEastAsia"/>
                <w:b/>
                <w:bCs/>
                <w:color w:val="auto"/>
                <w:sz w:val="20"/>
                <w:szCs w:val="20"/>
                <w:lang w:val="en-US" w:eastAsia="zh-CN"/>
              </w:rPr>
              <w:t>★备注</w:t>
            </w:r>
          </w:p>
          <w:p w14:paraId="53A0C959">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center"/>
              <w:textAlignment w:val="auto"/>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lang w:val="en-US" w:eastAsia="zh-CN"/>
              </w:rPr>
              <w:t>（提供服务承诺）</w:t>
            </w:r>
          </w:p>
        </w:tc>
        <w:tc>
          <w:tcPr>
            <w:tcW w:w="7319" w:type="dxa"/>
            <w:gridSpan w:val="2"/>
            <w:vAlign w:val="center"/>
          </w:tcPr>
          <w:p w14:paraId="2E907F12">
            <w:pPr>
              <w:keepNext w:val="0"/>
              <w:keepLines w:val="0"/>
              <w:widowControl/>
              <w:numPr>
                <w:ilvl w:val="0"/>
                <w:numId w:val="13"/>
              </w:numPr>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免费接口开放与开发改造：质保期内根据院方发展需求，如需与第三方系统对接，必须无条件配合对接、开发、改造，不允许产生任何费用。</w:t>
            </w:r>
          </w:p>
          <w:p w14:paraId="3AA73390">
            <w:pPr>
              <w:keepNext w:val="0"/>
              <w:keepLines w:val="0"/>
              <w:widowControl/>
              <w:numPr>
                <w:ilvl w:val="0"/>
                <w:numId w:val="13"/>
              </w:numPr>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根据上级部门及院方管理要求，必须满足全院各部门涉及到的危急值上报范围，不局限与临床、检验及检查。</w:t>
            </w:r>
          </w:p>
        </w:tc>
      </w:tr>
    </w:tbl>
    <w:p w14:paraId="6D34DCA6">
      <w:pPr>
        <w:rPr>
          <w:rFonts w:hint="eastAsia"/>
          <w:b/>
          <w:bCs/>
          <w:lang w:val="en-US" w:eastAsia="zh-CN"/>
        </w:rPr>
      </w:pPr>
      <w:r>
        <w:rPr>
          <w:rFonts w:hint="eastAsia"/>
          <w:b/>
          <w:bCs/>
          <w:lang w:val="en-US" w:eastAsia="zh-CN"/>
        </w:rPr>
        <w:br w:type="page"/>
      </w:r>
    </w:p>
    <w:p w14:paraId="759E63AA">
      <w:pPr>
        <w:pStyle w:val="6"/>
        <w:keepNext w:val="0"/>
        <w:keepLines w:val="0"/>
        <w:pageBreakBefore w:val="0"/>
        <w:widowControl w:val="0"/>
        <w:kinsoku/>
        <w:wordWrap w:val="0"/>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（六）DIP精细化管理系统</w:t>
      </w:r>
    </w:p>
    <w:p w14:paraId="29D8FF31">
      <w:pPr>
        <w:pStyle w:val="6"/>
        <w:bidi w:val="0"/>
        <w:ind w:left="0" w:leftChars="0" w:firstLine="482" w:firstLineChars="200"/>
        <w:rPr>
          <w:rFonts w:hint="eastAsia"/>
          <w:b/>
          <w:bCs/>
          <w:highlight w:val="none"/>
          <w:lang w:val="en-US" w:eastAsia="zh-CN"/>
        </w:rPr>
      </w:pPr>
      <w:r>
        <w:rPr>
          <w:rFonts w:hint="eastAsia"/>
          <w:b/>
          <w:bCs/>
          <w:highlight w:val="none"/>
          <w:lang w:val="en-US" w:eastAsia="zh-CN"/>
        </w:rPr>
        <w:t>1.产品功能列表</w:t>
      </w:r>
    </w:p>
    <w:p w14:paraId="3FB809FB">
      <w:pPr>
        <w:pStyle w:val="6"/>
        <w:bidi w:val="0"/>
        <w:ind w:left="0" w:leftChars="0" w:firstLine="482" w:firstLineChars="200"/>
        <w:rPr>
          <w:rFonts w:hint="eastAsia"/>
          <w:b/>
          <w:bCs/>
          <w:highlight w:val="none"/>
          <w:lang w:val="en-US" w:eastAsia="zh-CN"/>
        </w:rPr>
      </w:pPr>
      <w:r>
        <w:rPr>
          <w:rFonts w:hint="eastAsia"/>
          <w:b/>
          <w:bCs/>
          <w:highlight w:val="none"/>
          <w:lang w:val="en-US" w:eastAsia="zh-CN"/>
        </w:rPr>
        <w:t>1.1按病种分值付费（DIP）精细化运营管理系统服务</w:t>
      </w:r>
    </w:p>
    <w:tbl>
      <w:tblPr>
        <w:tblStyle w:val="7"/>
        <w:tblW w:w="8217" w:type="dxa"/>
        <w:tblInd w:w="0" w:type="dxa"/>
        <w:tblLayout w:type="autofit"/>
        <w:tblCellMar>
          <w:top w:w="0" w:type="dxa"/>
          <w:left w:w="108" w:type="dxa"/>
          <w:bottom w:w="0" w:type="dxa"/>
          <w:right w:w="108" w:type="dxa"/>
        </w:tblCellMar>
      </w:tblPr>
      <w:tblGrid>
        <w:gridCol w:w="1080"/>
        <w:gridCol w:w="1080"/>
        <w:gridCol w:w="1800"/>
        <w:gridCol w:w="4257"/>
      </w:tblGrid>
      <w:tr w14:paraId="15E0B029">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4874CB"/>
            <w:noWrap/>
            <w:vAlign w:val="center"/>
          </w:tcPr>
          <w:p w14:paraId="2C497FD3">
            <w:pPr>
              <w:widowControl/>
              <w:topLinePunct w:val="0"/>
              <w:spacing w:line="240" w:lineRule="auto"/>
              <w:jc w:val="center"/>
              <w:textAlignment w:val="auto"/>
              <w:rPr>
                <w:rFonts w:hint="eastAsia" w:asciiTheme="minorEastAsia" w:hAnsiTheme="minorEastAsia" w:eastAsiaTheme="minorEastAsia" w:cstheme="minorEastAsia"/>
                <w:b/>
                <w:bCs/>
                <w:color w:val="FFFFFF"/>
                <w:kern w:val="0"/>
                <w:sz w:val="20"/>
                <w:szCs w:val="20"/>
              </w:rPr>
            </w:pPr>
            <w:r>
              <w:rPr>
                <w:rFonts w:hint="eastAsia" w:asciiTheme="minorEastAsia" w:hAnsiTheme="minorEastAsia" w:eastAsiaTheme="minorEastAsia" w:cstheme="minorEastAsia"/>
                <w:b/>
                <w:bCs/>
                <w:color w:val="FFFFFF"/>
                <w:kern w:val="0"/>
                <w:sz w:val="20"/>
                <w:szCs w:val="20"/>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1AB98DDB">
            <w:pPr>
              <w:widowControl/>
              <w:topLinePunct w:val="0"/>
              <w:spacing w:line="240" w:lineRule="auto"/>
              <w:jc w:val="center"/>
              <w:textAlignment w:val="auto"/>
              <w:rPr>
                <w:rFonts w:hint="eastAsia" w:asciiTheme="minorEastAsia" w:hAnsiTheme="minorEastAsia" w:eastAsiaTheme="minorEastAsia" w:cstheme="minorEastAsia"/>
                <w:b/>
                <w:bCs/>
                <w:color w:val="FFFFFF"/>
                <w:kern w:val="0"/>
                <w:sz w:val="20"/>
                <w:szCs w:val="20"/>
              </w:rPr>
            </w:pPr>
            <w:r>
              <w:rPr>
                <w:rFonts w:hint="eastAsia" w:asciiTheme="minorEastAsia" w:hAnsiTheme="minorEastAsia" w:eastAsiaTheme="minorEastAsia" w:cstheme="minorEastAsia"/>
                <w:b/>
                <w:bCs/>
                <w:color w:val="FFFFFF"/>
                <w:kern w:val="0"/>
                <w:sz w:val="20"/>
                <w:szCs w:val="20"/>
              </w:rPr>
              <w:t>类型</w:t>
            </w:r>
          </w:p>
        </w:tc>
        <w:tc>
          <w:tcPr>
            <w:tcW w:w="1800"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5B83D9FB">
            <w:pPr>
              <w:widowControl/>
              <w:topLinePunct w:val="0"/>
              <w:spacing w:line="240" w:lineRule="auto"/>
              <w:jc w:val="center"/>
              <w:textAlignment w:val="auto"/>
              <w:rPr>
                <w:rFonts w:hint="eastAsia" w:asciiTheme="minorEastAsia" w:hAnsiTheme="minorEastAsia" w:eastAsiaTheme="minorEastAsia" w:cstheme="minorEastAsia"/>
                <w:b/>
                <w:bCs/>
                <w:color w:val="FFFFFF"/>
                <w:kern w:val="0"/>
                <w:sz w:val="20"/>
                <w:szCs w:val="20"/>
              </w:rPr>
            </w:pPr>
            <w:r>
              <w:rPr>
                <w:rFonts w:hint="eastAsia" w:asciiTheme="minorEastAsia" w:hAnsiTheme="minorEastAsia" w:eastAsiaTheme="minorEastAsia" w:cstheme="minorEastAsia"/>
                <w:b/>
                <w:bCs/>
                <w:color w:val="FFFFFF"/>
                <w:kern w:val="0"/>
                <w:sz w:val="20"/>
                <w:szCs w:val="20"/>
              </w:rPr>
              <w:t>一级菜单</w:t>
            </w:r>
          </w:p>
        </w:tc>
        <w:tc>
          <w:tcPr>
            <w:tcW w:w="4257"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6C4E60B3">
            <w:pPr>
              <w:widowControl/>
              <w:topLinePunct w:val="0"/>
              <w:spacing w:line="240" w:lineRule="auto"/>
              <w:jc w:val="center"/>
              <w:textAlignment w:val="auto"/>
              <w:rPr>
                <w:rFonts w:hint="eastAsia" w:asciiTheme="minorEastAsia" w:hAnsiTheme="minorEastAsia" w:eastAsiaTheme="minorEastAsia" w:cstheme="minorEastAsia"/>
                <w:b/>
                <w:bCs/>
                <w:color w:val="FFFFFF"/>
                <w:kern w:val="0"/>
                <w:sz w:val="20"/>
                <w:szCs w:val="20"/>
              </w:rPr>
            </w:pPr>
            <w:r>
              <w:rPr>
                <w:rFonts w:hint="eastAsia" w:asciiTheme="minorEastAsia" w:hAnsiTheme="minorEastAsia" w:eastAsiaTheme="minorEastAsia" w:cstheme="minorEastAsia"/>
                <w:b/>
                <w:bCs/>
                <w:color w:val="FFFFFF"/>
                <w:kern w:val="0"/>
                <w:sz w:val="20"/>
                <w:szCs w:val="20"/>
              </w:rPr>
              <w:t>二级菜单</w:t>
            </w:r>
          </w:p>
        </w:tc>
      </w:tr>
      <w:tr w14:paraId="63FC2E33">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D58E">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79F6D">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在院管理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CF39">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医生助手</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812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在院DIP分组监测接口</w:t>
            </w:r>
          </w:p>
        </w:tc>
      </w:tr>
      <w:tr w14:paraId="387426CF">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387C">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DD4E4B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6D0AA">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事中监测分析</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EC96">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在院病例监测</w:t>
            </w:r>
          </w:p>
        </w:tc>
      </w:tr>
      <w:tr w14:paraId="6A0D9EDE">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B7D4">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BF617AE">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AF75BFB">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8A11">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提交前病例监测</w:t>
            </w:r>
          </w:p>
        </w:tc>
      </w:tr>
      <w:tr w14:paraId="3453872C">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8BAF">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8BF74AC">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3EB9186">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8D81">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已提交病例分析</w:t>
            </w:r>
          </w:p>
        </w:tc>
      </w:tr>
      <w:tr w14:paraId="0D79C2B9">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7FD3">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57727">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DIP运营分析系统</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8E12B">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DIP驾驶舱</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0BD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医院DIP整体情况</w:t>
            </w:r>
          </w:p>
        </w:tc>
      </w:tr>
      <w:tr w14:paraId="37E35A17">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ECAE">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0978EE7">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151F688">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853E">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全院超支结余分析</w:t>
            </w:r>
          </w:p>
        </w:tc>
      </w:tr>
      <w:tr w14:paraId="0E8AB52F">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F189">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A55D728">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A2BF0D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999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全院费用构成分析</w:t>
            </w:r>
          </w:p>
        </w:tc>
      </w:tr>
      <w:tr w14:paraId="1C56E7B5">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8D8F">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F249DB6">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AC3253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572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全院资源使用效率分析</w:t>
            </w:r>
          </w:p>
        </w:tc>
      </w:tr>
      <w:tr w14:paraId="34065E59">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C63F">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4D9414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DA9BA80">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907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全院病种构成分析</w:t>
            </w:r>
          </w:p>
        </w:tc>
      </w:tr>
      <w:tr w14:paraId="7A8CB65A">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5C9D">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613DC8A">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0440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科室综合分析</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3BE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科室对比分析</w:t>
            </w:r>
          </w:p>
        </w:tc>
      </w:tr>
      <w:tr w14:paraId="4072D8EA">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85C6">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3E49FC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4D2342B">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9CD">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科室主页（科室下钻分析）</w:t>
            </w:r>
          </w:p>
        </w:tc>
      </w:tr>
      <w:tr w14:paraId="01D17581">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6433">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428AE2E">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ED049">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病种综合分析</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557E">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病种对比分析</w:t>
            </w:r>
          </w:p>
        </w:tc>
      </w:tr>
      <w:tr w14:paraId="690FCD9F">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8837">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13</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2978239">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96B7FD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A78F">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病种主页（病种下钻分析）</w:t>
            </w:r>
          </w:p>
        </w:tc>
      </w:tr>
      <w:tr w14:paraId="6096706B">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4134">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14</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7E225B6">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D64FA">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医疗组综合分析</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8498">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医疗组对比分析</w:t>
            </w:r>
          </w:p>
        </w:tc>
      </w:tr>
      <w:tr w14:paraId="32172AA5">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915E">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15</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4CC641E">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029A9BE">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A580">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医疗组主页（医疗组下钻分析）</w:t>
            </w:r>
          </w:p>
        </w:tc>
      </w:tr>
      <w:tr w14:paraId="49577E5B">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BB42">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16</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BDB991C">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A19C">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医生综合分析</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C0BA">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医生对比分析</w:t>
            </w:r>
          </w:p>
        </w:tc>
      </w:tr>
      <w:tr w14:paraId="593BB71C">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3A48">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17</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0A3B21A">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45008">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专题分析</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32C7">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二级目录分析</w:t>
            </w:r>
          </w:p>
        </w:tc>
      </w:tr>
      <w:tr w14:paraId="02BDF738">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9D90">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18</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A6588D6">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43F4652">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83B1">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辅助目录分析</w:t>
            </w:r>
          </w:p>
        </w:tc>
      </w:tr>
      <w:tr w14:paraId="0E0770AD">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D19F">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19</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2939608">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2EF968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DEC2">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费用分摊分析</w:t>
            </w:r>
          </w:p>
        </w:tc>
      </w:tr>
      <w:tr w14:paraId="72848D00">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592A">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6BB8290">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28CB42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9D27">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外科能力分析</w:t>
            </w:r>
          </w:p>
        </w:tc>
      </w:tr>
      <w:tr w14:paraId="53AA154D">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1CCD">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21</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1B7E29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67C162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3CC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学科发展分析</w:t>
            </w:r>
          </w:p>
        </w:tc>
      </w:tr>
      <w:tr w14:paraId="44A24AC2">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0C9B">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22</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FF063C8">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E8D1">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病例综合查询</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68D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病例数据查询与下载</w:t>
            </w:r>
          </w:p>
        </w:tc>
      </w:tr>
      <w:tr w14:paraId="214BFFD6">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C1BB">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23</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A86E0D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D9D7">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指标综合查询</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E91F">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指标选择与下载</w:t>
            </w:r>
          </w:p>
        </w:tc>
      </w:tr>
      <w:tr w14:paraId="4BF8643F">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89B5">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9E43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DIP拨付核对系统</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49E0B">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结算导入管理</w:t>
            </w:r>
          </w:p>
        </w:tc>
        <w:tc>
          <w:tcPr>
            <w:tcW w:w="42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FEF3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月度结算单导入</w:t>
            </w:r>
          </w:p>
        </w:tc>
      </w:tr>
      <w:tr w14:paraId="7E8E2D73">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B43C">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25</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8511220">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9313589">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F8F6D">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分值点值管理</w:t>
            </w:r>
          </w:p>
        </w:tc>
      </w:tr>
      <w:tr w14:paraId="5660D224">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815A">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26</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6D914D0">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05577">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结算核对</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914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结算数据核对</w:t>
            </w:r>
          </w:p>
        </w:tc>
      </w:tr>
      <w:tr w14:paraId="4CF8BCA0">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9342">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27</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2A01F3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3D9A14B">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BC2B">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申诉</w:t>
            </w:r>
          </w:p>
        </w:tc>
      </w:tr>
      <w:tr w14:paraId="403E21FE">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1B77">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FA029">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系统管理</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02F8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系统设置</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C701">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费用构成规则设置</w:t>
            </w:r>
          </w:p>
        </w:tc>
      </w:tr>
      <w:tr w14:paraId="5BEBC558">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E2B1">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29</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8C77CD6">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80D0419">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EB5A">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医保审核规则设置</w:t>
            </w:r>
          </w:p>
        </w:tc>
      </w:tr>
      <w:tr w14:paraId="684AC618">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9F26">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30</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92C8160">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B6BEA10">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2567">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事中费用预警设置</w:t>
            </w:r>
          </w:p>
        </w:tc>
      </w:tr>
      <w:tr w14:paraId="554C2753">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7338">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4B6DF6C">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6A5EEED">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D8E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特殊结算方式设置</w:t>
            </w:r>
          </w:p>
        </w:tc>
      </w:tr>
      <w:tr w14:paraId="08FA24C0">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7118">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32</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E388CAB">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A796BFD">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AA17">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费控条设置</w:t>
            </w:r>
          </w:p>
        </w:tc>
      </w:tr>
      <w:tr w14:paraId="240D4FEA">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9EE8">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33</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8BD1D39">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A16DFC2">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FD5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医保结算单匹配规则</w:t>
            </w:r>
          </w:p>
        </w:tc>
      </w:tr>
      <w:tr w14:paraId="3FDB940A">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9A07">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34</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A84C61A">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2B098D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3DE80">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病例详情设置</w:t>
            </w:r>
          </w:p>
        </w:tc>
      </w:tr>
      <w:tr w14:paraId="21B08364">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1EAB">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35</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C647A8F">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EA420">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账号权限管理</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A36">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管理科室设置</w:t>
            </w:r>
          </w:p>
        </w:tc>
      </w:tr>
      <w:tr w14:paraId="097B585E">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4888">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36</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1C43B89">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02CBE1A">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C24A">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角色与数据权限</w:t>
            </w:r>
          </w:p>
        </w:tc>
      </w:tr>
      <w:tr w14:paraId="7FDD9658">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CC90">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37</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92995EB">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B691789">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C15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安全设置</w:t>
            </w:r>
          </w:p>
        </w:tc>
      </w:tr>
    </w:tbl>
    <w:p w14:paraId="37ABE498">
      <w:pPr>
        <w:pStyle w:val="6"/>
        <w:bidi w:val="0"/>
        <w:ind w:left="0" w:leftChars="0" w:firstLine="482" w:firstLineChars="200"/>
        <w:rPr>
          <w:rFonts w:hint="eastAsia"/>
          <w:b/>
          <w:bCs/>
          <w:highlight w:val="none"/>
          <w:lang w:val="en-US" w:eastAsia="zh-CN"/>
        </w:rPr>
      </w:pPr>
      <w:r>
        <w:rPr>
          <w:rFonts w:hint="eastAsia"/>
          <w:b/>
          <w:bCs/>
          <w:highlight w:val="none"/>
          <w:lang w:val="en-US" w:eastAsia="zh-CN"/>
        </w:rPr>
        <w:t>1.2医保结算清单管理系统服务</w:t>
      </w:r>
    </w:p>
    <w:tbl>
      <w:tblPr>
        <w:tblStyle w:val="7"/>
        <w:tblW w:w="8359" w:type="dxa"/>
        <w:tblInd w:w="0" w:type="dxa"/>
        <w:tblLayout w:type="autofit"/>
        <w:tblCellMar>
          <w:top w:w="0" w:type="dxa"/>
          <w:left w:w="108" w:type="dxa"/>
          <w:bottom w:w="0" w:type="dxa"/>
          <w:right w:w="108" w:type="dxa"/>
        </w:tblCellMar>
      </w:tblPr>
      <w:tblGrid>
        <w:gridCol w:w="1080"/>
        <w:gridCol w:w="1183"/>
        <w:gridCol w:w="2027"/>
        <w:gridCol w:w="4069"/>
      </w:tblGrid>
      <w:tr w14:paraId="1E486D44">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4874CB"/>
            <w:noWrap/>
            <w:vAlign w:val="center"/>
          </w:tcPr>
          <w:p w14:paraId="269FD36C">
            <w:pPr>
              <w:widowControl/>
              <w:topLinePunct w:val="0"/>
              <w:spacing w:line="240" w:lineRule="auto"/>
              <w:jc w:val="center"/>
              <w:textAlignment w:val="auto"/>
              <w:rPr>
                <w:rFonts w:hint="eastAsia" w:asciiTheme="minorEastAsia" w:hAnsiTheme="minorEastAsia" w:eastAsiaTheme="minorEastAsia" w:cstheme="minorEastAsia"/>
                <w:b/>
                <w:bCs/>
                <w:color w:val="FFFFFF"/>
                <w:kern w:val="0"/>
                <w:sz w:val="20"/>
                <w:szCs w:val="20"/>
              </w:rPr>
            </w:pPr>
            <w:r>
              <w:rPr>
                <w:rFonts w:hint="eastAsia" w:asciiTheme="minorEastAsia" w:hAnsiTheme="minorEastAsia" w:eastAsiaTheme="minorEastAsia" w:cstheme="minorEastAsia"/>
                <w:b/>
                <w:bCs/>
                <w:color w:val="FFFFFF"/>
                <w:kern w:val="0"/>
                <w:sz w:val="20"/>
                <w:szCs w:val="20"/>
              </w:rPr>
              <w:t>序号</w:t>
            </w:r>
          </w:p>
        </w:tc>
        <w:tc>
          <w:tcPr>
            <w:tcW w:w="1183"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5C7E9001">
            <w:pPr>
              <w:widowControl/>
              <w:topLinePunct w:val="0"/>
              <w:spacing w:line="240" w:lineRule="auto"/>
              <w:jc w:val="center"/>
              <w:textAlignment w:val="auto"/>
              <w:rPr>
                <w:rFonts w:hint="eastAsia" w:asciiTheme="minorEastAsia" w:hAnsiTheme="minorEastAsia" w:eastAsiaTheme="minorEastAsia" w:cstheme="minorEastAsia"/>
                <w:b/>
                <w:bCs/>
                <w:color w:val="FFFFFF"/>
                <w:kern w:val="0"/>
                <w:sz w:val="20"/>
                <w:szCs w:val="20"/>
              </w:rPr>
            </w:pPr>
            <w:r>
              <w:rPr>
                <w:rFonts w:hint="eastAsia" w:asciiTheme="minorEastAsia" w:hAnsiTheme="minorEastAsia" w:eastAsiaTheme="minorEastAsia" w:cstheme="minorEastAsia"/>
                <w:b/>
                <w:bCs/>
                <w:color w:val="FFFFFF"/>
                <w:kern w:val="0"/>
                <w:sz w:val="20"/>
                <w:szCs w:val="20"/>
              </w:rPr>
              <w:t>类型</w:t>
            </w:r>
          </w:p>
        </w:tc>
        <w:tc>
          <w:tcPr>
            <w:tcW w:w="2027"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7E6751EC">
            <w:pPr>
              <w:widowControl/>
              <w:topLinePunct w:val="0"/>
              <w:spacing w:line="240" w:lineRule="auto"/>
              <w:jc w:val="center"/>
              <w:textAlignment w:val="auto"/>
              <w:rPr>
                <w:rFonts w:hint="eastAsia" w:asciiTheme="minorEastAsia" w:hAnsiTheme="minorEastAsia" w:eastAsiaTheme="minorEastAsia" w:cstheme="minorEastAsia"/>
                <w:b/>
                <w:bCs/>
                <w:color w:val="FFFFFF"/>
                <w:kern w:val="0"/>
                <w:sz w:val="20"/>
                <w:szCs w:val="20"/>
              </w:rPr>
            </w:pPr>
            <w:r>
              <w:rPr>
                <w:rFonts w:hint="eastAsia" w:asciiTheme="minorEastAsia" w:hAnsiTheme="minorEastAsia" w:eastAsiaTheme="minorEastAsia" w:cstheme="minorEastAsia"/>
                <w:b/>
                <w:bCs/>
                <w:color w:val="FFFFFF"/>
                <w:kern w:val="0"/>
                <w:sz w:val="20"/>
                <w:szCs w:val="20"/>
              </w:rPr>
              <w:t>一级菜单</w:t>
            </w:r>
          </w:p>
        </w:tc>
        <w:tc>
          <w:tcPr>
            <w:tcW w:w="4069"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5CBEC996">
            <w:pPr>
              <w:widowControl/>
              <w:topLinePunct w:val="0"/>
              <w:spacing w:line="240" w:lineRule="auto"/>
              <w:jc w:val="center"/>
              <w:textAlignment w:val="auto"/>
              <w:rPr>
                <w:rFonts w:hint="eastAsia" w:asciiTheme="minorEastAsia" w:hAnsiTheme="minorEastAsia" w:eastAsiaTheme="minorEastAsia" w:cstheme="minorEastAsia"/>
                <w:b/>
                <w:bCs/>
                <w:color w:val="FFFFFF"/>
                <w:kern w:val="0"/>
                <w:sz w:val="20"/>
                <w:szCs w:val="20"/>
              </w:rPr>
            </w:pPr>
            <w:r>
              <w:rPr>
                <w:rFonts w:hint="eastAsia" w:asciiTheme="minorEastAsia" w:hAnsiTheme="minorEastAsia" w:eastAsiaTheme="minorEastAsia" w:cstheme="minorEastAsia"/>
                <w:b/>
                <w:bCs/>
                <w:color w:val="FFFFFF"/>
                <w:kern w:val="0"/>
                <w:sz w:val="20"/>
                <w:szCs w:val="20"/>
              </w:rPr>
              <w:t>二级菜单</w:t>
            </w:r>
          </w:p>
        </w:tc>
      </w:tr>
      <w:tr w14:paraId="0EFE59A1">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8126">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B7887">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医保结算清单质控系统</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BB831">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清单任务总览</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3866">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管理指标统计</w:t>
            </w:r>
          </w:p>
        </w:tc>
      </w:tr>
      <w:tr w14:paraId="3C7DDC8D">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2E49">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64197438">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continue"/>
            <w:tcBorders>
              <w:top w:val="single" w:color="000000" w:sz="4" w:space="0"/>
              <w:left w:val="single" w:color="000000" w:sz="4" w:space="0"/>
              <w:bottom w:val="single" w:color="000000" w:sz="4" w:space="0"/>
              <w:right w:val="single" w:color="000000" w:sz="4" w:space="0"/>
            </w:tcBorders>
            <w:vAlign w:val="center"/>
          </w:tcPr>
          <w:p w14:paraId="3F8C700B">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3ED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清单任务统计</w:t>
            </w:r>
          </w:p>
        </w:tc>
      </w:tr>
      <w:tr w14:paraId="3F94B309">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D408">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0D0D0356">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5B835">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上报前清单审核</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AB69">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清单生成</w:t>
            </w:r>
          </w:p>
        </w:tc>
      </w:tr>
      <w:tr w14:paraId="13D5C6BD">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3C95">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4C11F19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continue"/>
            <w:tcBorders>
              <w:top w:val="single" w:color="000000" w:sz="4" w:space="0"/>
              <w:left w:val="single" w:color="000000" w:sz="4" w:space="0"/>
              <w:bottom w:val="single" w:color="000000" w:sz="4" w:space="0"/>
              <w:right w:val="single" w:color="000000" w:sz="4" w:space="0"/>
            </w:tcBorders>
            <w:vAlign w:val="center"/>
          </w:tcPr>
          <w:p w14:paraId="676D7F3F">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94D6">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清单操作</w:t>
            </w:r>
          </w:p>
        </w:tc>
      </w:tr>
      <w:tr w14:paraId="36D5B00A">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F0D8">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2F653A1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continue"/>
            <w:tcBorders>
              <w:top w:val="single" w:color="000000" w:sz="4" w:space="0"/>
              <w:left w:val="single" w:color="000000" w:sz="4" w:space="0"/>
              <w:bottom w:val="single" w:color="000000" w:sz="4" w:space="0"/>
              <w:right w:val="single" w:color="000000" w:sz="4" w:space="0"/>
            </w:tcBorders>
            <w:vAlign w:val="center"/>
          </w:tcPr>
          <w:p w14:paraId="5971E02A">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8F5E">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我的清单</w:t>
            </w:r>
          </w:p>
        </w:tc>
      </w:tr>
      <w:tr w14:paraId="62011BDE">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2D86">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2D12545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continue"/>
            <w:tcBorders>
              <w:top w:val="single" w:color="000000" w:sz="4" w:space="0"/>
              <w:left w:val="single" w:color="000000" w:sz="4" w:space="0"/>
              <w:bottom w:val="single" w:color="000000" w:sz="4" w:space="0"/>
              <w:right w:val="single" w:color="000000" w:sz="4" w:space="0"/>
            </w:tcBorders>
            <w:vAlign w:val="center"/>
          </w:tcPr>
          <w:p w14:paraId="333A14E0">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A09A">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待审核清单</w:t>
            </w:r>
          </w:p>
        </w:tc>
      </w:tr>
      <w:tr w14:paraId="712C767F">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1160">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4182882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continue"/>
            <w:tcBorders>
              <w:top w:val="single" w:color="000000" w:sz="4" w:space="0"/>
              <w:left w:val="single" w:color="000000" w:sz="4" w:space="0"/>
              <w:bottom w:val="single" w:color="000000" w:sz="4" w:space="0"/>
              <w:right w:val="single" w:color="000000" w:sz="4" w:space="0"/>
            </w:tcBorders>
            <w:vAlign w:val="center"/>
          </w:tcPr>
          <w:p w14:paraId="47AD6EA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982A">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审核通过清单</w:t>
            </w:r>
          </w:p>
        </w:tc>
      </w:tr>
      <w:tr w14:paraId="3A816AB6">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CDE9">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6C4A538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continue"/>
            <w:tcBorders>
              <w:top w:val="single" w:color="000000" w:sz="4" w:space="0"/>
              <w:left w:val="single" w:color="000000" w:sz="4" w:space="0"/>
              <w:bottom w:val="single" w:color="000000" w:sz="4" w:space="0"/>
              <w:right w:val="single" w:color="000000" w:sz="4" w:space="0"/>
            </w:tcBorders>
            <w:vAlign w:val="center"/>
          </w:tcPr>
          <w:p w14:paraId="7A72A9B2">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FB17">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审核退回清单</w:t>
            </w:r>
          </w:p>
        </w:tc>
      </w:tr>
      <w:tr w14:paraId="53CE3AE0">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9B4A">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7D3D312F">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continue"/>
            <w:tcBorders>
              <w:top w:val="single" w:color="000000" w:sz="4" w:space="0"/>
              <w:left w:val="single" w:color="000000" w:sz="4" w:space="0"/>
              <w:bottom w:val="single" w:color="000000" w:sz="4" w:space="0"/>
              <w:right w:val="single" w:color="000000" w:sz="4" w:space="0"/>
            </w:tcBorders>
            <w:vAlign w:val="center"/>
          </w:tcPr>
          <w:p w14:paraId="2F94C6F8">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EB56">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超时未审核清单</w:t>
            </w:r>
          </w:p>
        </w:tc>
      </w:tr>
      <w:tr w14:paraId="048079BC">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8E4D">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3520DB2B">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continue"/>
            <w:tcBorders>
              <w:top w:val="single" w:color="000000" w:sz="4" w:space="0"/>
              <w:left w:val="single" w:color="000000" w:sz="4" w:space="0"/>
              <w:bottom w:val="single" w:color="000000" w:sz="4" w:space="0"/>
              <w:right w:val="single" w:color="000000" w:sz="4" w:space="0"/>
            </w:tcBorders>
            <w:vAlign w:val="center"/>
          </w:tcPr>
          <w:p w14:paraId="4884C721">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13E8">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自定义快捷筛选</w:t>
            </w:r>
          </w:p>
        </w:tc>
      </w:tr>
      <w:tr w14:paraId="47743CED">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DB97">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345715D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continue"/>
            <w:tcBorders>
              <w:top w:val="single" w:color="000000" w:sz="4" w:space="0"/>
              <w:left w:val="single" w:color="000000" w:sz="4" w:space="0"/>
              <w:bottom w:val="single" w:color="000000" w:sz="4" w:space="0"/>
              <w:right w:val="single" w:color="000000" w:sz="4" w:space="0"/>
            </w:tcBorders>
            <w:vAlign w:val="center"/>
          </w:tcPr>
          <w:p w14:paraId="0BED6E6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95EC">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其他筛选</w:t>
            </w:r>
          </w:p>
        </w:tc>
      </w:tr>
      <w:tr w14:paraId="20A1789F">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20CB">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56C0FDA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33A7">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消息中心</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548C">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消息中心</w:t>
            </w:r>
          </w:p>
        </w:tc>
      </w:tr>
      <w:tr w14:paraId="34FA46C2">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259B">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13</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40B88DD7">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6458E">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清单质量分析</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00E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问题分布情况</w:t>
            </w:r>
          </w:p>
        </w:tc>
      </w:tr>
      <w:tr w14:paraId="0066714B">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4ABC">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14</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4834C1FF">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continue"/>
            <w:tcBorders>
              <w:top w:val="single" w:color="000000" w:sz="4" w:space="0"/>
              <w:left w:val="single" w:color="000000" w:sz="4" w:space="0"/>
              <w:bottom w:val="single" w:color="000000" w:sz="4" w:space="0"/>
              <w:right w:val="single" w:color="000000" w:sz="4" w:space="0"/>
            </w:tcBorders>
            <w:vAlign w:val="center"/>
          </w:tcPr>
          <w:p w14:paraId="2B033A37">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2879">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问题清单趋势</w:t>
            </w:r>
          </w:p>
        </w:tc>
      </w:tr>
      <w:tr w14:paraId="3FDAA5FB">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FAB9">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15</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40E3790E">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7DAE2">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清单成就分析</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1746">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清单调整情况</w:t>
            </w:r>
          </w:p>
        </w:tc>
      </w:tr>
      <w:tr w14:paraId="6420CE4D">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67F3">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16</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23869FFC">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continue"/>
            <w:tcBorders>
              <w:top w:val="single" w:color="000000" w:sz="4" w:space="0"/>
              <w:left w:val="single" w:color="000000" w:sz="4" w:space="0"/>
              <w:bottom w:val="single" w:color="000000" w:sz="4" w:space="0"/>
              <w:right w:val="single" w:color="000000" w:sz="4" w:space="0"/>
            </w:tcBorders>
            <w:vAlign w:val="center"/>
          </w:tcPr>
          <w:p w14:paraId="7EB43DB1">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A38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清单调整前后对比分析</w:t>
            </w:r>
          </w:p>
        </w:tc>
      </w:tr>
      <w:tr w14:paraId="7C072608">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4786">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17</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1B9FBA92">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5332D">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系统设置</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31C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医保结算清单质控规则</w:t>
            </w:r>
          </w:p>
        </w:tc>
      </w:tr>
      <w:tr w14:paraId="11E6392F">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0E99">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18</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0F7BC9A5">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vMerge w:val="continue"/>
            <w:tcBorders>
              <w:top w:val="single" w:color="000000" w:sz="4" w:space="0"/>
              <w:left w:val="single" w:color="000000" w:sz="4" w:space="0"/>
              <w:bottom w:val="single" w:color="000000" w:sz="4" w:space="0"/>
              <w:right w:val="single" w:color="000000" w:sz="4" w:space="0"/>
            </w:tcBorders>
            <w:vAlign w:val="center"/>
          </w:tcPr>
          <w:p w14:paraId="1AF36C0D">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EF8A">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清单流程设置</w:t>
            </w:r>
          </w:p>
        </w:tc>
      </w:tr>
      <w:tr w14:paraId="1C860AAB">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6E74">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19</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6B9642B0">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3F03">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结算清单开放标准接口</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57A3">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结算清单开放标准接口</w:t>
            </w:r>
          </w:p>
        </w:tc>
      </w:tr>
    </w:tbl>
    <w:p w14:paraId="65125655">
      <w:pPr>
        <w:pStyle w:val="6"/>
        <w:bidi w:val="0"/>
        <w:ind w:left="0" w:leftChars="0" w:firstLine="482" w:firstLineChars="200"/>
        <w:rPr>
          <w:rFonts w:hint="eastAsia"/>
          <w:b/>
          <w:bCs/>
          <w:highlight w:val="none"/>
          <w:lang w:val="en-US" w:eastAsia="zh-CN"/>
        </w:rPr>
      </w:pPr>
      <w:r>
        <w:rPr>
          <w:rFonts w:hint="eastAsia"/>
          <w:b/>
          <w:bCs/>
          <w:highlight w:val="none"/>
          <w:lang w:val="en-US" w:eastAsia="zh-CN"/>
        </w:rPr>
        <w:t>1.3医保结算清单上传工具软件服务</w:t>
      </w:r>
    </w:p>
    <w:tbl>
      <w:tblPr>
        <w:tblStyle w:val="7"/>
        <w:tblW w:w="8359" w:type="dxa"/>
        <w:tblInd w:w="0" w:type="dxa"/>
        <w:tblLayout w:type="autofit"/>
        <w:tblCellMar>
          <w:top w:w="0" w:type="dxa"/>
          <w:left w:w="108" w:type="dxa"/>
          <w:bottom w:w="0" w:type="dxa"/>
          <w:right w:w="108" w:type="dxa"/>
        </w:tblCellMar>
      </w:tblPr>
      <w:tblGrid>
        <w:gridCol w:w="1080"/>
        <w:gridCol w:w="1183"/>
        <w:gridCol w:w="2072"/>
        <w:gridCol w:w="4024"/>
      </w:tblGrid>
      <w:tr w14:paraId="66720096">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4874CB"/>
            <w:noWrap/>
            <w:vAlign w:val="center"/>
          </w:tcPr>
          <w:p w14:paraId="1141EEE1">
            <w:pPr>
              <w:widowControl/>
              <w:topLinePunct w:val="0"/>
              <w:spacing w:line="240" w:lineRule="auto"/>
              <w:jc w:val="center"/>
              <w:textAlignment w:val="auto"/>
              <w:rPr>
                <w:rFonts w:hint="eastAsia" w:asciiTheme="minorEastAsia" w:hAnsiTheme="minorEastAsia" w:eastAsiaTheme="minorEastAsia" w:cstheme="minorEastAsia"/>
                <w:b/>
                <w:bCs/>
                <w:color w:val="FFFFFF"/>
                <w:kern w:val="0"/>
                <w:sz w:val="20"/>
                <w:szCs w:val="20"/>
              </w:rPr>
            </w:pPr>
            <w:r>
              <w:rPr>
                <w:rFonts w:hint="eastAsia" w:asciiTheme="minorEastAsia" w:hAnsiTheme="minorEastAsia" w:eastAsiaTheme="minorEastAsia" w:cstheme="minorEastAsia"/>
                <w:b/>
                <w:bCs/>
                <w:color w:val="FFFFFF"/>
                <w:kern w:val="0"/>
                <w:sz w:val="20"/>
                <w:szCs w:val="20"/>
              </w:rPr>
              <w:t>序号</w:t>
            </w:r>
          </w:p>
        </w:tc>
        <w:tc>
          <w:tcPr>
            <w:tcW w:w="1183"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2975E9AF">
            <w:pPr>
              <w:widowControl/>
              <w:topLinePunct w:val="0"/>
              <w:spacing w:line="240" w:lineRule="auto"/>
              <w:jc w:val="center"/>
              <w:textAlignment w:val="auto"/>
              <w:rPr>
                <w:rFonts w:hint="eastAsia" w:asciiTheme="minorEastAsia" w:hAnsiTheme="minorEastAsia" w:eastAsiaTheme="minorEastAsia" w:cstheme="minorEastAsia"/>
                <w:b/>
                <w:bCs/>
                <w:color w:val="FFFFFF"/>
                <w:kern w:val="0"/>
                <w:sz w:val="20"/>
                <w:szCs w:val="20"/>
              </w:rPr>
            </w:pPr>
            <w:r>
              <w:rPr>
                <w:rFonts w:hint="eastAsia" w:asciiTheme="minorEastAsia" w:hAnsiTheme="minorEastAsia" w:eastAsiaTheme="minorEastAsia" w:cstheme="minorEastAsia"/>
                <w:b/>
                <w:bCs/>
                <w:color w:val="FFFFFF"/>
                <w:kern w:val="0"/>
                <w:sz w:val="20"/>
                <w:szCs w:val="20"/>
              </w:rPr>
              <w:t>类型</w:t>
            </w:r>
          </w:p>
        </w:tc>
        <w:tc>
          <w:tcPr>
            <w:tcW w:w="2072"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2B929E0A">
            <w:pPr>
              <w:widowControl/>
              <w:topLinePunct w:val="0"/>
              <w:spacing w:line="240" w:lineRule="auto"/>
              <w:jc w:val="center"/>
              <w:textAlignment w:val="auto"/>
              <w:rPr>
                <w:rFonts w:hint="eastAsia" w:asciiTheme="minorEastAsia" w:hAnsiTheme="minorEastAsia" w:eastAsiaTheme="minorEastAsia" w:cstheme="minorEastAsia"/>
                <w:b/>
                <w:bCs/>
                <w:color w:val="FFFFFF"/>
                <w:kern w:val="0"/>
                <w:sz w:val="20"/>
                <w:szCs w:val="20"/>
              </w:rPr>
            </w:pPr>
            <w:r>
              <w:rPr>
                <w:rFonts w:hint="eastAsia" w:asciiTheme="minorEastAsia" w:hAnsiTheme="minorEastAsia" w:eastAsiaTheme="minorEastAsia" w:cstheme="minorEastAsia"/>
                <w:b/>
                <w:bCs/>
                <w:color w:val="FFFFFF"/>
                <w:kern w:val="0"/>
                <w:sz w:val="20"/>
                <w:szCs w:val="20"/>
              </w:rPr>
              <w:t>一级菜单</w:t>
            </w:r>
          </w:p>
        </w:tc>
        <w:tc>
          <w:tcPr>
            <w:tcW w:w="4024"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32C5B9B4">
            <w:pPr>
              <w:widowControl/>
              <w:topLinePunct w:val="0"/>
              <w:spacing w:line="240" w:lineRule="auto"/>
              <w:jc w:val="center"/>
              <w:textAlignment w:val="auto"/>
              <w:rPr>
                <w:rFonts w:hint="eastAsia" w:asciiTheme="minorEastAsia" w:hAnsiTheme="minorEastAsia" w:eastAsiaTheme="minorEastAsia" w:cstheme="minorEastAsia"/>
                <w:b/>
                <w:bCs/>
                <w:color w:val="FFFFFF"/>
                <w:kern w:val="0"/>
                <w:sz w:val="20"/>
                <w:szCs w:val="20"/>
              </w:rPr>
            </w:pPr>
            <w:r>
              <w:rPr>
                <w:rFonts w:hint="eastAsia" w:asciiTheme="minorEastAsia" w:hAnsiTheme="minorEastAsia" w:eastAsiaTheme="minorEastAsia" w:cstheme="minorEastAsia"/>
                <w:b/>
                <w:bCs/>
                <w:color w:val="FFFFFF"/>
                <w:kern w:val="0"/>
                <w:sz w:val="20"/>
                <w:szCs w:val="20"/>
              </w:rPr>
              <w:t>二级菜单</w:t>
            </w:r>
          </w:p>
        </w:tc>
      </w:tr>
      <w:tr w14:paraId="2D543F2C">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5E4C">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7615A">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医保结算清单上传</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8812">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医保上报管理</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F43B">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医保上报管理</w:t>
            </w:r>
          </w:p>
        </w:tc>
      </w:tr>
      <w:tr w14:paraId="10CB356A">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3641">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1A162917">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2A26">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医保结算清单上报接口</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E8FE">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医保结算清单上报接口</w:t>
            </w:r>
          </w:p>
        </w:tc>
      </w:tr>
      <w:tr w14:paraId="009025BD">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CE84">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14:paraId="721B81D4">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A717">
            <w:pPr>
              <w:widowControl/>
              <w:topLinePunct w:val="0"/>
              <w:spacing w:line="240" w:lineRule="auto"/>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医保结算清单上报服务</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E79C">
            <w:pPr>
              <w:widowControl/>
              <w:topLinePunct w:val="0"/>
              <w:spacing w:line="240" w:lineRule="auto"/>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医保结算清单上报服务</w:t>
            </w:r>
          </w:p>
        </w:tc>
      </w:tr>
    </w:tbl>
    <w:p w14:paraId="5048880A">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before="157" w:beforeLines="50" w:after="157" w:afterLines="50"/>
        <w:jc w:val="left"/>
        <w:textAlignment w:val="auto"/>
        <w:rPr>
          <w:rFonts w:hint="eastAsia"/>
          <w:b/>
          <w:bCs/>
          <w:color w:val="auto"/>
          <w:lang w:val="en-US" w:eastAsia="zh-CN"/>
        </w:rPr>
      </w:pPr>
      <w:r>
        <w:rPr>
          <w:rFonts w:hint="eastAsia" w:asciiTheme="minorEastAsia" w:hAnsiTheme="minorEastAsia" w:eastAsiaTheme="minorEastAsia" w:cstheme="minorEastAsia"/>
          <w:b/>
          <w:bCs/>
          <w:color w:val="auto"/>
          <w:sz w:val="20"/>
          <w:szCs w:val="20"/>
          <w:lang w:val="en-US" w:eastAsia="zh-CN"/>
        </w:rPr>
        <w:t>★</w:t>
      </w:r>
      <w:r>
        <w:rPr>
          <w:rFonts w:hint="eastAsia"/>
          <w:b/>
          <w:bCs/>
          <w:color w:val="auto"/>
          <w:lang w:val="en-US" w:eastAsia="zh-CN"/>
        </w:rPr>
        <w:t>备注</w:t>
      </w:r>
      <w:r>
        <w:rPr>
          <w:rFonts w:hint="eastAsia" w:asciiTheme="minorEastAsia" w:hAnsiTheme="minorEastAsia" w:eastAsiaTheme="minorEastAsia" w:cstheme="minorEastAsia"/>
          <w:b/>
          <w:bCs/>
          <w:color w:val="auto"/>
          <w:sz w:val="21"/>
          <w:szCs w:val="21"/>
          <w:lang w:val="en-US" w:eastAsia="zh-CN"/>
        </w:rPr>
        <w:t>（提供服务承诺）</w:t>
      </w:r>
      <w:r>
        <w:rPr>
          <w:rFonts w:hint="eastAsia"/>
          <w:b/>
          <w:bCs/>
          <w:color w:val="auto"/>
          <w:lang w:val="en-US" w:eastAsia="zh-CN"/>
        </w:rPr>
        <w:t>：1、质保期内根据院方管理及发展需求，如需与第三方系统对接，必须无条件及无任何费用的情况下提供相关接口开放、开发、改造并积极配合完成相关对接工作等。</w:t>
      </w:r>
    </w:p>
    <w:p w14:paraId="37375B55">
      <w:pPr>
        <w:pStyle w:val="6"/>
        <w:keepNext w:val="0"/>
        <w:keepLines w:val="0"/>
        <w:pageBreakBefore w:val="0"/>
        <w:widowControl w:val="0"/>
        <w:numPr>
          <w:ilvl w:val="0"/>
          <w:numId w:val="0"/>
        </w:numPr>
        <w:kinsoku/>
        <w:wordWrap w:val="0"/>
        <w:overflowPunct/>
        <w:topLinePunct w:val="0"/>
        <w:autoSpaceDE/>
        <w:autoSpaceDN/>
        <w:bidi w:val="0"/>
        <w:adjustRightInd w:val="0"/>
        <w:snapToGrid w:val="0"/>
        <w:ind w:firstLine="482" w:firstLineChars="200"/>
        <w:textAlignment w:val="auto"/>
        <w:rPr>
          <w:rFonts w:hint="default"/>
          <w:b/>
          <w:bCs/>
          <w:color w:val="auto"/>
          <w:lang w:val="en-US" w:eastAsia="zh-CN"/>
        </w:rPr>
      </w:pPr>
      <w:r>
        <w:rPr>
          <w:rFonts w:hint="eastAsia"/>
          <w:b/>
          <w:bCs/>
          <w:color w:val="auto"/>
          <w:lang w:val="en-US" w:eastAsia="zh-CN"/>
        </w:rPr>
        <w:t>2、根据使用科室的管理需求及使用过程中的个性化功能及报表等需求，必须无条及无任何费用的情况下积极配合实现完成。</w:t>
      </w:r>
    </w:p>
    <w:p w14:paraId="1F28EE47">
      <w:pPr>
        <w:rPr>
          <w:rFonts w:hint="eastAsia"/>
          <w:b/>
          <w:bCs/>
          <w:lang w:val="en-US" w:eastAsia="zh-CN"/>
        </w:rPr>
      </w:pPr>
      <w:r>
        <w:rPr>
          <w:rFonts w:hint="eastAsia"/>
          <w:b/>
          <w:bCs/>
          <w:lang w:val="en-US" w:eastAsia="zh-CN"/>
        </w:rPr>
        <w:br w:type="page"/>
      </w:r>
    </w:p>
    <w:p w14:paraId="6494D55D">
      <w:pPr>
        <w:pStyle w:val="6"/>
        <w:keepNext w:val="0"/>
        <w:keepLines w:val="0"/>
        <w:pageBreakBefore w:val="0"/>
        <w:widowControl w:val="0"/>
        <w:kinsoku/>
        <w:wordWrap w:val="0"/>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（七）药师审方干预系统（含处方集管理系统＋集采药品智能管控系统）</w:t>
      </w:r>
    </w:p>
    <w:p w14:paraId="7FFD2B94">
      <w:pPr>
        <w:pStyle w:val="6"/>
        <w:bidi w:val="0"/>
        <w:ind w:left="0" w:leftChars="0" w:firstLine="482" w:firstLineChars="200"/>
        <w:rPr>
          <w:rFonts w:hint="eastAsia" w:ascii="宋体" w:hAnsi="宋体" w:eastAsia="宋体" w:cs="宋体"/>
          <w:b/>
          <w:bCs/>
          <w:highlight w:val="none"/>
          <w:lang w:val="en-US" w:eastAsia="zh-CN"/>
        </w:rPr>
      </w:pPr>
      <w:bookmarkStart w:id="0" w:name="_Hlk130221285"/>
      <w:r>
        <w:rPr>
          <w:rFonts w:hint="eastAsia" w:ascii="宋体" w:hAnsi="宋体" w:eastAsia="宋体" w:cs="宋体"/>
          <w:b/>
          <w:bCs/>
          <w:highlight w:val="none"/>
          <w:lang w:val="en-US" w:eastAsia="zh-CN"/>
        </w:rPr>
        <w:t>1、对“系统”的功能要求</w:t>
      </w:r>
    </w:p>
    <w:tbl>
      <w:tblPr>
        <w:tblStyle w:val="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38"/>
        <w:gridCol w:w="114"/>
        <w:gridCol w:w="1044"/>
        <w:gridCol w:w="6497"/>
      </w:tblGrid>
      <w:tr w14:paraId="52E3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gridSpan w:val="2"/>
            <w:vAlign w:val="center"/>
          </w:tcPr>
          <w:p w14:paraId="26067912">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序号</w:t>
            </w:r>
          </w:p>
        </w:tc>
        <w:tc>
          <w:tcPr>
            <w:tcW w:w="1158" w:type="dxa"/>
            <w:gridSpan w:val="2"/>
            <w:vAlign w:val="center"/>
          </w:tcPr>
          <w:p w14:paraId="50AAE0B4">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子项</w:t>
            </w:r>
          </w:p>
        </w:tc>
        <w:tc>
          <w:tcPr>
            <w:tcW w:w="6497" w:type="dxa"/>
            <w:vAlign w:val="center"/>
          </w:tcPr>
          <w:p w14:paraId="36271F61">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详细要求</w:t>
            </w:r>
          </w:p>
        </w:tc>
      </w:tr>
      <w:tr w14:paraId="44C7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gridSpan w:val="5"/>
            <w:vAlign w:val="center"/>
          </w:tcPr>
          <w:p w14:paraId="2FE1AAE6">
            <w:pP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药师审方干预功能要求</w:t>
            </w:r>
          </w:p>
        </w:tc>
      </w:tr>
      <w:tr w14:paraId="7D05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gridSpan w:val="2"/>
            <w:vAlign w:val="center"/>
          </w:tcPr>
          <w:p w14:paraId="6C121200">
            <w:pPr>
              <w:numPr>
                <w:ilvl w:val="0"/>
                <w:numId w:val="0"/>
              </w:numPr>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w:t>
            </w:r>
          </w:p>
        </w:tc>
        <w:tc>
          <w:tcPr>
            <w:tcW w:w="1158" w:type="dxa"/>
            <w:gridSpan w:val="2"/>
            <w:vAlign w:val="center"/>
          </w:tcPr>
          <w:p w14:paraId="53C0AD75">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审方时机和过程</w:t>
            </w:r>
          </w:p>
        </w:tc>
        <w:tc>
          <w:tcPr>
            <w:tcW w:w="6497" w:type="dxa"/>
            <w:vAlign w:val="center"/>
          </w:tcPr>
          <w:p w14:paraId="743446F5">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必要时，药师可同时接收门诊、住院任务。</w:t>
            </w:r>
          </w:p>
        </w:tc>
      </w:tr>
      <w:tr w14:paraId="0862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gridSpan w:val="2"/>
            <w:vAlign w:val="center"/>
          </w:tcPr>
          <w:p w14:paraId="2810B8E2">
            <w:pPr>
              <w:numPr>
                <w:ilvl w:val="0"/>
                <w:numId w:val="0"/>
              </w:numPr>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2</w:t>
            </w:r>
          </w:p>
        </w:tc>
        <w:tc>
          <w:tcPr>
            <w:tcW w:w="1158" w:type="dxa"/>
            <w:gridSpan w:val="2"/>
            <w:vAlign w:val="center"/>
          </w:tcPr>
          <w:p w14:paraId="0DE51150">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审方干预功能</w:t>
            </w:r>
          </w:p>
        </w:tc>
        <w:tc>
          <w:tcPr>
            <w:tcW w:w="6497" w:type="dxa"/>
            <w:vAlign w:val="center"/>
          </w:tcPr>
          <w:p w14:paraId="46B5C2F6">
            <w:pPr>
              <w:numPr>
                <w:ilvl w:val="0"/>
                <w:numId w:val="0"/>
              </w:numPr>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2.1</w:t>
            </w:r>
            <w:r>
              <w:rPr>
                <w:rFonts w:hint="eastAsia" w:asciiTheme="minorEastAsia" w:hAnsiTheme="minorEastAsia" w:eastAsiaTheme="minorEastAsia" w:cstheme="minorEastAsia"/>
                <w:color w:val="auto"/>
                <w:sz w:val="20"/>
                <w:szCs w:val="20"/>
                <w:highlight w:val="none"/>
              </w:rPr>
              <w:t>▲系统可主动分配任务给药师。</w:t>
            </w:r>
          </w:p>
          <w:p w14:paraId="5B8F4C93">
            <w:pPr>
              <w:numPr>
                <w:ilvl w:val="0"/>
                <w:numId w:val="0"/>
              </w:numPr>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2.2</w:t>
            </w:r>
            <w:r>
              <w:rPr>
                <w:rFonts w:hint="eastAsia" w:asciiTheme="minorEastAsia" w:hAnsiTheme="minorEastAsia" w:eastAsiaTheme="minorEastAsia" w:cstheme="minorEastAsia"/>
                <w:color w:val="auto"/>
                <w:sz w:val="20"/>
                <w:szCs w:val="20"/>
                <w:highlight w:val="none"/>
              </w:rPr>
              <w:t>药师可设置单次可获取任务数。</w:t>
            </w:r>
          </w:p>
          <w:p w14:paraId="1104903A">
            <w:pPr>
              <w:numPr>
                <w:ilvl w:val="0"/>
                <w:numId w:val="0"/>
              </w:numPr>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2.3</w:t>
            </w:r>
            <w:r>
              <w:rPr>
                <w:rFonts w:hint="eastAsia" w:asciiTheme="minorEastAsia" w:hAnsiTheme="minorEastAsia" w:eastAsiaTheme="minorEastAsia" w:cstheme="minorEastAsia"/>
                <w:color w:val="auto"/>
                <w:sz w:val="20"/>
                <w:szCs w:val="20"/>
                <w:highlight w:val="none"/>
              </w:rPr>
              <w:t>药师可在审查界面一体化查看当前处方（医嘱）历史干预记录。</w:t>
            </w:r>
          </w:p>
          <w:p w14:paraId="09189264">
            <w:pPr>
              <w:pStyle w:val="5"/>
              <w:numPr>
                <w:ilvl w:val="0"/>
                <w:numId w:val="0"/>
              </w:numPr>
              <w:ind w:leftChars="0"/>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lang w:val="en-US" w:eastAsia="zh-CN"/>
              </w:rPr>
              <w:t>2.4</w:t>
            </w:r>
            <w:r>
              <w:rPr>
                <w:rFonts w:hint="eastAsia" w:asciiTheme="minorEastAsia" w:hAnsiTheme="minorEastAsia" w:eastAsiaTheme="minorEastAsia" w:cstheme="minorEastAsia"/>
                <w:b w:val="0"/>
                <w:bCs w:val="0"/>
                <w:color w:val="auto"/>
                <w:sz w:val="20"/>
                <w:szCs w:val="20"/>
                <w:highlight w:val="none"/>
              </w:rPr>
              <w:t>药师可以根据不同任务情况选择医生处方（医嘱）直接双签通过还是需要药师复核。</w:t>
            </w:r>
          </w:p>
          <w:p w14:paraId="714F67D2">
            <w:pPr>
              <w:pStyle w:val="5"/>
              <w:numPr>
                <w:ilvl w:val="0"/>
                <w:numId w:val="0"/>
              </w:numPr>
              <w:ind w:leftChars="0"/>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lang w:val="en-US" w:eastAsia="zh-CN"/>
              </w:rPr>
              <w:t>2.5</w:t>
            </w:r>
            <w:r>
              <w:rPr>
                <w:rFonts w:hint="eastAsia" w:asciiTheme="minorEastAsia" w:hAnsiTheme="minorEastAsia" w:eastAsiaTheme="minorEastAsia" w:cstheme="minorEastAsia"/>
                <w:b w:val="0"/>
                <w:bCs w:val="0"/>
                <w:color w:val="auto"/>
                <w:sz w:val="20"/>
                <w:szCs w:val="20"/>
                <w:highlight w:val="none"/>
              </w:rPr>
              <w:t>若一张处方（医嘱）通过前有多个修改版本，系统可以标记每个版本的处置状态。</w:t>
            </w:r>
          </w:p>
          <w:p w14:paraId="054BC18E">
            <w:pPr>
              <w:pStyle w:val="5"/>
              <w:numPr>
                <w:ilvl w:val="0"/>
                <w:numId w:val="0"/>
              </w:numPr>
              <w:ind w:leftChars="0"/>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lang w:val="en-US" w:eastAsia="zh-CN"/>
              </w:rPr>
              <w:t>2.6</w:t>
            </w:r>
            <w:r>
              <w:rPr>
                <w:rFonts w:hint="eastAsia" w:asciiTheme="minorEastAsia" w:hAnsiTheme="minorEastAsia" w:eastAsiaTheme="minorEastAsia" w:cstheme="minorEastAsia"/>
                <w:b w:val="0"/>
                <w:bCs w:val="0"/>
                <w:color w:val="auto"/>
                <w:sz w:val="20"/>
                <w:szCs w:val="20"/>
                <w:highlight w:val="none"/>
              </w:rPr>
              <w:t>系统支持根据医生提交至药师处的中药处方智能检索近似经典方剂供药师参考。</w:t>
            </w:r>
          </w:p>
          <w:p w14:paraId="675A467C">
            <w:pPr>
              <w:numPr>
                <w:ilvl w:val="0"/>
                <w:numId w:val="0"/>
              </w:numPr>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2.7</w:t>
            </w:r>
            <w:r>
              <w:rPr>
                <w:rFonts w:hint="eastAsia" w:asciiTheme="minorEastAsia" w:hAnsiTheme="minorEastAsia" w:eastAsiaTheme="minorEastAsia" w:cstheme="minorEastAsia"/>
                <w:color w:val="auto"/>
                <w:sz w:val="20"/>
                <w:szCs w:val="20"/>
                <w:highlight w:val="none"/>
              </w:rPr>
              <w:t>药师可选择审核意见中的重点文字变色处理后发给医生。</w:t>
            </w:r>
          </w:p>
        </w:tc>
      </w:tr>
      <w:tr w14:paraId="0CF9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gridSpan w:val="2"/>
            <w:vAlign w:val="center"/>
          </w:tcPr>
          <w:p w14:paraId="60DF159F">
            <w:pPr>
              <w:numPr>
                <w:ilvl w:val="0"/>
                <w:numId w:val="0"/>
              </w:numPr>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3</w:t>
            </w:r>
          </w:p>
        </w:tc>
        <w:tc>
          <w:tcPr>
            <w:tcW w:w="1158" w:type="dxa"/>
            <w:gridSpan w:val="2"/>
            <w:vAlign w:val="center"/>
          </w:tcPr>
          <w:p w14:paraId="6F8EEDF6">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质量评价功能</w:t>
            </w:r>
          </w:p>
        </w:tc>
        <w:tc>
          <w:tcPr>
            <w:tcW w:w="6497" w:type="dxa"/>
            <w:vAlign w:val="center"/>
          </w:tcPr>
          <w:p w14:paraId="5DED54E3">
            <w:pPr>
              <w:pStyle w:val="5"/>
              <w:numPr>
                <w:ilvl w:val="0"/>
                <w:numId w:val="0"/>
              </w:numPr>
              <w:ind w:leftChars="0"/>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系统提供多种筛选方案设置功能，进行待评价任务筛选。</w:t>
            </w:r>
          </w:p>
          <w:p w14:paraId="447C0BF5">
            <w:pP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评价人可评估历史审核任务并设置问题推荐处置方案，供审方药师审核同一问题时参考。</w:t>
            </w:r>
          </w:p>
        </w:tc>
      </w:tr>
      <w:tr w14:paraId="2762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gridSpan w:val="2"/>
            <w:vAlign w:val="center"/>
          </w:tcPr>
          <w:p w14:paraId="758920CE">
            <w:pPr>
              <w:numPr>
                <w:ilvl w:val="0"/>
                <w:numId w:val="0"/>
              </w:numPr>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4</w:t>
            </w:r>
          </w:p>
        </w:tc>
        <w:tc>
          <w:tcPr>
            <w:tcW w:w="1158" w:type="dxa"/>
            <w:gridSpan w:val="2"/>
            <w:vAlign w:val="center"/>
          </w:tcPr>
          <w:p w14:paraId="4E5CB5AA">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审方干预自定义功能</w:t>
            </w:r>
          </w:p>
        </w:tc>
        <w:tc>
          <w:tcPr>
            <w:tcW w:w="6497" w:type="dxa"/>
            <w:shd w:val="clear" w:color="auto" w:fill="auto"/>
            <w:vAlign w:val="center"/>
          </w:tcPr>
          <w:p w14:paraId="5656A075">
            <w:pPr>
              <w:pStyle w:val="10"/>
              <w:numPr>
                <w:ilvl w:val="0"/>
                <w:numId w:val="0"/>
              </w:numPr>
              <w:spacing w:line="360" w:lineRule="auto"/>
              <w:ind w:leftChars="0"/>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cstheme="minorEastAsia"/>
                <w:bCs/>
                <w:color w:val="auto"/>
                <w:sz w:val="20"/>
                <w:szCs w:val="20"/>
                <w:highlight w:val="none"/>
                <w:lang w:val="en-US" w:eastAsia="zh-CN"/>
              </w:rPr>
              <w:t>4.1</w:t>
            </w:r>
            <w:r>
              <w:rPr>
                <w:rFonts w:hint="eastAsia" w:asciiTheme="minorEastAsia" w:hAnsiTheme="minorEastAsia" w:eastAsiaTheme="minorEastAsia" w:cstheme="minorEastAsia"/>
                <w:bCs/>
                <w:color w:val="auto"/>
                <w:sz w:val="20"/>
                <w:szCs w:val="20"/>
                <w:highlight w:val="none"/>
              </w:rPr>
              <w:t>用户可将任意科室、医生、患者、疾病、药品设置为重点关注，可按科室、医生、患者、疾病、药品、问题类型、警示级别多条件组合设置重点关注，包含重点关注信息的处方由药师进行全面审查。</w:t>
            </w:r>
          </w:p>
          <w:p w14:paraId="5B09381C">
            <w:pPr>
              <w:pStyle w:val="10"/>
              <w:numPr>
                <w:ilvl w:val="0"/>
                <w:numId w:val="0"/>
              </w:numPr>
              <w:spacing w:line="360" w:lineRule="auto"/>
              <w:ind w:leftChars="0"/>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cstheme="minorEastAsia"/>
                <w:bCs/>
                <w:color w:val="auto"/>
                <w:sz w:val="20"/>
                <w:szCs w:val="20"/>
                <w:highlight w:val="none"/>
                <w:lang w:val="en-US" w:eastAsia="zh-CN"/>
              </w:rPr>
              <w:t>4.2</w:t>
            </w:r>
            <w:r>
              <w:rPr>
                <w:rFonts w:hint="eastAsia" w:asciiTheme="minorEastAsia" w:hAnsiTheme="minorEastAsia" w:eastAsiaTheme="minorEastAsia" w:cstheme="minorEastAsia"/>
                <w:bCs/>
                <w:color w:val="auto"/>
                <w:sz w:val="20"/>
                <w:szCs w:val="20"/>
                <w:highlight w:val="none"/>
              </w:rPr>
              <w:t>用户可设置双盲审方、单盲审方，在需要时隐藏医生、药师信息。</w:t>
            </w:r>
          </w:p>
          <w:p w14:paraId="255A6869">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bCs/>
                <w:color w:val="auto"/>
                <w:sz w:val="20"/>
                <w:szCs w:val="20"/>
                <w:highlight w:val="none"/>
                <w:lang w:val="en-US" w:eastAsia="zh-CN"/>
              </w:rPr>
              <w:t>4.3</w:t>
            </w:r>
            <w:r>
              <w:rPr>
                <w:rFonts w:hint="eastAsia" w:asciiTheme="minorEastAsia" w:hAnsiTheme="minorEastAsia" w:eastAsiaTheme="minorEastAsia" w:cstheme="minorEastAsia"/>
                <w:bCs/>
                <w:color w:val="auto"/>
                <w:sz w:val="20"/>
                <w:szCs w:val="20"/>
                <w:highlight w:val="none"/>
              </w:rPr>
              <w:t>用户可根据使用习惯进行个性化设置</w:t>
            </w:r>
            <w:r>
              <w:rPr>
                <w:rFonts w:hint="eastAsia" w:asciiTheme="minorEastAsia" w:hAnsiTheme="minorEastAsia" w:eastAsiaTheme="minorEastAsia" w:cstheme="minorEastAsia"/>
                <w:bCs/>
                <w:color w:val="auto"/>
                <w:sz w:val="20"/>
                <w:szCs w:val="20"/>
                <w:highlight w:val="none"/>
                <w:lang w:eastAsia="zh-CN"/>
              </w:rPr>
              <w:t>。</w:t>
            </w:r>
          </w:p>
          <w:p w14:paraId="3452A089">
            <w:pPr>
              <w:pStyle w:val="10"/>
              <w:numPr>
                <w:ilvl w:val="0"/>
                <w:numId w:val="0"/>
              </w:numPr>
              <w:spacing w:line="360" w:lineRule="auto"/>
              <w:ind w:leftChars="0"/>
              <w:rPr>
                <w:rFonts w:hint="eastAsia" w:asciiTheme="minorEastAsia" w:hAnsiTheme="minorEastAsia" w:eastAsiaTheme="minorEastAsia" w:cstheme="minorEastAsia"/>
                <w:bCs/>
                <w:color w:val="auto"/>
                <w:kern w:val="2"/>
                <w:sz w:val="20"/>
                <w:szCs w:val="20"/>
                <w:highlight w:val="none"/>
                <w:lang w:val="en-US" w:eastAsia="zh-CN" w:bidi="ar-SA"/>
              </w:rPr>
            </w:pPr>
            <w:r>
              <w:rPr>
                <w:rFonts w:hint="eastAsia" w:asciiTheme="minorEastAsia" w:hAnsiTheme="minorEastAsia" w:cstheme="minorEastAsia"/>
                <w:color w:val="auto"/>
                <w:sz w:val="20"/>
                <w:szCs w:val="20"/>
                <w:highlight w:val="none"/>
                <w:lang w:val="en-US" w:eastAsia="zh-CN"/>
              </w:rPr>
              <w:t>4.4</w:t>
            </w: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bCs/>
                <w:color w:val="auto"/>
                <w:sz w:val="20"/>
                <w:szCs w:val="20"/>
                <w:highlight w:val="none"/>
              </w:rPr>
              <w:t>用户可设置自动干预模式，并设置医生填写用药理由的模式。</w:t>
            </w:r>
          </w:p>
        </w:tc>
      </w:tr>
      <w:tr w14:paraId="5BB6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gridSpan w:val="2"/>
            <w:vAlign w:val="center"/>
          </w:tcPr>
          <w:p w14:paraId="143F9DC5">
            <w:pPr>
              <w:numPr>
                <w:ilvl w:val="0"/>
                <w:numId w:val="0"/>
              </w:numPr>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5</w:t>
            </w:r>
          </w:p>
        </w:tc>
        <w:tc>
          <w:tcPr>
            <w:tcW w:w="1158" w:type="dxa"/>
            <w:gridSpan w:val="2"/>
            <w:vAlign w:val="center"/>
          </w:tcPr>
          <w:p w14:paraId="4C8CE143">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患者信息查看</w:t>
            </w:r>
          </w:p>
        </w:tc>
        <w:tc>
          <w:tcPr>
            <w:tcW w:w="6497" w:type="dxa"/>
            <w:shd w:val="clear" w:color="auto" w:fill="auto"/>
            <w:vAlign w:val="center"/>
          </w:tcPr>
          <w:p w14:paraId="0307C817">
            <w:pPr>
              <w:pStyle w:val="10"/>
              <w:numPr>
                <w:ilvl w:val="0"/>
                <w:numId w:val="0"/>
              </w:numPr>
              <w:spacing w:line="360" w:lineRule="auto"/>
              <w:ind w:leftChars="0"/>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cstheme="minorEastAsia"/>
                <w:bCs/>
                <w:color w:val="auto"/>
                <w:sz w:val="20"/>
                <w:szCs w:val="20"/>
                <w:highlight w:val="none"/>
                <w:lang w:val="en-US" w:eastAsia="zh-CN"/>
              </w:rPr>
              <w:t>5.1</w:t>
            </w:r>
            <w:r>
              <w:rPr>
                <w:rFonts w:hint="eastAsia" w:asciiTheme="minorEastAsia" w:hAnsiTheme="minorEastAsia" w:eastAsiaTheme="minorEastAsia" w:cstheme="minorEastAsia"/>
                <w:bCs/>
                <w:color w:val="auto"/>
                <w:sz w:val="20"/>
                <w:szCs w:val="20"/>
                <w:highlight w:val="none"/>
              </w:rPr>
              <w:t>药师审方界面：可查看患者基本信息、患者过敏史、手术信息、检验检查信息、会诊信息、病程记录，检验结果异常项可单独显示。可链接EMR系统查看患者详细信息。</w:t>
            </w:r>
          </w:p>
          <w:p w14:paraId="03855590">
            <w:pPr>
              <w:pStyle w:val="10"/>
              <w:numPr>
                <w:ilvl w:val="0"/>
                <w:numId w:val="0"/>
              </w:numPr>
              <w:spacing w:line="360" w:lineRule="auto"/>
              <w:ind w:leftChars="0"/>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cstheme="minorEastAsia"/>
                <w:bCs/>
                <w:color w:val="auto"/>
                <w:sz w:val="20"/>
                <w:szCs w:val="20"/>
                <w:highlight w:val="none"/>
                <w:lang w:val="en-US" w:eastAsia="zh-CN"/>
              </w:rPr>
              <w:t>5.2</w:t>
            </w:r>
            <w:r>
              <w:rPr>
                <w:rFonts w:hint="eastAsia" w:asciiTheme="minorEastAsia" w:hAnsiTheme="minorEastAsia" w:eastAsiaTheme="minorEastAsia" w:cstheme="minorEastAsia"/>
                <w:bCs/>
                <w:color w:val="auto"/>
                <w:sz w:val="20"/>
                <w:szCs w:val="20"/>
                <w:highlight w:val="none"/>
              </w:rPr>
              <w:t>可标记门诊特殊病人。</w:t>
            </w:r>
          </w:p>
          <w:p w14:paraId="38A1802D">
            <w:pPr>
              <w:pStyle w:val="10"/>
              <w:numPr>
                <w:ilvl w:val="0"/>
                <w:numId w:val="0"/>
              </w:numPr>
              <w:spacing w:line="360" w:lineRule="auto"/>
              <w:ind w:leftChars="0"/>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cstheme="minorEastAsia"/>
                <w:bCs/>
                <w:color w:val="auto"/>
                <w:sz w:val="20"/>
                <w:szCs w:val="20"/>
                <w:highlight w:val="none"/>
                <w:lang w:val="en-US" w:eastAsia="zh-CN"/>
              </w:rPr>
              <w:t>5.3</w:t>
            </w:r>
            <w:r>
              <w:rPr>
                <w:rFonts w:hint="eastAsia" w:asciiTheme="minorEastAsia" w:hAnsiTheme="minorEastAsia" w:eastAsiaTheme="minorEastAsia" w:cstheme="minorEastAsia"/>
                <w:bCs/>
                <w:color w:val="auto"/>
                <w:sz w:val="20"/>
                <w:szCs w:val="20"/>
                <w:highlight w:val="none"/>
              </w:rPr>
              <w:t>可标记慢病处方。</w:t>
            </w:r>
          </w:p>
          <w:p w14:paraId="739B62B0">
            <w:pPr>
              <w:pStyle w:val="10"/>
              <w:numPr>
                <w:ilvl w:val="0"/>
                <w:numId w:val="0"/>
              </w:numPr>
              <w:spacing w:line="360" w:lineRule="auto"/>
              <w:ind w:leftChars="0"/>
              <w:rPr>
                <w:rFonts w:hint="eastAsia" w:asciiTheme="minorEastAsia" w:hAnsiTheme="minorEastAsia" w:eastAsiaTheme="minorEastAsia" w:cstheme="minorEastAsia"/>
                <w:bCs/>
                <w:color w:val="auto"/>
                <w:kern w:val="2"/>
                <w:sz w:val="20"/>
                <w:szCs w:val="20"/>
                <w:highlight w:val="none"/>
                <w:lang w:val="en-US" w:eastAsia="zh-CN" w:bidi="ar-SA"/>
              </w:rPr>
            </w:pPr>
            <w:r>
              <w:rPr>
                <w:rFonts w:hint="eastAsia" w:asciiTheme="minorEastAsia" w:hAnsiTheme="minorEastAsia" w:cstheme="minorEastAsia"/>
                <w:bCs/>
                <w:color w:val="auto"/>
                <w:sz w:val="20"/>
                <w:szCs w:val="20"/>
                <w:highlight w:val="none"/>
                <w:lang w:val="en-US" w:eastAsia="zh-CN"/>
              </w:rPr>
              <w:t>5.4</w:t>
            </w:r>
            <w:r>
              <w:rPr>
                <w:rFonts w:hint="eastAsia" w:asciiTheme="minorEastAsia" w:hAnsiTheme="minorEastAsia" w:eastAsiaTheme="minorEastAsia" w:cstheme="minorEastAsia"/>
                <w:bCs/>
                <w:color w:val="auto"/>
                <w:sz w:val="20"/>
                <w:szCs w:val="20"/>
                <w:highlight w:val="none"/>
              </w:rPr>
              <w:t>药师审查时可查看当前患者的其他处方。</w:t>
            </w:r>
          </w:p>
        </w:tc>
      </w:tr>
      <w:tr w14:paraId="6F61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gridSpan w:val="2"/>
            <w:vAlign w:val="center"/>
          </w:tcPr>
          <w:p w14:paraId="38CC9220">
            <w:pPr>
              <w:numPr>
                <w:ilvl w:val="0"/>
                <w:numId w:val="0"/>
              </w:numPr>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6</w:t>
            </w:r>
          </w:p>
        </w:tc>
        <w:tc>
          <w:tcPr>
            <w:tcW w:w="1158" w:type="dxa"/>
            <w:gridSpan w:val="2"/>
            <w:vAlign w:val="center"/>
          </w:tcPr>
          <w:p w14:paraId="186D6BCF">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系统审查</w:t>
            </w:r>
          </w:p>
        </w:tc>
        <w:tc>
          <w:tcPr>
            <w:tcW w:w="6497" w:type="dxa"/>
            <w:vAlign w:val="center"/>
          </w:tcPr>
          <w:p w14:paraId="08B474F7">
            <w:pPr>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eastAsiaTheme="minorEastAsia" w:cstheme="minorEastAsia"/>
                <w:bCs/>
                <w:color w:val="auto"/>
                <w:sz w:val="20"/>
                <w:szCs w:val="20"/>
                <w:highlight w:val="none"/>
              </w:rPr>
              <w:t>系统审查项目、规则等应与医院当前在用医生端审方系统保持一致，并能实现无缝对接</w:t>
            </w:r>
            <w:r>
              <w:rPr>
                <w:rFonts w:hint="eastAsia" w:asciiTheme="minorEastAsia" w:hAnsiTheme="minorEastAsia" w:eastAsiaTheme="minorEastAsia" w:cstheme="minorEastAsia"/>
                <w:bCs/>
                <w:color w:val="auto"/>
                <w:sz w:val="20"/>
                <w:szCs w:val="20"/>
                <w:highlight w:val="none"/>
                <w:lang w:eastAsia="zh-CN"/>
              </w:rPr>
              <w:t>。</w:t>
            </w:r>
          </w:p>
        </w:tc>
      </w:tr>
      <w:tr w14:paraId="2468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gridSpan w:val="2"/>
            <w:vAlign w:val="center"/>
          </w:tcPr>
          <w:p w14:paraId="7D092844">
            <w:pPr>
              <w:numPr>
                <w:ilvl w:val="0"/>
                <w:numId w:val="0"/>
              </w:numPr>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7</w:t>
            </w:r>
          </w:p>
        </w:tc>
        <w:tc>
          <w:tcPr>
            <w:tcW w:w="1158" w:type="dxa"/>
            <w:gridSpan w:val="2"/>
            <w:vAlign w:val="center"/>
          </w:tcPr>
          <w:p w14:paraId="563DB139">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统计分析</w:t>
            </w:r>
          </w:p>
        </w:tc>
        <w:tc>
          <w:tcPr>
            <w:tcW w:w="6497" w:type="dxa"/>
            <w:vAlign w:val="center"/>
          </w:tcPr>
          <w:p w14:paraId="0C06CFC4">
            <w:pPr>
              <w:pStyle w:val="10"/>
              <w:numPr>
                <w:ilvl w:val="0"/>
                <w:numId w:val="0"/>
              </w:numPr>
              <w:spacing w:line="360" w:lineRule="auto"/>
              <w:ind w:leftChars="0"/>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cstheme="minorEastAsia"/>
                <w:bCs/>
                <w:color w:val="auto"/>
                <w:sz w:val="20"/>
                <w:szCs w:val="20"/>
                <w:highlight w:val="none"/>
                <w:lang w:val="en-US" w:eastAsia="zh-CN"/>
              </w:rPr>
              <w:t>7.1</w:t>
            </w:r>
            <w:r>
              <w:rPr>
                <w:rFonts w:hint="eastAsia" w:asciiTheme="minorEastAsia" w:hAnsiTheme="minorEastAsia" w:eastAsiaTheme="minorEastAsia" w:cstheme="minorEastAsia"/>
                <w:bCs/>
                <w:color w:val="auto"/>
                <w:sz w:val="20"/>
                <w:szCs w:val="20"/>
                <w:highlight w:val="none"/>
              </w:rPr>
              <w:t>可以分别统计门诊、住院任务的审核率、干预率、合格率等重要指标</w:t>
            </w:r>
            <w:r>
              <w:rPr>
                <w:rFonts w:hint="eastAsia" w:asciiTheme="minorEastAsia" w:hAnsiTheme="minorEastAsia" w:eastAsiaTheme="minorEastAsia" w:cstheme="minorEastAsia"/>
                <w:bCs/>
                <w:color w:val="auto"/>
                <w:sz w:val="20"/>
                <w:szCs w:val="20"/>
                <w:highlight w:val="none"/>
                <w:lang w:eastAsia="zh-CN"/>
              </w:rPr>
              <w:t>。</w:t>
            </w:r>
          </w:p>
          <w:p w14:paraId="70ED6F8B">
            <w:pPr>
              <w:pStyle w:val="10"/>
              <w:numPr>
                <w:ilvl w:val="0"/>
                <w:numId w:val="0"/>
              </w:numPr>
              <w:spacing w:line="360" w:lineRule="auto"/>
              <w:ind w:leftChars="0"/>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cstheme="minorEastAsia"/>
                <w:bCs/>
                <w:color w:val="auto"/>
                <w:sz w:val="20"/>
                <w:szCs w:val="20"/>
                <w:highlight w:val="none"/>
                <w:lang w:val="en-US" w:eastAsia="zh-CN"/>
              </w:rPr>
              <w:t>7.2</w:t>
            </w:r>
            <w:r>
              <w:rPr>
                <w:rFonts w:hint="eastAsia" w:asciiTheme="minorEastAsia" w:hAnsiTheme="minorEastAsia" w:eastAsiaTheme="minorEastAsia" w:cstheme="minorEastAsia"/>
                <w:bCs/>
                <w:color w:val="auto"/>
                <w:sz w:val="20"/>
                <w:szCs w:val="20"/>
                <w:highlight w:val="none"/>
              </w:rPr>
              <w:t>可以统计每个药师的监测时长、审核工作量、干预工作量和干预有效率，并可提供统计图。</w:t>
            </w:r>
          </w:p>
          <w:p w14:paraId="1A1B3C50">
            <w:pPr>
              <w:pStyle w:val="10"/>
              <w:numPr>
                <w:ilvl w:val="0"/>
                <w:numId w:val="0"/>
              </w:numPr>
              <w:spacing w:line="360" w:lineRule="auto"/>
              <w:ind w:leftChars="0"/>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cstheme="minorEastAsia"/>
                <w:bCs/>
                <w:color w:val="auto"/>
                <w:sz w:val="20"/>
                <w:szCs w:val="20"/>
                <w:highlight w:val="none"/>
                <w:lang w:val="en-US" w:eastAsia="zh-CN"/>
              </w:rPr>
              <w:t>7.3</w:t>
            </w:r>
            <w:r>
              <w:rPr>
                <w:rFonts w:hint="eastAsia" w:asciiTheme="minorEastAsia" w:hAnsiTheme="minorEastAsia" w:eastAsiaTheme="minorEastAsia" w:cstheme="minorEastAsia"/>
                <w:bCs/>
                <w:color w:val="auto"/>
                <w:sz w:val="20"/>
                <w:szCs w:val="20"/>
                <w:highlight w:val="none"/>
              </w:rPr>
              <w:t>可以提供不合理问题统计分析。可以查看在人工审方时药师主动添加的问题的发生次数、发生率。</w:t>
            </w:r>
          </w:p>
          <w:p w14:paraId="2C884AB7">
            <w:pPr>
              <w:pStyle w:val="10"/>
              <w:numPr>
                <w:ilvl w:val="0"/>
                <w:numId w:val="0"/>
              </w:numPr>
              <w:spacing w:line="360" w:lineRule="auto"/>
              <w:ind w:leftChars="0"/>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cstheme="minorEastAsia"/>
                <w:bCs/>
                <w:color w:val="auto"/>
                <w:sz w:val="20"/>
                <w:szCs w:val="20"/>
                <w:highlight w:val="none"/>
                <w:lang w:val="en-US" w:eastAsia="zh-CN"/>
              </w:rPr>
              <w:t>7.4</w:t>
            </w:r>
            <w:r>
              <w:rPr>
                <w:rFonts w:hint="eastAsia" w:asciiTheme="minorEastAsia" w:hAnsiTheme="minorEastAsia" w:eastAsiaTheme="minorEastAsia" w:cstheme="minorEastAsia"/>
                <w:bCs/>
                <w:color w:val="auto"/>
                <w:sz w:val="20"/>
                <w:szCs w:val="20"/>
                <w:highlight w:val="none"/>
              </w:rPr>
              <w:t>可以分科室、医生、药品、问题类型提供干预效果追踪，并以统计图的方式体现干预效果。</w:t>
            </w:r>
          </w:p>
          <w:p w14:paraId="001CFEE2">
            <w:pPr>
              <w:pStyle w:val="10"/>
              <w:numPr>
                <w:ilvl w:val="0"/>
                <w:numId w:val="0"/>
              </w:numPr>
              <w:spacing w:line="360" w:lineRule="auto"/>
              <w:ind w:leftChars="0"/>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cstheme="minorEastAsia"/>
                <w:bCs/>
                <w:color w:val="auto"/>
                <w:sz w:val="20"/>
                <w:szCs w:val="20"/>
                <w:highlight w:val="none"/>
                <w:lang w:val="en-US" w:eastAsia="zh-CN"/>
              </w:rPr>
              <w:t>7.5</w:t>
            </w:r>
            <w:r>
              <w:rPr>
                <w:rFonts w:hint="eastAsia" w:asciiTheme="minorEastAsia" w:hAnsiTheme="minorEastAsia" w:eastAsiaTheme="minorEastAsia" w:cstheme="minorEastAsia"/>
                <w:bCs/>
                <w:color w:val="auto"/>
                <w:sz w:val="20"/>
                <w:szCs w:val="20"/>
                <w:highlight w:val="none"/>
              </w:rPr>
              <w:t>可按不同的处方（医嘱）通过状态进行统计，并可生成统计图。</w:t>
            </w:r>
          </w:p>
          <w:p w14:paraId="137B52C2">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医生端可通过用药自查，查看自身任务的审核干预相关统计数据。</w:t>
            </w:r>
          </w:p>
          <w:p w14:paraId="7278DCB5">
            <w:pPr>
              <w:numPr>
                <w:ilvl w:val="0"/>
                <w:numId w:val="0"/>
              </w:numPr>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7.6</w:t>
            </w:r>
            <w:r>
              <w:rPr>
                <w:rFonts w:hint="eastAsia" w:asciiTheme="minorEastAsia" w:hAnsiTheme="minorEastAsia" w:eastAsiaTheme="minorEastAsia" w:cstheme="minorEastAsia"/>
                <w:color w:val="auto"/>
                <w:sz w:val="20"/>
                <w:szCs w:val="20"/>
                <w:highlight w:val="none"/>
              </w:rPr>
              <w:t>医生端可通过用药自查，查看自身任务的审核干预相关统计数据。</w:t>
            </w:r>
          </w:p>
        </w:tc>
      </w:tr>
      <w:tr w14:paraId="1106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gridSpan w:val="2"/>
            <w:vAlign w:val="center"/>
          </w:tcPr>
          <w:p w14:paraId="10FCE2B7">
            <w:pPr>
              <w:numPr>
                <w:ilvl w:val="0"/>
                <w:numId w:val="0"/>
              </w:numPr>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8</w:t>
            </w:r>
          </w:p>
        </w:tc>
        <w:tc>
          <w:tcPr>
            <w:tcW w:w="1158" w:type="dxa"/>
            <w:gridSpan w:val="2"/>
            <w:vAlign w:val="center"/>
          </w:tcPr>
          <w:p w14:paraId="1A90F9F0">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大屏展示功能</w:t>
            </w:r>
          </w:p>
        </w:tc>
        <w:tc>
          <w:tcPr>
            <w:tcW w:w="6497" w:type="dxa"/>
            <w:vAlign w:val="center"/>
          </w:tcPr>
          <w:p w14:paraId="6948CC91">
            <w:pPr>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eastAsiaTheme="minorEastAsia" w:cstheme="minorEastAsia"/>
                <w:bCs/>
                <w:color w:val="auto"/>
                <w:sz w:val="20"/>
                <w:szCs w:val="20"/>
                <w:highlight w:val="none"/>
              </w:rPr>
              <w:t>系统应支持将重要审方指标通过图表在用户大屏上展示。</w:t>
            </w:r>
          </w:p>
        </w:tc>
      </w:tr>
      <w:tr w14:paraId="4439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gridSpan w:val="5"/>
            <w:tcBorders>
              <w:top w:val="single" w:color="auto" w:sz="4" w:space="0"/>
              <w:left w:val="single" w:color="auto" w:sz="4" w:space="0"/>
              <w:bottom w:val="single" w:color="auto" w:sz="4" w:space="0"/>
              <w:right w:val="single" w:color="auto" w:sz="4" w:space="0"/>
            </w:tcBorders>
          </w:tcPr>
          <w:p w14:paraId="0B69006A">
            <w:pP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处方集管理功能要求</w:t>
            </w:r>
          </w:p>
        </w:tc>
      </w:tr>
      <w:tr w14:paraId="535C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gridSpan w:val="3"/>
            <w:vAlign w:val="center"/>
          </w:tcPr>
          <w:p w14:paraId="1C3970E3">
            <w:pPr>
              <w:pStyle w:val="10"/>
              <w:widowControl/>
              <w:numPr>
                <w:ilvl w:val="0"/>
                <w:numId w:val="0"/>
              </w:numPr>
              <w:adjustRightInd w:val="0"/>
              <w:snapToGrid w:val="0"/>
              <w:spacing w:line="360" w:lineRule="auto"/>
              <w:ind w:leftChars="0"/>
              <w:jc w:val="center"/>
              <w:rPr>
                <w:rFonts w:hint="eastAsia" w:asciiTheme="minorEastAsia" w:hAnsiTheme="minorEastAsia" w:eastAsiaTheme="minorEastAsia" w:cstheme="minorEastAsia"/>
                <w:bCs/>
                <w:color w:val="auto"/>
                <w:sz w:val="20"/>
                <w:szCs w:val="20"/>
                <w:highlight w:val="none"/>
                <w:lang w:val="en-US" w:eastAsia="zh-CN"/>
              </w:rPr>
            </w:pPr>
            <w:r>
              <w:rPr>
                <w:rFonts w:hint="eastAsia" w:asciiTheme="minorEastAsia" w:hAnsiTheme="minorEastAsia" w:cstheme="minorEastAsia"/>
                <w:bCs/>
                <w:color w:val="auto"/>
                <w:sz w:val="20"/>
                <w:szCs w:val="20"/>
                <w:highlight w:val="none"/>
                <w:lang w:val="en-US" w:eastAsia="zh-CN"/>
              </w:rPr>
              <w:t>1</w:t>
            </w:r>
          </w:p>
        </w:tc>
        <w:tc>
          <w:tcPr>
            <w:tcW w:w="1044" w:type="dxa"/>
            <w:vAlign w:val="center"/>
          </w:tcPr>
          <w:p w14:paraId="722EC8AE">
            <w:pPr>
              <w:pStyle w:val="4"/>
              <w:spacing w:before="0" w:after="0" w:line="360" w:lineRule="auto"/>
              <w:jc w:val="center"/>
              <w:rPr>
                <w:rFonts w:hint="eastAsia" w:asciiTheme="minorEastAsia" w:hAnsiTheme="minorEastAsia" w:eastAsiaTheme="minorEastAsia" w:cstheme="minorEastAsia"/>
                <w:b w:val="0"/>
                <w:color w:val="auto"/>
                <w:sz w:val="20"/>
                <w:szCs w:val="20"/>
                <w:highlight w:val="none"/>
              </w:rPr>
            </w:pPr>
            <w:r>
              <w:rPr>
                <w:rFonts w:hint="eastAsia" w:asciiTheme="minorEastAsia" w:hAnsiTheme="minorEastAsia" w:eastAsiaTheme="minorEastAsia" w:cstheme="minorEastAsia"/>
                <w:b w:val="0"/>
                <w:color w:val="auto"/>
                <w:sz w:val="20"/>
                <w:szCs w:val="20"/>
                <w:highlight w:val="none"/>
              </w:rPr>
              <w:t>医院处方集制作功能</w:t>
            </w:r>
          </w:p>
        </w:tc>
        <w:tc>
          <w:tcPr>
            <w:tcW w:w="6497" w:type="dxa"/>
          </w:tcPr>
          <w:p w14:paraId="4B2FC3F4">
            <w:pPr>
              <w:adjustRightInd w:val="0"/>
              <w:snapToGrid w:val="0"/>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eastAsiaTheme="minorEastAsia" w:cstheme="minorEastAsia"/>
                <w:bCs/>
                <w:color w:val="auto"/>
                <w:sz w:val="20"/>
                <w:szCs w:val="20"/>
                <w:highlight w:val="none"/>
              </w:rPr>
              <w:t>“系统”应提供总论、药品信息、治疗指南及附录四部分。应可根据医院的在院品种，制作医院的个性化的电子处方集。</w:t>
            </w:r>
          </w:p>
        </w:tc>
      </w:tr>
      <w:tr w14:paraId="423E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gridSpan w:val="3"/>
            <w:vAlign w:val="center"/>
          </w:tcPr>
          <w:p w14:paraId="4029AAA4">
            <w:pPr>
              <w:pStyle w:val="10"/>
              <w:widowControl/>
              <w:numPr>
                <w:ilvl w:val="0"/>
                <w:numId w:val="0"/>
              </w:numPr>
              <w:adjustRightInd w:val="0"/>
              <w:snapToGrid w:val="0"/>
              <w:spacing w:line="360" w:lineRule="auto"/>
              <w:ind w:leftChars="0"/>
              <w:jc w:val="center"/>
              <w:rPr>
                <w:rFonts w:hint="eastAsia" w:asciiTheme="minorEastAsia" w:hAnsiTheme="minorEastAsia" w:eastAsiaTheme="minorEastAsia" w:cstheme="minorEastAsia"/>
                <w:bCs/>
                <w:color w:val="auto"/>
                <w:sz w:val="20"/>
                <w:szCs w:val="20"/>
                <w:highlight w:val="none"/>
                <w:lang w:val="en-US" w:eastAsia="zh-CN"/>
              </w:rPr>
            </w:pPr>
            <w:r>
              <w:rPr>
                <w:rFonts w:hint="eastAsia" w:asciiTheme="minorEastAsia" w:hAnsiTheme="minorEastAsia" w:cstheme="minorEastAsia"/>
                <w:bCs/>
                <w:color w:val="auto"/>
                <w:sz w:val="20"/>
                <w:szCs w:val="20"/>
                <w:highlight w:val="none"/>
                <w:lang w:val="en-US" w:eastAsia="zh-CN"/>
              </w:rPr>
              <w:t>2</w:t>
            </w:r>
          </w:p>
        </w:tc>
        <w:tc>
          <w:tcPr>
            <w:tcW w:w="1044" w:type="dxa"/>
            <w:vAlign w:val="center"/>
          </w:tcPr>
          <w:p w14:paraId="6CC48F3F">
            <w:pPr>
              <w:pStyle w:val="4"/>
              <w:spacing w:before="0" w:after="0" w:line="360" w:lineRule="auto"/>
              <w:jc w:val="center"/>
              <w:rPr>
                <w:rFonts w:hint="eastAsia" w:asciiTheme="minorEastAsia" w:hAnsiTheme="minorEastAsia" w:eastAsiaTheme="minorEastAsia" w:cstheme="minorEastAsia"/>
                <w:b w:val="0"/>
                <w:color w:val="auto"/>
                <w:sz w:val="20"/>
                <w:szCs w:val="20"/>
                <w:highlight w:val="none"/>
              </w:rPr>
            </w:pPr>
            <w:r>
              <w:rPr>
                <w:rFonts w:hint="eastAsia" w:asciiTheme="minorEastAsia" w:hAnsiTheme="minorEastAsia" w:eastAsiaTheme="minorEastAsia" w:cstheme="minorEastAsia"/>
                <w:b w:val="0"/>
                <w:color w:val="auto"/>
                <w:sz w:val="20"/>
                <w:szCs w:val="20"/>
                <w:highlight w:val="none"/>
              </w:rPr>
              <w:t>医院处方集维护功能</w:t>
            </w:r>
          </w:p>
        </w:tc>
        <w:tc>
          <w:tcPr>
            <w:tcW w:w="6497" w:type="dxa"/>
          </w:tcPr>
          <w:p w14:paraId="10C14302">
            <w:pPr>
              <w:adjustRightInd w:val="0"/>
              <w:snapToGrid w:val="0"/>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eastAsiaTheme="minorEastAsia" w:cstheme="minorEastAsia"/>
                <w:bCs/>
                <w:color w:val="auto"/>
                <w:sz w:val="20"/>
                <w:szCs w:val="20"/>
                <w:highlight w:val="none"/>
              </w:rPr>
              <w:t>“系统”应可根据政策法规、在院药品品种的变化随时对处方集各部分内容进行修订。</w:t>
            </w:r>
          </w:p>
        </w:tc>
      </w:tr>
      <w:tr w14:paraId="7D8C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gridSpan w:val="3"/>
            <w:vAlign w:val="center"/>
          </w:tcPr>
          <w:p w14:paraId="3ABA737E">
            <w:pPr>
              <w:pStyle w:val="10"/>
              <w:widowControl/>
              <w:numPr>
                <w:ilvl w:val="0"/>
                <w:numId w:val="0"/>
              </w:numPr>
              <w:adjustRightInd w:val="0"/>
              <w:snapToGrid w:val="0"/>
              <w:spacing w:line="360" w:lineRule="auto"/>
              <w:ind w:leftChars="0"/>
              <w:jc w:val="center"/>
              <w:rPr>
                <w:rFonts w:hint="default" w:asciiTheme="minorEastAsia" w:hAnsiTheme="minorEastAsia" w:eastAsiaTheme="minorEastAsia" w:cstheme="minorEastAsia"/>
                <w:bCs/>
                <w:color w:val="auto"/>
                <w:sz w:val="20"/>
                <w:szCs w:val="20"/>
                <w:highlight w:val="none"/>
                <w:lang w:val="en-US" w:eastAsia="zh-CN"/>
              </w:rPr>
            </w:pPr>
            <w:r>
              <w:rPr>
                <w:rFonts w:hint="eastAsia" w:asciiTheme="minorEastAsia" w:hAnsiTheme="minorEastAsia" w:cstheme="minorEastAsia"/>
                <w:bCs/>
                <w:color w:val="auto"/>
                <w:sz w:val="20"/>
                <w:szCs w:val="20"/>
                <w:highlight w:val="none"/>
                <w:lang w:val="en-US" w:eastAsia="zh-CN"/>
              </w:rPr>
              <w:t>3</w:t>
            </w:r>
          </w:p>
        </w:tc>
        <w:tc>
          <w:tcPr>
            <w:tcW w:w="1044" w:type="dxa"/>
            <w:vAlign w:val="center"/>
          </w:tcPr>
          <w:p w14:paraId="3A5277DB">
            <w:pPr>
              <w:pStyle w:val="4"/>
              <w:spacing w:before="0" w:after="0" w:line="360" w:lineRule="auto"/>
              <w:jc w:val="center"/>
              <w:rPr>
                <w:rFonts w:hint="eastAsia" w:asciiTheme="minorEastAsia" w:hAnsiTheme="minorEastAsia" w:eastAsiaTheme="minorEastAsia" w:cstheme="minorEastAsia"/>
                <w:b w:val="0"/>
                <w:color w:val="auto"/>
                <w:sz w:val="20"/>
                <w:szCs w:val="20"/>
                <w:highlight w:val="none"/>
              </w:rPr>
            </w:pPr>
            <w:r>
              <w:rPr>
                <w:rFonts w:hint="eastAsia" w:asciiTheme="minorEastAsia" w:hAnsiTheme="minorEastAsia" w:eastAsiaTheme="minorEastAsia" w:cstheme="minorEastAsia"/>
                <w:b w:val="0"/>
                <w:color w:val="auto"/>
                <w:sz w:val="20"/>
                <w:szCs w:val="20"/>
                <w:highlight w:val="none"/>
              </w:rPr>
              <w:t>医院处方集查看及导出功能</w:t>
            </w:r>
          </w:p>
        </w:tc>
        <w:tc>
          <w:tcPr>
            <w:tcW w:w="6497" w:type="dxa"/>
          </w:tcPr>
          <w:p w14:paraId="6BC713BA">
            <w:pPr>
              <w:adjustRightInd w:val="0"/>
              <w:snapToGrid w:val="0"/>
              <w:rPr>
                <w:rFonts w:hint="eastAsia" w:asciiTheme="minorEastAsia" w:hAnsiTheme="minorEastAsia" w:eastAsiaTheme="minorEastAsia" w:cstheme="minorEastAsia"/>
                <w:bCs/>
                <w:color w:val="auto"/>
                <w:sz w:val="20"/>
                <w:szCs w:val="20"/>
                <w:highlight w:val="none"/>
              </w:rPr>
            </w:pP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bCs/>
                <w:color w:val="auto"/>
                <w:sz w:val="20"/>
                <w:szCs w:val="20"/>
                <w:highlight w:val="none"/>
              </w:rPr>
              <w:t>“系统”应支持院内各科室通过局域网在线查看医院处方集的全部内容</w:t>
            </w:r>
            <w:r>
              <w:rPr>
                <w:rFonts w:hint="eastAsia" w:asciiTheme="minorEastAsia" w:hAnsiTheme="minorEastAsia" w:eastAsiaTheme="minorEastAsia" w:cstheme="minorEastAsia"/>
                <w:bCs/>
                <w:color w:val="auto"/>
                <w:sz w:val="20"/>
                <w:szCs w:val="20"/>
                <w:highlight w:val="none"/>
                <w:lang w:eastAsia="zh-CN"/>
              </w:rPr>
              <w:t>，支持</w:t>
            </w:r>
            <w:r>
              <w:rPr>
                <w:rFonts w:hint="eastAsia" w:asciiTheme="minorEastAsia" w:hAnsiTheme="minorEastAsia" w:eastAsiaTheme="minorEastAsia" w:cstheme="minorEastAsia"/>
                <w:bCs/>
                <w:color w:val="auto"/>
                <w:sz w:val="20"/>
                <w:szCs w:val="20"/>
                <w:highlight w:val="none"/>
              </w:rPr>
              <w:t>导出功能</w:t>
            </w:r>
            <w:r>
              <w:rPr>
                <w:rFonts w:hint="eastAsia" w:asciiTheme="minorEastAsia" w:hAnsiTheme="minorEastAsia" w:eastAsiaTheme="minorEastAsia" w:cstheme="minorEastAsia"/>
                <w:bCs/>
                <w:color w:val="auto"/>
                <w:sz w:val="20"/>
                <w:szCs w:val="20"/>
                <w:highlight w:val="none"/>
                <w:lang w:eastAsia="zh-CN"/>
              </w:rPr>
              <w:t>。</w:t>
            </w:r>
          </w:p>
        </w:tc>
      </w:tr>
      <w:tr w14:paraId="2027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gridSpan w:val="5"/>
            <w:vAlign w:val="center"/>
          </w:tcPr>
          <w:p w14:paraId="0744842E">
            <w:pP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集采药品管控功能要求</w:t>
            </w:r>
          </w:p>
        </w:tc>
      </w:tr>
      <w:tr w14:paraId="1D28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13474749">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1</w:t>
            </w:r>
          </w:p>
        </w:tc>
        <w:tc>
          <w:tcPr>
            <w:tcW w:w="1196" w:type="dxa"/>
            <w:gridSpan w:val="3"/>
            <w:vAlign w:val="center"/>
          </w:tcPr>
          <w:p w14:paraId="0063F3F9">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监测图表</w:t>
            </w:r>
          </w:p>
        </w:tc>
        <w:tc>
          <w:tcPr>
            <w:tcW w:w="6497" w:type="dxa"/>
            <w:vAlign w:val="center"/>
          </w:tcPr>
          <w:p w14:paraId="270A09CC">
            <w:pPr>
              <w:pStyle w:val="5"/>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系统可提供集采药品使用监测图表，展示各批次集采药品的月度、年度任务完成情况。</w:t>
            </w:r>
          </w:p>
        </w:tc>
      </w:tr>
      <w:tr w14:paraId="687C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4A8A9DFD">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2</w:t>
            </w:r>
          </w:p>
        </w:tc>
        <w:tc>
          <w:tcPr>
            <w:tcW w:w="1196" w:type="dxa"/>
            <w:gridSpan w:val="3"/>
            <w:vAlign w:val="center"/>
          </w:tcPr>
          <w:p w14:paraId="4291FE1F">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动态提醒</w:t>
            </w:r>
          </w:p>
        </w:tc>
        <w:tc>
          <w:tcPr>
            <w:tcW w:w="6497" w:type="dxa"/>
            <w:vAlign w:val="center"/>
          </w:tcPr>
          <w:p w14:paraId="35592C9C">
            <w:pPr>
              <w:pStyle w:val="5"/>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系统能根据院内集采药品的使用情况，向用户推送异常情况信息，如某科室任务完成度过低等。</w:t>
            </w:r>
          </w:p>
        </w:tc>
      </w:tr>
      <w:tr w14:paraId="483B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157C07AC">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3</w:t>
            </w:r>
          </w:p>
        </w:tc>
        <w:tc>
          <w:tcPr>
            <w:tcW w:w="1196" w:type="dxa"/>
            <w:gridSpan w:val="3"/>
            <w:vAlign w:val="center"/>
          </w:tcPr>
          <w:p w14:paraId="2419C756">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任务分配</w:t>
            </w:r>
          </w:p>
        </w:tc>
        <w:tc>
          <w:tcPr>
            <w:tcW w:w="6497" w:type="dxa"/>
            <w:vAlign w:val="center"/>
          </w:tcPr>
          <w:p w14:paraId="7E59A0E5">
            <w:pPr>
              <w:pStyle w:val="5"/>
              <w:numPr>
                <w:ilvl w:val="0"/>
                <w:numId w:val="0"/>
              </w:numPr>
              <w:ind w:leftChars="0"/>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lang w:val="en-US" w:eastAsia="zh-CN"/>
              </w:rPr>
              <w:t>1.</w:t>
            </w:r>
            <w:r>
              <w:rPr>
                <w:rFonts w:hint="eastAsia" w:asciiTheme="minorEastAsia" w:hAnsiTheme="minorEastAsia" w:eastAsiaTheme="minorEastAsia" w:cstheme="minorEastAsia"/>
                <w:b w:val="0"/>
                <w:bCs w:val="0"/>
                <w:color w:val="auto"/>
                <w:sz w:val="20"/>
                <w:szCs w:val="20"/>
                <w:highlight w:val="none"/>
              </w:rPr>
              <w:t>系统能根据集采药品在院内的历史使用情况，自动测算全院、大科室、科室、病区、医疗组、医生的月任务量。支持用户通过Excel批量导入任务量。</w:t>
            </w:r>
          </w:p>
          <w:p w14:paraId="1BE39637">
            <w:pPr>
              <w:pStyle w:val="5"/>
              <w:numPr>
                <w:ilvl w:val="0"/>
                <w:numId w:val="0"/>
              </w:numPr>
              <w:ind w:leftChars="0"/>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lang w:val="en-US" w:eastAsia="zh-CN"/>
              </w:rPr>
              <w:t>2.</w:t>
            </w:r>
            <w:r>
              <w:rPr>
                <w:rFonts w:hint="eastAsia" w:asciiTheme="minorEastAsia" w:hAnsiTheme="minorEastAsia" w:eastAsiaTheme="minorEastAsia" w:cstheme="minorEastAsia"/>
                <w:b w:val="0"/>
                <w:bCs w:val="0"/>
                <w:color w:val="auto"/>
                <w:sz w:val="20"/>
                <w:szCs w:val="20"/>
                <w:highlight w:val="none"/>
              </w:rPr>
              <w:t>支持设置任务测算所参考的历史数据时间范围以及参考药品类型。</w:t>
            </w:r>
          </w:p>
          <w:p w14:paraId="21F77F88">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rPr>
              <w:t>支持测算结果自动取整应用。</w:t>
            </w:r>
          </w:p>
          <w:p w14:paraId="3DC622B1">
            <w:pPr>
              <w:pStyle w:val="10"/>
              <w:numPr>
                <w:ilvl w:val="0"/>
                <w:numId w:val="0"/>
              </w:numPr>
              <w:spacing w:line="360" w:lineRule="auto"/>
              <w:ind w:leftChars="0"/>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rPr>
              <w:t>支持查看历史任务量，系统能自动记录任务变化前后数值。</w:t>
            </w:r>
          </w:p>
          <w:p w14:paraId="0D9F2822">
            <w:pPr>
              <w:pStyle w:val="10"/>
              <w:numPr>
                <w:ilvl w:val="0"/>
                <w:numId w:val="0"/>
              </w:numPr>
              <w:spacing w:line="360" w:lineRule="auto"/>
              <w:ind w:leftChars="0"/>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cstheme="minorEastAsia"/>
                <w:color w:val="auto"/>
                <w:sz w:val="20"/>
                <w:szCs w:val="20"/>
                <w:highlight w:val="none"/>
                <w:lang w:val="en-US" w:eastAsia="zh-CN"/>
              </w:rPr>
              <w:t>5.</w:t>
            </w:r>
            <w:r>
              <w:rPr>
                <w:rFonts w:hint="eastAsia" w:asciiTheme="minorEastAsia" w:hAnsiTheme="minorEastAsia" w:eastAsiaTheme="minorEastAsia" w:cstheme="minorEastAsia"/>
                <w:color w:val="auto"/>
                <w:sz w:val="20"/>
                <w:szCs w:val="20"/>
                <w:highlight w:val="none"/>
              </w:rPr>
              <w:t>任务分配结束后，应可及时通知到对应科室。</w:t>
            </w:r>
          </w:p>
        </w:tc>
      </w:tr>
      <w:tr w14:paraId="38A0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0B1B2239">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4</w:t>
            </w:r>
          </w:p>
        </w:tc>
        <w:tc>
          <w:tcPr>
            <w:tcW w:w="1196" w:type="dxa"/>
            <w:gridSpan w:val="3"/>
            <w:vMerge w:val="restart"/>
            <w:vAlign w:val="center"/>
          </w:tcPr>
          <w:p w14:paraId="4145632F">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规则管理</w:t>
            </w:r>
          </w:p>
        </w:tc>
        <w:tc>
          <w:tcPr>
            <w:tcW w:w="6497" w:type="dxa"/>
            <w:vAlign w:val="center"/>
          </w:tcPr>
          <w:p w14:paraId="79ADDD2B">
            <w:pPr>
              <w:pStyle w:val="5"/>
              <w:numPr>
                <w:ilvl w:val="0"/>
                <w:numId w:val="0"/>
              </w:numPr>
              <w:ind w:leftChars="0"/>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lang w:val="en-US" w:eastAsia="zh-CN"/>
              </w:rPr>
              <w:t>1.</w:t>
            </w:r>
            <w:r>
              <w:rPr>
                <w:rFonts w:hint="eastAsia" w:asciiTheme="minorEastAsia" w:hAnsiTheme="minorEastAsia" w:eastAsiaTheme="minorEastAsia" w:cstheme="minorEastAsia"/>
                <w:b w:val="0"/>
                <w:bCs w:val="0"/>
                <w:color w:val="auto"/>
                <w:sz w:val="20"/>
                <w:szCs w:val="20"/>
                <w:highlight w:val="none"/>
              </w:rPr>
              <w:t>系统支持分级管控，能根据任务完成进度设置管控效果。</w:t>
            </w:r>
          </w:p>
          <w:p w14:paraId="0C4833A8">
            <w:pPr>
              <w:pStyle w:val="10"/>
              <w:numPr>
                <w:ilvl w:val="0"/>
                <w:numId w:val="0"/>
              </w:numPr>
              <w:spacing w:line="360" w:lineRule="auto"/>
              <w:ind w:leftChars="0"/>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cstheme="minorEastAsia"/>
                <w:color w:val="auto"/>
                <w:sz w:val="20"/>
                <w:szCs w:val="20"/>
                <w:highlight w:val="none"/>
                <w:lang w:val="en-US" w:eastAsia="zh-CN"/>
              </w:rPr>
              <w:t>2.</w:t>
            </w:r>
            <w:r>
              <w:rPr>
                <w:rFonts w:hint="eastAsia" w:asciiTheme="minorEastAsia" w:hAnsiTheme="minorEastAsia" w:eastAsiaTheme="minorEastAsia" w:cstheme="minorEastAsia"/>
                <w:color w:val="auto"/>
                <w:sz w:val="20"/>
                <w:szCs w:val="20"/>
                <w:highlight w:val="none"/>
              </w:rPr>
              <w:t>完成进度支持按月或按阶段进行计算。</w:t>
            </w:r>
          </w:p>
        </w:tc>
      </w:tr>
      <w:tr w14:paraId="253B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vAlign w:val="center"/>
          </w:tcPr>
          <w:p w14:paraId="3B239C66">
            <w:pPr>
              <w:pStyle w:val="10"/>
              <w:numPr>
                <w:ilvl w:val="0"/>
                <w:numId w:val="14"/>
              </w:numPr>
              <w:spacing w:line="360" w:lineRule="auto"/>
              <w:ind w:left="0" w:firstLine="0"/>
              <w:jc w:val="center"/>
              <w:rPr>
                <w:rFonts w:hint="eastAsia" w:asciiTheme="minorEastAsia" w:hAnsiTheme="minorEastAsia" w:eastAsiaTheme="minorEastAsia" w:cstheme="minorEastAsia"/>
                <w:color w:val="auto"/>
                <w:sz w:val="20"/>
                <w:szCs w:val="20"/>
                <w:highlight w:val="none"/>
              </w:rPr>
            </w:pPr>
          </w:p>
        </w:tc>
        <w:tc>
          <w:tcPr>
            <w:tcW w:w="1196" w:type="dxa"/>
            <w:gridSpan w:val="3"/>
            <w:vMerge w:val="continue"/>
            <w:vAlign w:val="center"/>
          </w:tcPr>
          <w:p w14:paraId="3190B0A6">
            <w:pPr>
              <w:jc w:val="center"/>
              <w:rPr>
                <w:rFonts w:hint="eastAsia" w:asciiTheme="minorEastAsia" w:hAnsiTheme="minorEastAsia" w:eastAsiaTheme="minorEastAsia" w:cstheme="minorEastAsia"/>
                <w:color w:val="auto"/>
                <w:sz w:val="20"/>
                <w:szCs w:val="20"/>
                <w:highlight w:val="none"/>
              </w:rPr>
            </w:pPr>
          </w:p>
        </w:tc>
        <w:tc>
          <w:tcPr>
            <w:tcW w:w="6497" w:type="dxa"/>
            <w:vAlign w:val="center"/>
          </w:tcPr>
          <w:p w14:paraId="03B8BA4E">
            <w:pPr>
              <w:pStyle w:val="5"/>
              <w:numPr>
                <w:ilvl w:val="0"/>
                <w:numId w:val="0"/>
              </w:numPr>
              <w:ind w:leftChars="0"/>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lang w:val="en-US" w:eastAsia="zh-CN"/>
              </w:rPr>
              <w:t>1.</w:t>
            </w:r>
            <w:r>
              <w:rPr>
                <w:rFonts w:hint="eastAsia" w:asciiTheme="minorEastAsia" w:hAnsiTheme="minorEastAsia" w:eastAsiaTheme="minorEastAsia" w:cstheme="minorEastAsia"/>
                <w:b w:val="0"/>
                <w:bCs w:val="0"/>
                <w:color w:val="auto"/>
                <w:sz w:val="20"/>
                <w:szCs w:val="20"/>
                <w:highlight w:val="none"/>
              </w:rPr>
              <w:t>系统支持从使用量和使用金额维度对同一药品品种的中选/非中选药品使用比例进行审查。</w:t>
            </w:r>
          </w:p>
          <w:p w14:paraId="0006406A">
            <w:pPr>
              <w:pStyle w:val="10"/>
              <w:numPr>
                <w:ilvl w:val="0"/>
                <w:numId w:val="0"/>
              </w:numPr>
              <w:spacing w:line="360" w:lineRule="auto"/>
              <w:ind w:leftChars="0"/>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cstheme="minorEastAsia"/>
                <w:color w:val="auto"/>
                <w:sz w:val="20"/>
                <w:szCs w:val="20"/>
                <w:highlight w:val="none"/>
                <w:lang w:val="en-US" w:eastAsia="zh-CN"/>
              </w:rPr>
              <w:t>2.</w:t>
            </w:r>
            <w:r>
              <w:rPr>
                <w:rFonts w:hint="eastAsia" w:asciiTheme="minorEastAsia" w:hAnsiTheme="minorEastAsia" w:eastAsiaTheme="minorEastAsia" w:cstheme="minorEastAsia"/>
                <w:color w:val="auto"/>
                <w:sz w:val="20"/>
                <w:szCs w:val="20"/>
                <w:highlight w:val="none"/>
              </w:rPr>
              <w:t>比例算法支持用户设置。</w:t>
            </w:r>
          </w:p>
        </w:tc>
      </w:tr>
      <w:tr w14:paraId="2D01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vAlign w:val="center"/>
          </w:tcPr>
          <w:p w14:paraId="355B29F2">
            <w:pPr>
              <w:pStyle w:val="10"/>
              <w:numPr>
                <w:ilvl w:val="0"/>
                <w:numId w:val="14"/>
              </w:numPr>
              <w:spacing w:line="360" w:lineRule="auto"/>
              <w:ind w:left="0" w:firstLine="0"/>
              <w:jc w:val="center"/>
              <w:rPr>
                <w:rFonts w:hint="eastAsia" w:asciiTheme="minorEastAsia" w:hAnsiTheme="minorEastAsia" w:eastAsiaTheme="minorEastAsia" w:cstheme="minorEastAsia"/>
                <w:color w:val="auto"/>
                <w:sz w:val="20"/>
                <w:szCs w:val="20"/>
                <w:highlight w:val="none"/>
              </w:rPr>
            </w:pPr>
          </w:p>
        </w:tc>
        <w:tc>
          <w:tcPr>
            <w:tcW w:w="1196" w:type="dxa"/>
            <w:gridSpan w:val="3"/>
            <w:vMerge w:val="continue"/>
            <w:vAlign w:val="center"/>
          </w:tcPr>
          <w:p w14:paraId="4EAE6B0D">
            <w:pPr>
              <w:jc w:val="center"/>
              <w:rPr>
                <w:rFonts w:hint="eastAsia" w:asciiTheme="minorEastAsia" w:hAnsiTheme="minorEastAsia" w:eastAsiaTheme="minorEastAsia" w:cstheme="minorEastAsia"/>
                <w:color w:val="auto"/>
                <w:sz w:val="20"/>
                <w:szCs w:val="20"/>
                <w:highlight w:val="none"/>
              </w:rPr>
            </w:pPr>
          </w:p>
        </w:tc>
        <w:tc>
          <w:tcPr>
            <w:tcW w:w="6497" w:type="dxa"/>
            <w:vAlign w:val="center"/>
          </w:tcPr>
          <w:p w14:paraId="61F33F3C">
            <w:pPr>
              <w:pStyle w:val="5"/>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系统支持结合历史未完成的集采任务量对医生用药进行管控。</w:t>
            </w:r>
          </w:p>
        </w:tc>
      </w:tr>
      <w:tr w14:paraId="5641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vAlign w:val="center"/>
          </w:tcPr>
          <w:p w14:paraId="26E12D43">
            <w:pPr>
              <w:pStyle w:val="10"/>
              <w:numPr>
                <w:ilvl w:val="0"/>
                <w:numId w:val="14"/>
              </w:numPr>
              <w:spacing w:line="360" w:lineRule="auto"/>
              <w:ind w:left="0" w:firstLine="0"/>
              <w:jc w:val="center"/>
              <w:rPr>
                <w:rFonts w:hint="eastAsia" w:asciiTheme="minorEastAsia" w:hAnsiTheme="minorEastAsia" w:eastAsiaTheme="minorEastAsia" w:cstheme="minorEastAsia"/>
                <w:color w:val="auto"/>
                <w:sz w:val="20"/>
                <w:szCs w:val="20"/>
                <w:highlight w:val="none"/>
              </w:rPr>
            </w:pPr>
          </w:p>
        </w:tc>
        <w:tc>
          <w:tcPr>
            <w:tcW w:w="1196" w:type="dxa"/>
            <w:gridSpan w:val="3"/>
            <w:vMerge w:val="continue"/>
            <w:vAlign w:val="center"/>
          </w:tcPr>
          <w:p w14:paraId="5C7AEB1D">
            <w:pPr>
              <w:jc w:val="center"/>
              <w:rPr>
                <w:rFonts w:hint="eastAsia" w:asciiTheme="minorEastAsia" w:hAnsiTheme="minorEastAsia" w:eastAsiaTheme="minorEastAsia" w:cstheme="minorEastAsia"/>
                <w:color w:val="auto"/>
                <w:sz w:val="20"/>
                <w:szCs w:val="20"/>
                <w:highlight w:val="none"/>
              </w:rPr>
            </w:pPr>
          </w:p>
        </w:tc>
        <w:tc>
          <w:tcPr>
            <w:tcW w:w="6497" w:type="dxa"/>
            <w:vAlign w:val="center"/>
          </w:tcPr>
          <w:p w14:paraId="2E574A25">
            <w:pPr>
              <w:pStyle w:val="5"/>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系统支持设置各科室非专科用药必须开具集采品种。</w:t>
            </w:r>
          </w:p>
        </w:tc>
      </w:tr>
      <w:tr w14:paraId="0C17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vAlign w:val="center"/>
          </w:tcPr>
          <w:p w14:paraId="1DAD268A">
            <w:pPr>
              <w:pStyle w:val="10"/>
              <w:numPr>
                <w:ilvl w:val="0"/>
                <w:numId w:val="14"/>
              </w:numPr>
              <w:spacing w:line="360" w:lineRule="auto"/>
              <w:ind w:left="0" w:firstLine="0"/>
              <w:jc w:val="center"/>
              <w:rPr>
                <w:rFonts w:hint="eastAsia" w:asciiTheme="minorEastAsia" w:hAnsiTheme="minorEastAsia" w:eastAsiaTheme="minorEastAsia" w:cstheme="minorEastAsia"/>
                <w:color w:val="auto"/>
                <w:sz w:val="20"/>
                <w:szCs w:val="20"/>
                <w:highlight w:val="none"/>
              </w:rPr>
            </w:pPr>
          </w:p>
        </w:tc>
        <w:tc>
          <w:tcPr>
            <w:tcW w:w="1196" w:type="dxa"/>
            <w:gridSpan w:val="3"/>
            <w:vMerge w:val="continue"/>
            <w:vAlign w:val="center"/>
          </w:tcPr>
          <w:p w14:paraId="1182AC72">
            <w:pPr>
              <w:jc w:val="center"/>
              <w:rPr>
                <w:rFonts w:hint="eastAsia" w:asciiTheme="minorEastAsia" w:hAnsiTheme="minorEastAsia" w:eastAsiaTheme="minorEastAsia" w:cstheme="minorEastAsia"/>
                <w:color w:val="auto"/>
                <w:sz w:val="20"/>
                <w:szCs w:val="20"/>
                <w:highlight w:val="none"/>
              </w:rPr>
            </w:pPr>
          </w:p>
        </w:tc>
        <w:tc>
          <w:tcPr>
            <w:tcW w:w="6497" w:type="dxa"/>
            <w:vAlign w:val="center"/>
          </w:tcPr>
          <w:p w14:paraId="47710790">
            <w:pPr>
              <w:pStyle w:val="5"/>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系统支持根据医生、科室、患者、疾病等条件设置管控白名单，列入白名单的对象不受集采相关规则限制。</w:t>
            </w:r>
          </w:p>
        </w:tc>
      </w:tr>
      <w:tr w14:paraId="18B4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654EA2E3">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5</w:t>
            </w:r>
          </w:p>
        </w:tc>
        <w:tc>
          <w:tcPr>
            <w:tcW w:w="1196" w:type="dxa"/>
            <w:gridSpan w:val="3"/>
            <w:vAlign w:val="center"/>
          </w:tcPr>
          <w:p w14:paraId="3AA5BC4E">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智能推送</w:t>
            </w:r>
          </w:p>
        </w:tc>
        <w:tc>
          <w:tcPr>
            <w:tcW w:w="6497" w:type="dxa"/>
            <w:vAlign w:val="center"/>
          </w:tcPr>
          <w:p w14:paraId="04C0F6A8">
            <w:pPr>
              <w:pStyle w:val="5"/>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系统能提供即时通讯工具，可对月任务量未达成的情况、中选/非中选药品使用比例过低的情况进行推送。推送时间用户可设置。</w:t>
            </w:r>
          </w:p>
        </w:tc>
      </w:tr>
      <w:tr w14:paraId="5A97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282FDE87">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6</w:t>
            </w:r>
          </w:p>
        </w:tc>
        <w:tc>
          <w:tcPr>
            <w:tcW w:w="1196" w:type="dxa"/>
            <w:gridSpan w:val="3"/>
            <w:vAlign w:val="center"/>
          </w:tcPr>
          <w:p w14:paraId="5166A51A">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统计分析</w:t>
            </w:r>
          </w:p>
        </w:tc>
        <w:tc>
          <w:tcPr>
            <w:tcW w:w="6497" w:type="dxa"/>
            <w:vAlign w:val="center"/>
          </w:tcPr>
          <w:p w14:paraId="5CECD21E">
            <w:pPr>
              <w:pStyle w:val="5"/>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系统可对集采用量规则审查出的用药问题进行统计，可提供集采药品使用监测、采购监测、集采药品使用情况记录等报表，可统计集中采购药品相关评价指标，并可导出为EXCEL。</w:t>
            </w:r>
          </w:p>
        </w:tc>
      </w:tr>
      <w:tr w14:paraId="06EA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5FC3F480">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7</w:t>
            </w:r>
          </w:p>
        </w:tc>
        <w:tc>
          <w:tcPr>
            <w:tcW w:w="1196" w:type="dxa"/>
            <w:gridSpan w:val="3"/>
            <w:vAlign w:val="center"/>
          </w:tcPr>
          <w:p w14:paraId="55AE92DC">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报量测算</w:t>
            </w:r>
          </w:p>
        </w:tc>
        <w:tc>
          <w:tcPr>
            <w:tcW w:w="6497" w:type="dxa"/>
            <w:vAlign w:val="center"/>
          </w:tcPr>
          <w:p w14:paraId="20634AB3">
            <w:pPr>
              <w:pStyle w:val="5"/>
              <w:numPr>
                <w:ilvl w:val="0"/>
                <w:numId w:val="0"/>
              </w:numPr>
              <w:ind w:leftChars="0"/>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lang w:val="en-US" w:eastAsia="zh-CN"/>
              </w:rPr>
              <w:t>1.</w:t>
            </w:r>
            <w:r>
              <w:rPr>
                <w:rFonts w:hint="eastAsia" w:asciiTheme="minorEastAsia" w:hAnsiTheme="minorEastAsia" w:eastAsiaTheme="minorEastAsia" w:cstheme="minorEastAsia"/>
                <w:b w:val="0"/>
                <w:bCs w:val="0"/>
                <w:color w:val="auto"/>
                <w:sz w:val="20"/>
                <w:szCs w:val="20"/>
                <w:highlight w:val="none"/>
              </w:rPr>
              <w:t>支持根据院内集采药品历史使用情况，进行报量测算。</w:t>
            </w:r>
          </w:p>
          <w:p w14:paraId="2DF3C92D">
            <w:pPr>
              <w:pStyle w:val="5"/>
              <w:numPr>
                <w:ilvl w:val="0"/>
                <w:numId w:val="0"/>
              </w:numPr>
              <w:ind w:leftChars="0"/>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lang w:val="en-US" w:eastAsia="zh-CN"/>
              </w:rPr>
              <w:t>2.</w:t>
            </w:r>
            <w:r>
              <w:rPr>
                <w:rFonts w:hint="eastAsia" w:asciiTheme="minorEastAsia" w:hAnsiTheme="minorEastAsia" w:eastAsiaTheme="minorEastAsia" w:cstheme="minorEastAsia"/>
                <w:b w:val="0"/>
                <w:bCs w:val="0"/>
                <w:color w:val="auto"/>
                <w:sz w:val="20"/>
                <w:szCs w:val="20"/>
                <w:highlight w:val="none"/>
              </w:rPr>
              <w:t>支持向各科室收集集采报量意见，作为最终报量的参考。</w:t>
            </w:r>
          </w:p>
        </w:tc>
      </w:tr>
    </w:tbl>
    <w:p w14:paraId="691735CE">
      <w:pPr>
        <w:pStyle w:val="6"/>
        <w:bidi w:val="0"/>
        <w:ind w:left="0" w:leftChars="0" w:firstLine="48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2、对“系统”的其它要求</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436"/>
        <w:gridCol w:w="6481"/>
      </w:tblGrid>
      <w:tr w14:paraId="58F2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0" w:type="dxa"/>
            <w:gridSpan w:val="3"/>
          </w:tcPr>
          <w:p w14:paraId="21F06977">
            <w:pPr>
              <w:adjustRightInd w:val="0"/>
              <w:snapToGrid w:val="0"/>
              <w:rPr>
                <w:rFonts w:cs="宋体" w:asciiTheme="minorEastAsia" w:hAnsiTheme="minorEastAsia" w:eastAsiaTheme="minorEastAsia"/>
                <w:bCs/>
                <w:color w:val="auto"/>
                <w:sz w:val="20"/>
                <w:szCs w:val="20"/>
                <w:highlight w:val="none"/>
              </w:rPr>
            </w:pPr>
            <w:r>
              <w:rPr>
                <w:rFonts w:hint="eastAsia" w:cs="Times New Roman" w:asciiTheme="minorEastAsia" w:hAnsiTheme="minorEastAsia" w:eastAsiaTheme="minorEastAsia"/>
                <w:color w:val="auto"/>
                <w:sz w:val="20"/>
                <w:szCs w:val="20"/>
                <w:highlight w:val="none"/>
              </w:rPr>
              <w:t>对“系统”的其它要求</w:t>
            </w:r>
          </w:p>
        </w:tc>
      </w:tr>
      <w:tr w14:paraId="08E2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vAlign w:val="center"/>
          </w:tcPr>
          <w:p w14:paraId="55F16DA1">
            <w:pPr>
              <w:pStyle w:val="10"/>
              <w:widowControl/>
              <w:numPr>
                <w:ilvl w:val="0"/>
                <w:numId w:val="0"/>
              </w:numPr>
              <w:adjustRightInd w:val="0"/>
              <w:snapToGrid w:val="0"/>
              <w:spacing w:line="360" w:lineRule="auto"/>
              <w:ind w:leftChars="0"/>
              <w:jc w:val="center"/>
              <w:rPr>
                <w:rFonts w:hint="eastAsia" w:cs="宋体" w:asciiTheme="minorEastAsia" w:hAnsiTheme="minorEastAsia" w:eastAsiaTheme="minorEastAsia"/>
                <w:bCs/>
                <w:color w:val="auto"/>
                <w:sz w:val="20"/>
                <w:szCs w:val="20"/>
                <w:highlight w:val="none"/>
                <w:lang w:val="en-US" w:eastAsia="zh-CN"/>
              </w:rPr>
            </w:pPr>
            <w:r>
              <w:rPr>
                <w:rFonts w:hint="eastAsia" w:cs="宋体" w:asciiTheme="minorEastAsia" w:hAnsiTheme="minorEastAsia"/>
                <w:bCs/>
                <w:color w:val="auto"/>
                <w:sz w:val="20"/>
                <w:szCs w:val="20"/>
                <w:highlight w:val="none"/>
                <w:lang w:val="en-US" w:eastAsia="zh-CN"/>
              </w:rPr>
              <w:t>1</w:t>
            </w:r>
          </w:p>
        </w:tc>
        <w:tc>
          <w:tcPr>
            <w:tcW w:w="1436" w:type="dxa"/>
            <w:vAlign w:val="center"/>
          </w:tcPr>
          <w:p w14:paraId="77158721">
            <w:pPr>
              <w:adjustRightInd w:val="0"/>
              <w:snapToGrid w:val="0"/>
              <w:jc w:val="center"/>
              <w:rPr>
                <w:rFonts w:cs="宋体" w:asciiTheme="minorEastAsia" w:hAnsiTheme="minorEastAsia" w:eastAsiaTheme="minorEastAsia"/>
                <w:bCs/>
                <w:color w:val="auto"/>
                <w:sz w:val="20"/>
                <w:szCs w:val="20"/>
                <w:highlight w:val="none"/>
              </w:rPr>
            </w:pPr>
            <w:r>
              <w:rPr>
                <w:rFonts w:hint="eastAsia" w:cs="宋体" w:asciiTheme="minorEastAsia" w:hAnsiTheme="minorEastAsia" w:eastAsiaTheme="minorEastAsia"/>
                <w:bCs/>
                <w:color w:val="auto"/>
                <w:sz w:val="20"/>
                <w:szCs w:val="20"/>
                <w:highlight w:val="none"/>
              </w:rPr>
              <w:t>软件技术的要求</w:t>
            </w:r>
          </w:p>
        </w:tc>
        <w:tc>
          <w:tcPr>
            <w:tcW w:w="6481" w:type="dxa"/>
          </w:tcPr>
          <w:p w14:paraId="2009F32B">
            <w:pPr>
              <w:pStyle w:val="10"/>
              <w:numPr>
                <w:ilvl w:val="0"/>
                <w:numId w:val="0"/>
              </w:numPr>
              <w:adjustRightInd w:val="0"/>
              <w:snapToGrid w:val="0"/>
              <w:spacing w:line="360" w:lineRule="auto"/>
              <w:ind w:leftChars="0"/>
              <w:rPr>
                <w:rFonts w:cs="宋体" w:asciiTheme="minorEastAsia" w:hAnsiTheme="minorEastAsia"/>
                <w:bCs/>
                <w:color w:val="auto"/>
                <w:sz w:val="20"/>
                <w:szCs w:val="20"/>
                <w:highlight w:val="none"/>
              </w:rPr>
            </w:pPr>
            <w:r>
              <w:rPr>
                <w:rFonts w:hint="eastAsia" w:cs="宋体" w:asciiTheme="minorEastAsia" w:hAnsiTheme="minorEastAsia"/>
                <w:bCs/>
                <w:color w:val="auto"/>
                <w:sz w:val="20"/>
                <w:szCs w:val="20"/>
                <w:highlight w:val="none"/>
                <w:lang w:val="en-US" w:eastAsia="zh-CN"/>
              </w:rPr>
              <w:t>1.1</w:t>
            </w:r>
            <w:r>
              <w:rPr>
                <w:rFonts w:hint="eastAsia" w:cs="宋体" w:asciiTheme="minorEastAsia" w:hAnsiTheme="minorEastAsia"/>
                <w:bCs/>
                <w:color w:val="auto"/>
                <w:sz w:val="20"/>
                <w:szCs w:val="20"/>
                <w:highlight w:val="none"/>
              </w:rPr>
              <w:t>与医院其它系统的集成：“系统”提供可集成到医院其它系统的标准接口，能在Win XP / Win 7 / Windows Vista简体中文操作系统平台上运行。</w:t>
            </w:r>
          </w:p>
          <w:p w14:paraId="1F96A036">
            <w:pPr>
              <w:pStyle w:val="10"/>
              <w:numPr>
                <w:ilvl w:val="0"/>
                <w:numId w:val="0"/>
              </w:numPr>
              <w:adjustRightInd w:val="0"/>
              <w:snapToGrid w:val="0"/>
              <w:spacing w:line="360" w:lineRule="auto"/>
              <w:ind w:leftChars="0"/>
              <w:rPr>
                <w:rFonts w:cs="宋体" w:asciiTheme="minorEastAsia" w:hAnsiTheme="minorEastAsia"/>
                <w:bCs/>
                <w:color w:val="auto"/>
                <w:sz w:val="20"/>
                <w:szCs w:val="20"/>
                <w:highlight w:val="none"/>
              </w:rPr>
            </w:pPr>
            <w:r>
              <w:rPr>
                <w:rFonts w:hint="eastAsia" w:cs="宋体" w:asciiTheme="minorEastAsia" w:hAnsiTheme="minorEastAsia"/>
                <w:bCs/>
                <w:color w:val="auto"/>
                <w:sz w:val="20"/>
                <w:szCs w:val="20"/>
                <w:highlight w:val="none"/>
                <w:lang w:val="en-US" w:eastAsia="zh-CN"/>
              </w:rPr>
              <w:t>1.2</w:t>
            </w:r>
            <w:r>
              <w:rPr>
                <w:rFonts w:hint="eastAsia" w:cs="宋体" w:asciiTheme="minorEastAsia" w:hAnsiTheme="minorEastAsia"/>
                <w:bCs/>
                <w:color w:val="auto"/>
                <w:sz w:val="20"/>
                <w:szCs w:val="20"/>
                <w:highlight w:val="none"/>
              </w:rPr>
              <w:t>使用要求：</w:t>
            </w:r>
            <w:r>
              <w:rPr>
                <w:rFonts w:hint="eastAsia" w:cs="宋体" w:asciiTheme="minorEastAsia" w:hAnsiTheme="minorEastAsia"/>
                <w:bCs/>
                <w:color w:val="auto"/>
                <w:sz w:val="20"/>
                <w:szCs w:val="20"/>
                <w:highlight w:val="none"/>
                <w:lang w:val="en-US" w:eastAsia="zh-CN"/>
              </w:rPr>
              <w:t>支持</w:t>
            </w:r>
            <w:r>
              <w:rPr>
                <w:rFonts w:hint="eastAsia" w:cs="宋体" w:asciiTheme="minorEastAsia" w:hAnsiTheme="minorEastAsia"/>
                <w:bCs/>
                <w:color w:val="auto"/>
                <w:sz w:val="20"/>
                <w:szCs w:val="20"/>
                <w:highlight w:val="none"/>
              </w:rPr>
              <w:t>相关功能进行个性化设置，无明显的并发延迟。</w:t>
            </w:r>
          </w:p>
        </w:tc>
      </w:tr>
      <w:tr w14:paraId="3957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vAlign w:val="center"/>
          </w:tcPr>
          <w:p w14:paraId="071BB787">
            <w:pPr>
              <w:pStyle w:val="10"/>
              <w:widowControl/>
              <w:numPr>
                <w:ilvl w:val="0"/>
                <w:numId w:val="0"/>
              </w:numPr>
              <w:adjustRightInd w:val="0"/>
              <w:snapToGrid w:val="0"/>
              <w:spacing w:line="360" w:lineRule="auto"/>
              <w:ind w:leftChars="0"/>
              <w:jc w:val="center"/>
              <w:rPr>
                <w:rFonts w:hint="eastAsia" w:cs="宋体" w:asciiTheme="minorEastAsia" w:hAnsiTheme="minorEastAsia" w:eastAsiaTheme="minorEastAsia"/>
                <w:bCs/>
                <w:color w:val="auto"/>
                <w:sz w:val="20"/>
                <w:szCs w:val="20"/>
                <w:highlight w:val="none"/>
                <w:lang w:val="en-US" w:eastAsia="zh-CN"/>
              </w:rPr>
            </w:pPr>
            <w:r>
              <w:rPr>
                <w:rFonts w:hint="eastAsia" w:cs="宋体" w:asciiTheme="minorEastAsia" w:hAnsiTheme="minorEastAsia"/>
                <w:bCs/>
                <w:color w:val="auto"/>
                <w:sz w:val="20"/>
                <w:szCs w:val="20"/>
                <w:highlight w:val="none"/>
                <w:lang w:val="en-US" w:eastAsia="zh-CN"/>
              </w:rPr>
              <w:t>2</w:t>
            </w:r>
          </w:p>
        </w:tc>
        <w:tc>
          <w:tcPr>
            <w:tcW w:w="1436" w:type="dxa"/>
            <w:vAlign w:val="center"/>
          </w:tcPr>
          <w:p w14:paraId="1EA0FCEB">
            <w:pPr>
              <w:adjustRightInd w:val="0"/>
              <w:snapToGrid w:val="0"/>
              <w:jc w:val="center"/>
              <w:rPr>
                <w:rFonts w:hint="eastAsia"/>
                <w:b/>
                <w:bCs/>
                <w:color w:val="auto"/>
                <w:sz w:val="20"/>
                <w:szCs w:val="20"/>
                <w:highlight w:val="none"/>
                <w:lang w:val="en-US" w:eastAsia="zh-CN"/>
              </w:rPr>
            </w:pPr>
            <w:r>
              <w:rPr>
                <w:rFonts w:hint="eastAsia"/>
                <w:b/>
                <w:bCs/>
                <w:color w:val="auto"/>
                <w:sz w:val="20"/>
                <w:szCs w:val="20"/>
                <w:highlight w:val="none"/>
                <w:lang w:val="en-US" w:eastAsia="zh-CN"/>
              </w:rPr>
              <w:t>★备注</w:t>
            </w:r>
          </w:p>
          <w:p w14:paraId="52CC8E63">
            <w:pPr>
              <w:pStyle w:val="3"/>
              <w:ind w:left="0" w:leftChars="0" w:firstLine="0" w:firstLineChars="0"/>
              <w:jc w:val="center"/>
              <w:rPr>
                <w:rFonts w:hint="eastAsia"/>
                <w:b/>
                <w:bCs/>
                <w:color w:val="auto"/>
                <w:sz w:val="20"/>
                <w:szCs w:val="20"/>
                <w:highlight w:val="none"/>
                <w:lang w:val="en-US" w:eastAsia="zh-CN"/>
              </w:rPr>
            </w:pPr>
            <w:r>
              <w:rPr>
                <w:rFonts w:hint="eastAsia"/>
                <w:b/>
                <w:bCs/>
                <w:color w:val="auto"/>
                <w:sz w:val="20"/>
                <w:szCs w:val="20"/>
                <w:highlight w:val="none"/>
                <w:lang w:val="en-US" w:eastAsia="zh-CN"/>
              </w:rPr>
              <w:t>（提供服务</w:t>
            </w:r>
          </w:p>
          <w:p w14:paraId="48D789CB">
            <w:pPr>
              <w:pStyle w:val="3"/>
              <w:ind w:left="0" w:leftChars="0" w:firstLine="0" w:firstLineChars="0"/>
              <w:jc w:val="center"/>
              <w:rPr>
                <w:rFonts w:hint="eastAsia"/>
                <w:sz w:val="20"/>
                <w:szCs w:val="20"/>
              </w:rPr>
            </w:pPr>
            <w:r>
              <w:rPr>
                <w:rFonts w:hint="eastAsia"/>
                <w:b/>
                <w:bCs/>
                <w:color w:val="auto"/>
                <w:sz w:val="20"/>
                <w:szCs w:val="20"/>
                <w:highlight w:val="none"/>
                <w:lang w:val="en-US" w:eastAsia="zh-CN"/>
              </w:rPr>
              <w:t>承诺）</w:t>
            </w:r>
          </w:p>
        </w:tc>
        <w:tc>
          <w:tcPr>
            <w:tcW w:w="6481" w:type="dxa"/>
          </w:tcPr>
          <w:p w14:paraId="3BD04A7C">
            <w:pPr>
              <w:pStyle w:val="6"/>
              <w:keepNext w:val="0"/>
              <w:keepLines w:val="0"/>
              <w:pageBreakBefore w:val="0"/>
              <w:widowControl w:val="0"/>
              <w:numPr>
                <w:ilvl w:val="0"/>
                <w:numId w:val="0"/>
              </w:numPr>
              <w:kinsoku/>
              <w:wordWrap w:val="0"/>
              <w:overflowPunct/>
              <w:topLinePunct w:val="0"/>
              <w:autoSpaceDE/>
              <w:autoSpaceDN/>
              <w:bidi w:val="0"/>
              <w:adjustRightInd w:val="0"/>
              <w:snapToGrid w:val="0"/>
              <w:textAlignment w:val="auto"/>
              <w:rPr>
                <w:rFonts w:hint="eastAsia"/>
                <w:b w:val="0"/>
                <w:bCs w:val="0"/>
                <w:color w:val="auto"/>
                <w:sz w:val="20"/>
                <w:szCs w:val="20"/>
                <w:highlight w:val="none"/>
                <w:lang w:val="en-US" w:eastAsia="zh-CN"/>
              </w:rPr>
            </w:pPr>
            <w:r>
              <w:rPr>
                <w:rFonts w:hint="eastAsia"/>
                <w:b w:val="0"/>
                <w:bCs w:val="0"/>
                <w:color w:val="auto"/>
                <w:sz w:val="20"/>
                <w:szCs w:val="20"/>
                <w:highlight w:val="none"/>
                <w:lang w:val="en-US" w:eastAsia="zh-CN"/>
              </w:rPr>
              <w:t>1.1根据院方管理及发展需求，质保期内如需与第三方系统对接，必须无条及无任何费用的情况下，提供相关接口对接开发并积极配合完成国产化部署相关工作等。</w:t>
            </w:r>
          </w:p>
          <w:p w14:paraId="572FC3BA">
            <w:pPr>
              <w:pStyle w:val="6"/>
              <w:keepNext w:val="0"/>
              <w:keepLines w:val="0"/>
              <w:pageBreakBefore w:val="0"/>
              <w:widowControl w:val="0"/>
              <w:numPr>
                <w:ilvl w:val="0"/>
                <w:numId w:val="0"/>
              </w:numPr>
              <w:kinsoku/>
              <w:wordWrap w:val="0"/>
              <w:overflowPunct/>
              <w:topLinePunct w:val="0"/>
              <w:autoSpaceDE/>
              <w:autoSpaceDN/>
              <w:bidi w:val="0"/>
              <w:adjustRightInd w:val="0"/>
              <w:snapToGrid w:val="0"/>
              <w:textAlignment w:val="auto"/>
              <w:rPr>
                <w:rFonts w:hint="eastAsia" w:cs="宋体" w:asciiTheme="minorEastAsia" w:hAnsiTheme="minorEastAsia"/>
                <w:bCs/>
                <w:color w:val="auto"/>
                <w:sz w:val="20"/>
                <w:szCs w:val="20"/>
                <w:highlight w:val="none"/>
              </w:rPr>
            </w:pPr>
            <w:r>
              <w:rPr>
                <w:rFonts w:hint="eastAsia"/>
                <w:b w:val="0"/>
                <w:bCs w:val="0"/>
                <w:color w:val="auto"/>
                <w:sz w:val="20"/>
                <w:szCs w:val="20"/>
                <w:highlight w:val="none"/>
                <w:lang w:val="en-US" w:eastAsia="zh-CN"/>
              </w:rPr>
              <w:t>1.2 根据使用科室的管理需求及使用过程中的个性化功能及报表等需求，必须无条及无任何费用的情况下积极配合实现完成。</w:t>
            </w:r>
          </w:p>
        </w:tc>
      </w:tr>
      <w:bookmarkEnd w:id="0"/>
    </w:tbl>
    <w:p w14:paraId="51E1CE83">
      <w:pPr>
        <w:rPr>
          <w:rFonts w:hint="eastAsia"/>
          <w:b/>
          <w:bCs/>
          <w:lang w:val="en-US" w:eastAsia="zh-CN"/>
        </w:rPr>
      </w:pPr>
      <w:r>
        <w:rPr>
          <w:rFonts w:hint="eastAsia"/>
          <w:b/>
          <w:bCs/>
          <w:lang w:val="en-US" w:eastAsia="zh-CN"/>
        </w:rPr>
        <w:br w:type="page"/>
      </w:r>
    </w:p>
    <w:p w14:paraId="190B4666">
      <w:pPr>
        <w:pStyle w:val="6"/>
        <w:keepNext w:val="0"/>
        <w:keepLines w:val="0"/>
        <w:pageBreakBefore w:val="0"/>
        <w:widowControl w:val="0"/>
        <w:kinsoku/>
        <w:wordWrap w:val="0"/>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（八）合理用药检测系统（含住院药学监护系统+药学咨询管理系统）</w:t>
      </w:r>
    </w:p>
    <w:p w14:paraId="2987689E">
      <w:pPr>
        <w:pStyle w:val="6"/>
        <w:bidi w:val="0"/>
        <w:ind w:left="0" w:leftChars="0" w:firstLine="48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1、对“系统”的功能要求</w:t>
      </w:r>
    </w:p>
    <w:tbl>
      <w:tblPr>
        <w:tblStyle w:val="8"/>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9"/>
        <w:gridCol w:w="1018"/>
        <w:gridCol w:w="6430"/>
        <w:gridCol w:w="11"/>
      </w:tblGrid>
      <w:tr w14:paraId="51AB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shd w:val="clear" w:color="auto" w:fill="auto"/>
            <w:vAlign w:val="center"/>
          </w:tcPr>
          <w:p w14:paraId="2E5F189C">
            <w:pP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rPr>
              <w:t>序号</w:t>
            </w:r>
          </w:p>
        </w:tc>
        <w:tc>
          <w:tcPr>
            <w:tcW w:w="1037" w:type="dxa"/>
            <w:gridSpan w:val="2"/>
            <w:shd w:val="clear" w:color="auto" w:fill="auto"/>
            <w:vAlign w:val="center"/>
          </w:tcPr>
          <w:p w14:paraId="3BD83096">
            <w:pP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rPr>
              <w:t>子项</w:t>
            </w:r>
          </w:p>
        </w:tc>
        <w:tc>
          <w:tcPr>
            <w:tcW w:w="6430" w:type="dxa"/>
            <w:shd w:val="clear" w:color="auto" w:fill="auto"/>
            <w:vAlign w:val="center"/>
          </w:tcPr>
          <w:p w14:paraId="07B25111">
            <w:pP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rPr>
              <w:t>详细要求</w:t>
            </w:r>
          </w:p>
        </w:tc>
      </w:tr>
      <w:tr w14:paraId="0A0C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359" w:type="dxa"/>
            <w:gridSpan w:val="4"/>
            <w:vAlign w:val="center"/>
          </w:tcPr>
          <w:p w14:paraId="049DCCAA">
            <w:pPr>
              <w:pStyle w:val="10"/>
              <w:numPr>
                <w:ilvl w:val="0"/>
                <w:numId w:val="0"/>
              </w:numPr>
              <w:spacing w:line="360" w:lineRule="auto"/>
              <w:ind w:leftChars="0"/>
              <w:rPr>
                <w:rFonts w:hint="eastAsia" w:asciiTheme="minorEastAsia" w:hAnsiTheme="minorEastAsia" w:cstheme="minorEastAsia"/>
                <w:color w:val="auto"/>
                <w:sz w:val="20"/>
                <w:szCs w:val="20"/>
                <w:highlight w:val="none"/>
                <w:lang w:val="en-US" w:eastAsia="zh-CN"/>
              </w:rPr>
            </w:pPr>
            <w:r>
              <w:rPr>
                <w:rFonts w:hint="eastAsia" w:asciiTheme="minorEastAsia" w:hAnsiTheme="minorEastAsia" w:eastAsiaTheme="minorEastAsia" w:cstheme="minorEastAsia"/>
                <w:b/>
                <w:color w:val="auto"/>
                <w:sz w:val="20"/>
                <w:szCs w:val="20"/>
                <w:highlight w:val="none"/>
              </w:rPr>
              <w:t>临床药师工作站功能要求（住院药学监护系统+药物咨询管理系统）</w:t>
            </w:r>
          </w:p>
        </w:tc>
      </w:tr>
      <w:tr w14:paraId="4A90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1AEFFF8C">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cstheme="minorEastAsia"/>
                <w:color w:val="auto"/>
                <w:sz w:val="20"/>
                <w:szCs w:val="20"/>
                <w:highlight w:val="none"/>
                <w:lang w:val="en-US" w:eastAsia="zh-CN"/>
              </w:rPr>
              <w:t>1</w:t>
            </w:r>
          </w:p>
        </w:tc>
        <w:tc>
          <w:tcPr>
            <w:tcW w:w="1037" w:type="dxa"/>
            <w:gridSpan w:val="2"/>
            <w:vAlign w:val="center"/>
          </w:tcPr>
          <w:p w14:paraId="716B0127">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患者档案</w:t>
            </w:r>
          </w:p>
        </w:tc>
        <w:tc>
          <w:tcPr>
            <w:tcW w:w="6430" w:type="dxa"/>
          </w:tcPr>
          <w:p w14:paraId="63927A60">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1.1</w:t>
            </w:r>
            <w:r>
              <w:rPr>
                <w:rFonts w:hint="eastAsia" w:asciiTheme="minorEastAsia" w:hAnsiTheme="minorEastAsia" w:eastAsiaTheme="minorEastAsia" w:cstheme="minorEastAsia"/>
                <w:color w:val="auto"/>
                <w:sz w:val="20"/>
                <w:szCs w:val="20"/>
                <w:highlight w:val="none"/>
              </w:rPr>
              <w:t>系统应能提供患者个人档案，方便药师查看患者历次就诊记录、药学服务记录。</w:t>
            </w:r>
          </w:p>
          <w:p w14:paraId="403D0F6A">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1.2</w:t>
            </w:r>
            <w:r>
              <w:rPr>
                <w:rFonts w:hint="eastAsia" w:asciiTheme="minorEastAsia" w:hAnsiTheme="minorEastAsia" w:eastAsiaTheme="minorEastAsia" w:cstheme="minorEastAsia"/>
                <w:color w:val="auto"/>
                <w:sz w:val="20"/>
                <w:szCs w:val="20"/>
                <w:highlight w:val="none"/>
              </w:rPr>
              <w:t>患者档案应包括个人信息、过敏史、药品不良反应史、基因检测、既往手术史、既往病史、诊疗记录等，药师可编辑。</w:t>
            </w:r>
          </w:p>
        </w:tc>
      </w:tr>
      <w:tr w14:paraId="6A09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38B4E508">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2</w:t>
            </w:r>
          </w:p>
        </w:tc>
        <w:tc>
          <w:tcPr>
            <w:tcW w:w="1037" w:type="dxa"/>
            <w:gridSpan w:val="2"/>
            <w:vAlign w:val="center"/>
          </w:tcPr>
          <w:p w14:paraId="0F371289">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药物咨询管理</w:t>
            </w:r>
          </w:p>
        </w:tc>
        <w:tc>
          <w:tcPr>
            <w:tcW w:w="6430" w:type="dxa"/>
          </w:tcPr>
          <w:p w14:paraId="1862ACB7">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2.1</w:t>
            </w:r>
            <w:r>
              <w:rPr>
                <w:rFonts w:hint="eastAsia" w:asciiTheme="minorEastAsia" w:hAnsiTheme="minorEastAsia" w:eastAsiaTheme="minorEastAsia" w:cstheme="minorEastAsia"/>
                <w:color w:val="auto"/>
                <w:sz w:val="20"/>
                <w:szCs w:val="20"/>
                <w:highlight w:val="none"/>
              </w:rPr>
              <w:t>系统应能展示药师工作概要，包括挂号、预约、关注患者信息等。</w:t>
            </w:r>
          </w:p>
          <w:p w14:paraId="149D8943">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2.2</w:t>
            </w:r>
            <w:r>
              <w:rPr>
                <w:rFonts w:hint="eastAsia" w:asciiTheme="minorEastAsia" w:hAnsiTheme="minorEastAsia" w:eastAsiaTheme="minorEastAsia" w:cstheme="minorEastAsia"/>
                <w:color w:val="auto"/>
                <w:sz w:val="20"/>
                <w:szCs w:val="20"/>
                <w:highlight w:val="none"/>
              </w:rPr>
              <w:t>系统应提供标准的MTM管理模式，包括信息收集、用药评估、疾病评估、问题与治疗、用药指导、SOAP药历。</w:t>
            </w:r>
          </w:p>
          <w:p w14:paraId="532A8BEA">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2.3</w:t>
            </w:r>
            <w:r>
              <w:rPr>
                <w:rFonts w:hint="eastAsia" w:asciiTheme="minorEastAsia" w:hAnsiTheme="minorEastAsia" w:eastAsiaTheme="minorEastAsia" w:cstheme="minorEastAsia"/>
                <w:color w:val="auto"/>
                <w:sz w:val="20"/>
                <w:szCs w:val="20"/>
                <w:highlight w:val="none"/>
              </w:rPr>
              <w:t>系统应支持自定义管理模块。</w:t>
            </w:r>
          </w:p>
          <w:p w14:paraId="0FF64F74">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2.4</w:t>
            </w:r>
            <w:r>
              <w:rPr>
                <w:rFonts w:hint="eastAsia" w:asciiTheme="minorEastAsia" w:hAnsiTheme="minorEastAsia" w:eastAsiaTheme="minorEastAsia" w:cstheme="minorEastAsia"/>
                <w:color w:val="auto"/>
                <w:sz w:val="20"/>
                <w:szCs w:val="20"/>
                <w:highlight w:val="none"/>
              </w:rPr>
              <w:t>管理模块中检验信息、检查信息应支持设置默认显示项目，同时支持添加患者其他检验、检查项目，常用项目应可优先选择。</w:t>
            </w:r>
          </w:p>
          <w:p w14:paraId="7EBAD1BF">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2.5</w:t>
            </w:r>
            <w:r>
              <w:rPr>
                <w:rFonts w:hint="eastAsia" w:asciiTheme="minorEastAsia" w:hAnsiTheme="minorEastAsia" w:eastAsiaTheme="minorEastAsia" w:cstheme="minorEastAsia"/>
                <w:color w:val="auto"/>
                <w:sz w:val="20"/>
                <w:szCs w:val="20"/>
                <w:highlight w:val="none"/>
              </w:rPr>
              <w:t>系统应提供合理用药审查结果。</w:t>
            </w:r>
          </w:p>
          <w:p w14:paraId="1C6A9686">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2.6</w:t>
            </w:r>
            <w:r>
              <w:rPr>
                <w:rFonts w:hint="eastAsia" w:asciiTheme="minorEastAsia" w:hAnsiTheme="minorEastAsia" w:eastAsiaTheme="minorEastAsia" w:cstheme="minorEastAsia"/>
                <w:color w:val="auto"/>
                <w:sz w:val="20"/>
                <w:szCs w:val="20"/>
                <w:highlight w:val="none"/>
              </w:rPr>
              <w:t>系统应能将药师发现的药物治疗问题发送至医生工作站。</w:t>
            </w:r>
          </w:p>
          <w:p w14:paraId="69A305CF">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2.7</w:t>
            </w:r>
            <w:r>
              <w:rPr>
                <w:rFonts w:hint="eastAsia" w:asciiTheme="minorEastAsia" w:hAnsiTheme="minorEastAsia" w:eastAsiaTheme="minorEastAsia" w:cstheme="minorEastAsia"/>
                <w:color w:val="auto"/>
                <w:sz w:val="20"/>
                <w:szCs w:val="20"/>
                <w:highlight w:val="none"/>
              </w:rPr>
              <w:t>系统应能将治疗计划打印、发送给患者。</w:t>
            </w:r>
          </w:p>
          <w:p w14:paraId="129E8602">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2.8</w:t>
            </w:r>
            <w:r>
              <w:rPr>
                <w:rFonts w:hint="eastAsia" w:asciiTheme="minorEastAsia" w:hAnsiTheme="minorEastAsia" w:eastAsiaTheme="minorEastAsia" w:cstheme="minorEastAsia"/>
                <w:color w:val="auto"/>
                <w:sz w:val="20"/>
                <w:szCs w:val="20"/>
                <w:highlight w:val="none"/>
              </w:rPr>
              <w:t>系统应提供在线收集患者信息、在线患者满意度调研功能。</w:t>
            </w:r>
          </w:p>
        </w:tc>
      </w:tr>
      <w:tr w14:paraId="5BCE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6542ED79">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3</w:t>
            </w:r>
          </w:p>
        </w:tc>
        <w:tc>
          <w:tcPr>
            <w:tcW w:w="1037" w:type="dxa"/>
            <w:gridSpan w:val="2"/>
            <w:vAlign w:val="center"/>
          </w:tcPr>
          <w:p w14:paraId="687262F3">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抗凝管理</w:t>
            </w:r>
          </w:p>
        </w:tc>
        <w:tc>
          <w:tcPr>
            <w:tcW w:w="6430" w:type="dxa"/>
          </w:tcPr>
          <w:p w14:paraId="4C19B942">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3.1</w:t>
            </w:r>
            <w:r>
              <w:rPr>
                <w:rFonts w:hint="eastAsia" w:asciiTheme="minorEastAsia" w:hAnsiTheme="minorEastAsia" w:eastAsiaTheme="minorEastAsia" w:cstheme="minorEastAsia"/>
                <w:color w:val="auto"/>
                <w:sz w:val="20"/>
                <w:szCs w:val="20"/>
                <w:highlight w:val="none"/>
              </w:rPr>
              <w:t>系统应内置抗凝管理模板，方便药师管理抗凝患者的用药。</w:t>
            </w:r>
          </w:p>
          <w:p w14:paraId="63374E5B">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3.2</w:t>
            </w:r>
            <w:r>
              <w:rPr>
                <w:rFonts w:hint="eastAsia" w:asciiTheme="minorEastAsia" w:hAnsiTheme="minorEastAsia" w:eastAsiaTheme="minorEastAsia" w:cstheme="minorEastAsia"/>
                <w:color w:val="auto"/>
                <w:sz w:val="20"/>
                <w:szCs w:val="20"/>
                <w:highlight w:val="none"/>
              </w:rPr>
              <w:t>抗凝模板应包括内科住院患者静脉血栓栓塞症风险Padua评分表、下肢深静脉血栓形成(DVT)诊断的临床特征评分、肺栓塞严重指数（PESI）等出血和栓塞相关的风险评估量表。</w:t>
            </w:r>
          </w:p>
          <w:p w14:paraId="2D765667">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3.3</w:t>
            </w:r>
            <w:r>
              <w:rPr>
                <w:rFonts w:hint="eastAsia" w:asciiTheme="minorEastAsia" w:hAnsiTheme="minorEastAsia" w:eastAsiaTheme="minorEastAsia" w:cstheme="minorEastAsia"/>
                <w:color w:val="auto"/>
                <w:sz w:val="20"/>
                <w:szCs w:val="20"/>
                <w:highlight w:val="none"/>
              </w:rPr>
              <w:t>抗凝模板应包括肝功能Child-Pugh分级评估、肾功能内生肌酐清除率（Cockcroft-Gault）、肾小球滤过率（CKD-EPI）计算。</w:t>
            </w:r>
          </w:p>
          <w:p w14:paraId="5341D163">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3.4</w:t>
            </w:r>
            <w:r>
              <w:rPr>
                <w:rFonts w:hint="eastAsia" w:asciiTheme="minorEastAsia" w:hAnsiTheme="minorEastAsia" w:eastAsiaTheme="minorEastAsia" w:cstheme="minorEastAsia"/>
                <w:color w:val="auto"/>
                <w:sz w:val="20"/>
                <w:szCs w:val="20"/>
                <w:highlight w:val="none"/>
              </w:rPr>
              <w:t>抗凝模板应可快速查看、编辑患者华法林处方、INR趋势、TTR情况、抗凝饮食情况。</w:t>
            </w:r>
          </w:p>
        </w:tc>
      </w:tr>
      <w:tr w14:paraId="177B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3D7F6201">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4</w:t>
            </w:r>
          </w:p>
        </w:tc>
        <w:tc>
          <w:tcPr>
            <w:tcW w:w="1037" w:type="dxa"/>
            <w:gridSpan w:val="2"/>
            <w:vAlign w:val="center"/>
          </w:tcPr>
          <w:p w14:paraId="2D48209E">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COPD管理</w:t>
            </w:r>
          </w:p>
        </w:tc>
        <w:tc>
          <w:tcPr>
            <w:tcW w:w="6430" w:type="dxa"/>
          </w:tcPr>
          <w:p w14:paraId="288E116D">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4.1</w:t>
            </w:r>
            <w:r>
              <w:rPr>
                <w:rFonts w:hint="eastAsia" w:asciiTheme="minorEastAsia" w:hAnsiTheme="minorEastAsia" w:eastAsiaTheme="minorEastAsia" w:cstheme="minorEastAsia"/>
                <w:color w:val="auto"/>
                <w:sz w:val="20"/>
                <w:szCs w:val="20"/>
                <w:highlight w:val="none"/>
              </w:rPr>
              <w:t>系统应内置COPD管理模板，方便药师管理慢阻肺患者的用药。</w:t>
            </w:r>
          </w:p>
          <w:p w14:paraId="10FC8EFB">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 xml:space="preserve">4.2 </w:t>
            </w:r>
            <w:r>
              <w:rPr>
                <w:rFonts w:hint="eastAsia" w:asciiTheme="minorEastAsia" w:hAnsiTheme="minorEastAsia" w:eastAsiaTheme="minorEastAsia" w:cstheme="minorEastAsia"/>
                <w:color w:val="auto"/>
                <w:sz w:val="20"/>
                <w:szCs w:val="20"/>
                <w:highlight w:val="none"/>
              </w:rPr>
              <w:t>COPD模板应包括沙丁胺醇气雾剂、噻托溴铵粉吸入剂、沙美特罗替卡松气雾剂等药品的吸入技巧评估。</w:t>
            </w:r>
          </w:p>
          <w:p w14:paraId="61F4D82F">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 xml:space="preserve">4.3 </w:t>
            </w:r>
            <w:r>
              <w:rPr>
                <w:rFonts w:hint="eastAsia" w:asciiTheme="minorEastAsia" w:hAnsiTheme="minorEastAsia" w:eastAsiaTheme="minorEastAsia" w:cstheme="minorEastAsia"/>
                <w:color w:val="auto"/>
                <w:sz w:val="20"/>
                <w:szCs w:val="20"/>
                <w:highlight w:val="none"/>
              </w:rPr>
              <w:t>COPD模板应包括肺功能评估、症状评估、急性加重风险、焦虑和抑郁评估。</w:t>
            </w:r>
          </w:p>
          <w:p w14:paraId="148C77DC">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 xml:space="preserve">4.4 </w:t>
            </w:r>
            <w:r>
              <w:rPr>
                <w:rFonts w:hint="eastAsia" w:asciiTheme="minorEastAsia" w:hAnsiTheme="minorEastAsia" w:eastAsiaTheme="minorEastAsia" w:cstheme="minorEastAsia"/>
                <w:color w:val="auto"/>
                <w:sz w:val="20"/>
                <w:szCs w:val="20"/>
                <w:highlight w:val="none"/>
              </w:rPr>
              <w:t>COPD模板应可快速记录患者家庭氧疗情况、吸烟情况。</w:t>
            </w:r>
          </w:p>
        </w:tc>
      </w:tr>
      <w:tr w14:paraId="7A62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708BC763">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5</w:t>
            </w:r>
          </w:p>
        </w:tc>
        <w:tc>
          <w:tcPr>
            <w:tcW w:w="1037" w:type="dxa"/>
            <w:gridSpan w:val="2"/>
            <w:vAlign w:val="center"/>
          </w:tcPr>
          <w:p w14:paraId="09D09092">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妊娠哺乳管理</w:t>
            </w:r>
          </w:p>
        </w:tc>
        <w:tc>
          <w:tcPr>
            <w:tcW w:w="6430" w:type="dxa"/>
          </w:tcPr>
          <w:p w14:paraId="496189B2">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5.1</w:t>
            </w:r>
            <w:r>
              <w:rPr>
                <w:rFonts w:hint="eastAsia" w:asciiTheme="minorEastAsia" w:hAnsiTheme="minorEastAsia" w:eastAsiaTheme="minorEastAsia" w:cstheme="minorEastAsia"/>
                <w:color w:val="auto"/>
                <w:sz w:val="20"/>
                <w:szCs w:val="20"/>
                <w:highlight w:val="none"/>
              </w:rPr>
              <w:t>系统应内置妊娠哺乳管理模块，方便药师管理妊娠哺乳患者的用药。</w:t>
            </w:r>
          </w:p>
          <w:p w14:paraId="6785E6E4">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5.2</w:t>
            </w:r>
            <w:r>
              <w:rPr>
                <w:rFonts w:hint="eastAsia" w:asciiTheme="minorEastAsia" w:hAnsiTheme="minorEastAsia" w:eastAsiaTheme="minorEastAsia" w:cstheme="minorEastAsia"/>
                <w:color w:val="auto"/>
                <w:sz w:val="20"/>
                <w:szCs w:val="20"/>
                <w:highlight w:val="none"/>
              </w:rPr>
              <w:t>妊娠哺乳模块应可快速查看、编辑患者妊娠信息、月经史、妊娠期疾病、产检记录、检验信息、检查信息、孕期用药记录、配偶用药记录、风险记录、哺乳期疾病、哺乳时长、哺乳期用药记录。</w:t>
            </w:r>
          </w:p>
        </w:tc>
      </w:tr>
      <w:tr w14:paraId="4F5E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758C9E6E">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6</w:t>
            </w:r>
          </w:p>
        </w:tc>
        <w:tc>
          <w:tcPr>
            <w:tcW w:w="1037" w:type="dxa"/>
            <w:gridSpan w:val="2"/>
            <w:vAlign w:val="center"/>
          </w:tcPr>
          <w:p w14:paraId="6B289A92">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监护范围</w:t>
            </w:r>
          </w:p>
        </w:tc>
        <w:tc>
          <w:tcPr>
            <w:tcW w:w="6430" w:type="dxa"/>
          </w:tcPr>
          <w:p w14:paraId="017B4173">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系统应能按科室、病区、医疗组、主管医生设置监护范围，应能实现对</w:t>
            </w:r>
            <w:r>
              <w:rPr>
                <w:rFonts w:hint="eastAsia" w:asciiTheme="minorEastAsia" w:hAnsiTheme="minorEastAsia" w:eastAsiaTheme="minorEastAsia" w:cstheme="minorEastAsia"/>
                <w:bCs/>
                <w:color w:val="auto"/>
                <w:sz w:val="20"/>
                <w:szCs w:val="20"/>
                <w:highlight w:val="none"/>
              </w:rPr>
              <w:t>监护范围内患者当日新开医嘱进行批量审查，</w:t>
            </w:r>
            <w:r>
              <w:rPr>
                <w:rFonts w:hint="eastAsia" w:asciiTheme="minorEastAsia" w:hAnsiTheme="minorEastAsia" w:eastAsiaTheme="minorEastAsia" w:cstheme="minorEastAsia"/>
                <w:color w:val="auto"/>
                <w:sz w:val="20"/>
                <w:szCs w:val="20"/>
                <w:highlight w:val="none"/>
              </w:rPr>
              <w:t>方便药师开展监护工作。</w:t>
            </w:r>
          </w:p>
        </w:tc>
      </w:tr>
      <w:tr w14:paraId="1EA5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08D149D1">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7</w:t>
            </w:r>
          </w:p>
        </w:tc>
        <w:tc>
          <w:tcPr>
            <w:tcW w:w="1037" w:type="dxa"/>
            <w:gridSpan w:val="2"/>
            <w:vAlign w:val="center"/>
          </w:tcPr>
          <w:p w14:paraId="6683EDBC">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监护评级</w:t>
            </w:r>
          </w:p>
        </w:tc>
        <w:tc>
          <w:tcPr>
            <w:tcW w:w="6430" w:type="dxa"/>
          </w:tcPr>
          <w:p w14:paraId="72F4E75F">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系统应具备监护评级机制，可根据异常检验结果、异常生命体征、重点关注药品、用药品种数、是否存在特殊治疗将患者自动划分为一级、二级、三级药学监护。</w:t>
            </w:r>
          </w:p>
        </w:tc>
      </w:tr>
      <w:tr w14:paraId="7E60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05FF8719">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8</w:t>
            </w:r>
          </w:p>
        </w:tc>
        <w:tc>
          <w:tcPr>
            <w:tcW w:w="1037" w:type="dxa"/>
            <w:gridSpan w:val="2"/>
            <w:vAlign w:val="center"/>
          </w:tcPr>
          <w:p w14:paraId="46A17E35">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重点关注病例</w:t>
            </w:r>
          </w:p>
        </w:tc>
        <w:tc>
          <w:tcPr>
            <w:tcW w:w="6430" w:type="dxa"/>
          </w:tcPr>
          <w:p w14:paraId="222F357E">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8.1</w:t>
            </w:r>
            <w:r>
              <w:rPr>
                <w:rFonts w:hint="eastAsia" w:asciiTheme="minorEastAsia" w:hAnsiTheme="minorEastAsia" w:eastAsiaTheme="minorEastAsia" w:cstheme="minorEastAsia"/>
                <w:color w:val="auto"/>
                <w:sz w:val="20"/>
                <w:szCs w:val="20"/>
                <w:highlight w:val="none"/>
              </w:rPr>
              <w:t>系统应能自动筛选出需要重点监护的患者。</w:t>
            </w:r>
          </w:p>
          <w:p w14:paraId="69C8C6C7">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8.2</w:t>
            </w:r>
            <w:r>
              <w:rPr>
                <w:rFonts w:hint="eastAsia" w:asciiTheme="minorEastAsia" w:hAnsiTheme="minorEastAsia" w:eastAsiaTheme="minorEastAsia" w:cstheme="minorEastAsia"/>
                <w:color w:val="auto"/>
                <w:sz w:val="20"/>
                <w:szCs w:val="20"/>
                <w:highlight w:val="none"/>
              </w:rPr>
              <w:t>系统应能根据药品、疾病特点自定义患者，如VTE异常且未使用抗凝药、尿隐血阳性、万古霉素联用阿奇霉素的患者，。</w:t>
            </w:r>
          </w:p>
          <w:p w14:paraId="3D73186F">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8.3</w:t>
            </w:r>
            <w:r>
              <w:rPr>
                <w:rFonts w:hint="eastAsia" w:asciiTheme="minorEastAsia" w:hAnsiTheme="minorEastAsia" w:eastAsiaTheme="minorEastAsia" w:cstheme="minorEastAsia"/>
                <w:color w:val="auto"/>
                <w:sz w:val="20"/>
                <w:szCs w:val="20"/>
                <w:highlight w:val="none"/>
              </w:rPr>
              <w:t>自定义联合用药患者应提供同天使用、同点有交叉、同点有交叉或前后相差小于24小时的联用方式。</w:t>
            </w:r>
          </w:p>
        </w:tc>
      </w:tr>
      <w:tr w14:paraId="235F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146195FA">
            <w:pPr>
              <w:pStyle w:val="10"/>
              <w:numPr>
                <w:ilvl w:val="0"/>
                <w:numId w:val="0"/>
              </w:numPr>
              <w:spacing w:line="360" w:lineRule="auto"/>
              <w:ind w:left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9</w:t>
            </w:r>
          </w:p>
        </w:tc>
        <w:tc>
          <w:tcPr>
            <w:tcW w:w="1037" w:type="dxa"/>
            <w:gridSpan w:val="2"/>
            <w:vAlign w:val="center"/>
          </w:tcPr>
          <w:p w14:paraId="5EFE2881">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患者360视图</w:t>
            </w:r>
          </w:p>
        </w:tc>
        <w:tc>
          <w:tcPr>
            <w:tcW w:w="6430" w:type="dxa"/>
          </w:tcPr>
          <w:p w14:paraId="38E60358">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9.1</w:t>
            </w:r>
            <w:r>
              <w:rPr>
                <w:rFonts w:hint="eastAsia" w:asciiTheme="minorEastAsia" w:hAnsiTheme="minorEastAsia" w:eastAsiaTheme="minorEastAsia" w:cstheme="minorEastAsia"/>
                <w:color w:val="auto"/>
                <w:sz w:val="20"/>
                <w:szCs w:val="20"/>
                <w:highlight w:val="none"/>
              </w:rPr>
              <w:t>系统应整合患者数据方便药师查看。</w:t>
            </w:r>
          </w:p>
          <w:p w14:paraId="5321C6A2">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9.2</w:t>
            </w:r>
            <w:r>
              <w:rPr>
                <w:rFonts w:hint="eastAsia" w:asciiTheme="minorEastAsia" w:hAnsiTheme="minorEastAsia" w:eastAsiaTheme="minorEastAsia" w:cstheme="minorEastAsia"/>
                <w:color w:val="auto"/>
                <w:sz w:val="20"/>
                <w:szCs w:val="20"/>
                <w:highlight w:val="none"/>
              </w:rPr>
              <w:t>基本信息应包括但不限于患者姓名、年龄、标记、体表面积、体重指数、入院诊断、肌酐清除率、过敏史、基因检测结果、医药公式与评估量表及结果。</w:t>
            </w:r>
          </w:p>
          <w:p w14:paraId="43702D0E">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9.3</w:t>
            </w:r>
            <w:r>
              <w:rPr>
                <w:rFonts w:hint="eastAsia" w:asciiTheme="minorEastAsia" w:hAnsiTheme="minorEastAsia" w:eastAsiaTheme="minorEastAsia" w:cstheme="minorEastAsia"/>
                <w:color w:val="auto"/>
                <w:sz w:val="20"/>
                <w:szCs w:val="20"/>
                <w:highlight w:val="none"/>
              </w:rPr>
              <w:t>系统应高亮显示患者在用医嘱，并提供药疗/非药疗、长期/临时、三日内新开医嘱、出院带药、特殊标记医嘱、特殊药品属性供药师筛选。</w:t>
            </w:r>
          </w:p>
          <w:p w14:paraId="14A63045">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9.4</w:t>
            </w:r>
            <w:r>
              <w:rPr>
                <w:rFonts w:hint="eastAsia" w:asciiTheme="minorEastAsia" w:hAnsiTheme="minorEastAsia" w:eastAsiaTheme="minorEastAsia" w:cstheme="minorEastAsia"/>
                <w:color w:val="auto"/>
                <w:sz w:val="20"/>
                <w:szCs w:val="20"/>
                <w:highlight w:val="none"/>
              </w:rPr>
              <w:t>▲系统应提供用药时序图自定义功能。</w:t>
            </w:r>
          </w:p>
          <w:p w14:paraId="47E4B83C">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9.5</w:t>
            </w:r>
            <w:r>
              <w:rPr>
                <w:rFonts w:hint="eastAsia" w:asciiTheme="minorEastAsia" w:hAnsiTheme="minorEastAsia" w:eastAsiaTheme="minorEastAsia" w:cstheme="minorEastAsia"/>
                <w:color w:val="auto"/>
                <w:sz w:val="20"/>
                <w:szCs w:val="20"/>
                <w:highlight w:val="none"/>
              </w:rPr>
              <w:t>系统应能提供数据录入功能，方便药师手动补录患者检验检查和诊断等数据。</w:t>
            </w:r>
          </w:p>
          <w:p w14:paraId="6E358F20">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9.6</w:t>
            </w:r>
            <w:r>
              <w:rPr>
                <w:rFonts w:hint="eastAsia" w:asciiTheme="minorEastAsia" w:hAnsiTheme="minorEastAsia" w:eastAsiaTheme="minorEastAsia" w:cstheme="minorEastAsia"/>
                <w:color w:val="auto"/>
                <w:sz w:val="20"/>
                <w:szCs w:val="20"/>
                <w:highlight w:val="none"/>
              </w:rPr>
              <w:t>系统应提供自定义事项提醒，药师可根据患者监护需要设置提醒内容及时间，方便药师及时处理。</w:t>
            </w:r>
          </w:p>
        </w:tc>
      </w:tr>
      <w:tr w14:paraId="397D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60779EF9">
            <w:pPr>
              <w:pStyle w:val="10"/>
              <w:numPr>
                <w:ilvl w:val="0"/>
                <w:numId w:val="0"/>
              </w:numPr>
              <w:spacing w:line="360" w:lineRule="auto"/>
              <w:ind w:leftChars="0"/>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10</w:t>
            </w:r>
          </w:p>
        </w:tc>
        <w:tc>
          <w:tcPr>
            <w:tcW w:w="1037" w:type="dxa"/>
            <w:gridSpan w:val="2"/>
            <w:vAlign w:val="center"/>
          </w:tcPr>
          <w:p w14:paraId="1302DC82">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监护全过程</w:t>
            </w:r>
          </w:p>
        </w:tc>
        <w:tc>
          <w:tcPr>
            <w:tcW w:w="6430" w:type="dxa"/>
          </w:tcPr>
          <w:p w14:paraId="34A86564">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10.1</w:t>
            </w:r>
            <w:r>
              <w:rPr>
                <w:rFonts w:hint="eastAsia" w:asciiTheme="minorEastAsia" w:hAnsiTheme="minorEastAsia" w:eastAsiaTheme="minorEastAsia" w:cstheme="minorEastAsia"/>
                <w:color w:val="auto"/>
                <w:sz w:val="20"/>
                <w:szCs w:val="20"/>
                <w:highlight w:val="none"/>
              </w:rPr>
              <w:t>系统应提供入院评估表</w:t>
            </w: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应可导入既往入院评估。</w:t>
            </w:r>
          </w:p>
          <w:p w14:paraId="662CC041">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10.2</w:t>
            </w:r>
            <w:r>
              <w:rPr>
                <w:rFonts w:hint="eastAsia" w:asciiTheme="minorEastAsia" w:hAnsiTheme="minorEastAsia" w:eastAsiaTheme="minorEastAsia" w:cstheme="minorEastAsia"/>
                <w:color w:val="auto"/>
                <w:sz w:val="20"/>
                <w:szCs w:val="20"/>
                <w:highlight w:val="none"/>
              </w:rPr>
              <w:t>系统应提供程序审查结果、药品说明书、注意事项辅助药师进行合理用药审查。</w:t>
            </w:r>
          </w:p>
          <w:p w14:paraId="64788C3E">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10.3</w:t>
            </w:r>
            <w:r>
              <w:rPr>
                <w:rFonts w:hint="eastAsia" w:asciiTheme="minorEastAsia" w:hAnsiTheme="minorEastAsia" w:eastAsiaTheme="minorEastAsia" w:cstheme="minorEastAsia"/>
                <w:color w:val="auto"/>
                <w:sz w:val="20"/>
                <w:szCs w:val="20"/>
                <w:highlight w:val="none"/>
              </w:rPr>
              <w:t>系统应能自动导入患者在用医嘱，快速生成药物重整计划，应支持药师将重整计划反馈给临床医生并记录医生采纳情况。应可导入既往重整计划。</w:t>
            </w:r>
          </w:p>
          <w:p w14:paraId="6D6715B0">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10.4</w:t>
            </w:r>
            <w:r>
              <w:rPr>
                <w:rFonts w:hint="eastAsia" w:asciiTheme="minorEastAsia" w:hAnsiTheme="minorEastAsia" w:eastAsiaTheme="minorEastAsia" w:cstheme="minorEastAsia"/>
                <w:color w:val="auto"/>
                <w:sz w:val="20"/>
                <w:szCs w:val="20"/>
                <w:highlight w:val="none"/>
              </w:rPr>
              <w:t>系统应提供导入历史监护计划、监护计划模板快捷输入、医嘱/检验/检查自动导入功能、医嘱/检验值模糊查找功能，帮助药师快速生成监护计划。</w:t>
            </w:r>
          </w:p>
          <w:p w14:paraId="558D3B70">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10.5</w:t>
            </w:r>
            <w:r>
              <w:rPr>
                <w:rFonts w:hint="eastAsia" w:asciiTheme="minorEastAsia" w:hAnsiTheme="minorEastAsia" w:eastAsiaTheme="minorEastAsia" w:cstheme="minorEastAsia"/>
                <w:color w:val="auto"/>
                <w:sz w:val="20"/>
                <w:szCs w:val="20"/>
                <w:highlight w:val="none"/>
              </w:rPr>
              <w:t>系统应提供监护日志模板</w:t>
            </w: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药师应可根据需要自定义填写内容。</w:t>
            </w:r>
          </w:p>
          <w:p w14:paraId="7E586C2F">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10.6</w:t>
            </w:r>
            <w:r>
              <w:rPr>
                <w:rFonts w:hint="eastAsia" w:asciiTheme="minorEastAsia" w:hAnsiTheme="minorEastAsia" w:eastAsiaTheme="minorEastAsia" w:cstheme="minorEastAsia"/>
                <w:color w:val="auto"/>
                <w:sz w:val="20"/>
                <w:szCs w:val="20"/>
                <w:highlight w:val="none"/>
              </w:rPr>
              <w:t>系统应能根据患者已有基因检测结果、血药浓度结果提醒药师制定个体化用药方案。应提供单室模型静脉注射药动学公式协助药师调整用量。</w:t>
            </w:r>
          </w:p>
          <w:p w14:paraId="2B3E5153">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10.7</w:t>
            </w:r>
            <w:r>
              <w:rPr>
                <w:rFonts w:hint="eastAsia" w:asciiTheme="minorEastAsia" w:hAnsiTheme="minorEastAsia" w:eastAsiaTheme="minorEastAsia" w:cstheme="minorEastAsia"/>
                <w:color w:val="auto"/>
                <w:sz w:val="20"/>
                <w:szCs w:val="20"/>
                <w:highlight w:val="none"/>
              </w:rPr>
              <w:t>系统应支持药师将用药建议一键生成监护计划。</w:t>
            </w:r>
          </w:p>
          <w:p w14:paraId="584F39CF">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10.8</w:t>
            </w:r>
            <w:r>
              <w:rPr>
                <w:rFonts w:hint="eastAsia" w:asciiTheme="minorEastAsia" w:hAnsiTheme="minorEastAsia" w:eastAsiaTheme="minorEastAsia" w:cstheme="minorEastAsia"/>
                <w:color w:val="auto"/>
                <w:sz w:val="20"/>
                <w:szCs w:val="20"/>
                <w:highlight w:val="none"/>
              </w:rPr>
              <w:t>系统应能自动生成患者全程化药学监护记录，并根据监护记录内容生成“新入院患者药学监护记录表”、“在院患者药学监护记录表”。</w:t>
            </w:r>
          </w:p>
          <w:p w14:paraId="0018B92F">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10.9</w:t>
            </w:r>
            <w:r>
              <w:rPr>
                <w:rFonts w:hint="eastAsia" w:asciiTheme="minorEastAsia" w:hAnsiTheme="minorEastAsia" w:eastAsiaTheme="minorEastAsia" w:cstheme="minorEastAsia"/>
                <w:color w:val="auto"/>
                <w:sz w:val="20"/>
                <w:szCs w:val="20"/>
                <w:highlight w:val="none"/>
              </w:rPr>
              <w:t>系统应支持医生在工作站、电子病历等系统中自主查看监护评级、监护计划、监护日志、用药建议、药物重整计划、个体化用药方案、风险评估。</w:t>
            </w:r>
          </w:p>
        </w:tc>
      </w:tr>
      <w:tr w14:paraId="72CF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7E99AAE7">
            <w:pPr>
              <w:pStyle w:val="10"/>
              <w:numPr>
                <w:ilvl w:val="0"/>
                <w:numId w:val="0"/>
              </w:numPr>
              <w:spacing w:line="360" w:lineRule="auto"/>
              <w:ind w:leftChars="0"/>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11</w:t>
            </w:r>
          </w:p>
        </w:tc>
        <w:tc>
          <w:tcPr>
            <w:tcW w:w="1037" w:type="dxa"/>
            <w:gridSpan w:val="2"/>
            <w:vAlign w:val="center"/>
          </w:tcPr>
          <w:p w14:paraId="5B2DC524">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专项监护</w:t>
            </w:r>
          </w:p>
        </w:tc>
        <w:tc>
          <w:tcPr>
            <w:tcW w:w="6430" w:type="dxa"/>
          </w:tcPr>
          <w:p w14:paraId="3F9E9DBD">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系统应能实现批量医嘱审核功能，快速发现不合理医嘱。</w:t>
            </w:r>
          </w:p>
        </w:tc>
      </w:tr>
      <w:tr w14:paraId="5992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68F51390">
            <w:pPr>
              <w:pStyle w:val="10"/>
              <w:numPr>
                <w:ilvl w:val="0"/>
                <w:numId w:val="0"/>
              </w:numPr>
              <w:spacing w:line="360" w:lineRule="auto"/>
              <w:ind w:leftChars="0"/>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12</w:t>
            </w:r>
          </w:p>
        </w:tc>
        <w:tc>
          <w:tcPr>
            <w:tcW w:w="1037" w:type="dxa"/>
            <w:gridSpan w:val="2"/>
            <w:vAlign w:val="center"/>
          </w:tcPr>
          <w:p w14:paraId="23521D5E">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带教学习</w:t>
            </w:r>
          </w:p>
        </w:tc>
        <w:tc>
          <w:tcPr>
            <w:tcW w:w="6430" w:type="dxa"/>
          </w:tcPr>
          <w:p w14:paraId="5FAF3BBC">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系统应提供带教模块，学生填写的药学记录需提交老师审核。</w:t>
            </w:r>
          </w:p>
        </w:tc>
      </w:tr>
      <w:tr w14:paraId="78FB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2FA255E3">
            <w:pPr>
              <w:pStyle w:val="10"/>
              <w:numPr>
                <w:ilvl w:val="0"/>
                <w:numId w:val="0"/>
              </w:numPr>
              <w:spacing w:line="360" w:lineRule="auto"/>
              <w:ind w:leftChars="0"/>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13</w:t>
            </w:r>
          </w:p>
        </w:tc>
        <w:tc>
          <w:tcPr>
            <w:tcW w:w="1037" w:type="dxa"/>
            <w:gridSpan w:val="2"/>
            <w:vAlign w:val="center"/>
          </w:tcPr>
          <w:p w14:paraId="08F0050F">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药学记录</w:t>
            </w:r>
          </w:p>
        </w:tc>
        <w:tc>
          <w:tcPr>
            <w:tcW w:w="6430" w:type="dxa"/>
          </w:tcPr>
          <w:p w14:paraId="6AEEC61C">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系统应能自动生成我的监护病例/查房备注/带教学习、全院监护记录/发送记录/带教学习、用药建议采纳情况等药学记录供药师查询、处理。系统应支持批量生成查房备注，减少药师填写工作量。</w:t>
            </w:r>
          </w:p>
        </w:tc>
      </w:tr>
      <w:tr w14:paraId="6F97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6BD17946">
            <w:pPr>
              <w:pStyle w:val="10"/>
              <w:numPr>
                <w:ilvl w:val="0"/>
                <w:numId w:val="0"/>
              </w:numPr>
              <w:spacing w:line="360" w:lineRule="auto"/>
              <w:ind w:leftChars="0"/>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14</w:t>
            </w:r>
          </w:p>
        </w:tc>
        <w:tc>
          <w:tcPr>
            <w:tcW w:w="1037" w:type="dxa"/>
            <w:gridSpan w:val="2"/>
            <w:vAlign w:val="center"/>
          </w:tcPr>
          <w:p w14:paraId="64CB319F">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药学查房</w:t>
            </w:r>
          </w:p>
        </w:tc>
        <w:tc>
          <w:tcPr>
            <w:tcW w:w="6430" w:type="dxa"/>
          </w:tcPr>
          <w:p w14:paraId="28A5419F">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系统应提供移动端程序协助药师完成药学查房。</w:t>
            </w:r>
          </w:p>
        </w:tc>
      </w:tr>
      <w:tr w14:paraId="3171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299C2660">
            <w:pPr>
              <w:pStyle w:val="10"/>
              <w:numPr>
                <w:ilvl w:val="0"/>
                <w:numId w:val="0"/>
              </w:numPr>
              <w:spacing w:line="360" w:lineRule="auto"/>
              <w:ind w:leftChars="0"/>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15</w:t>
            </w:r>
          </w:p>
        </w:tc>
        <w:tc>
          <w:tcPr>
            <w:tcW w:w="1037" w:type="dxa"/>
            <w:gridSpan w:val="2"/>
            <w:vAlign w:val="center"/>
          </w:tcPr>
          <w:p w14:paraId="67777DE5">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内外网交互</w:t>
            </w:r>
          </w:p>
        </w:tc>
        <w:tc>
          <w:tcPr>
            <w:tcW w:w="6430" w:type="dxa"/>
          </w:tcPr>
          <w:p w14:paraId="5F4786FC">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系统应建立内外网交互机制，将药学服务延伸到院外，让药师能够在医院内网环境下与患者在线交互。</w:t>
            </w:r>
          </w:p>
        </w:tc>
      </w:tr>
      <w:tr w14:paraId="0EE2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2D246687">
            <w:pPr>
              <w:pStyle w:val="10"/>
              <w:numPr>
                <w:ilvl w:val="0"/>
                <w:numId w:val="0"/>
              </w:numPr>
              <w:spacing w:line="360" w:lineRule="auto"/>
              <w:ind w:leftChars="0"/>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16</w:t>
            </w:r>
          </w:p>
        </w:tc>
        <w:tc>
          <w:tcPr>
            <w:tcW w:w="1037" w:type="dxa"/>
            <w:gridSpan w:val="2"/>
            <w:vAlign w:val="center"/>
          </w:tcPr>
          <w:p w14:paraId="0EBD10B7">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远程管理</w:t>
            </w:r>
          </w:p>
        </w:tc>
        <w:tc>
          <w:tcPr>
            <w:tcW w:w="6430" w:type="dxa"/>
          </w:tcPr>
          <w:p w14:paraId="269F2BE5">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16.1</w:t>
            </w:r>
            <w:r>
              <w:rPr>
                <w:rFonts w:hint="eastAsia" w:asciiTheme="minorEastAsia" w:hAnsiTheme="minorEastAsia" w:eastAsiaTheme="minorEastAsia" w:cstheme="minorEastAsia"/>
                <w:color w:val="auto"/>
                <w:sz w:val="20"/>
                <w:szCs w:val="20"/>
                <w:highlight w:val="none"/>
              </w:rPr>
              <w:t>系统应提供居家管理路径，方便药师在线批量管理患者。</w:t>
            </w:r>
          </w:p>
          <w:p w14:paraId="29266A4A">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16.2</w:t>
            </w:r>
            <w:r>
              <w:rPr>
                <w:rFonts w:hint="eastAsia" w:asciiTheme="minorEastAsia" w:hAnsiTheme="minorEastAsia" w:eastAsiaTheme="minorEastAsia" w:cstheme="minorEastAsia"/>
                <w:color w:val="auto"/>
                <w:sz w:val="20"/>
                <w:szCs w:val="20"/>
                <w:highlight w:val="none"/>
              </w:rPr>
              <w:t>居家管理路径既能定时、持续向患者推送健康教育资料、随访调研问卷，又能向患者收集患者监测指标，并支持药师对患者反馈的异常结果进行干预。</w:t>
            </w:r>
          </w:p>
          <w:p w14:paraId="3E28988F">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16.3</w:t>
            </w:r>
            <w:r>
              <w:rPr>
                <w:rFonts w:hint="eastAsia" w:asciiTheme="minorEastAsia" w:hAnsiTheme="minorEastAsia" w:eastAsiaTheme="minorEastAsia" w:cstheme="minorEastAsia"/>
                <w:color w:val="auto"/>
                <w:sz w:val="20"/>
                <w:szCs w:val="20"/>
                <w:highlight w:val="none"/>
              </w:rPr>
              <w:t>系统应内置图文并茂的健康教育资料，同时也支持药师自定义PDF/视频/音频/图片格式的健康教育资料。</w:t>
            </w:r>
          </w:p>
          <w:p w14:paraId="0F3F51F0">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16.4</w:t>
            </w:r>
            <w:r>
              <w:rPr>
                <w:rFonts w:hint="eastAsia" w:asciiTheme="minorEastAsia" w:hAnsiTheme="minorEastAsia" w:eastAsiaTheme="minorEastAsia" w:cstheme="minorEastAsia"/>
                <w:color w:val="auto"/>
                <w:sz w:val="20"/>
                <w:szCs w:val="20"/>
                <w:highlight w:val="none"/>
              </w:rPr>
              <w:t>系统应支持患者在线上传血压、血糖、体温、心率、INR、血脂、尿酸、睡眠、运动、体重、疼痛、癫痫、家庭氧疗监测数据。</w:t>
            </w:r>
          </w:p>
        </w:tc>
      </w:tr>
      <w:tr w14:paraId="6904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66FD30D6">
            <w:pPr>
              <w:pStyle w:val="10"/>
              <w:numPr>
                <w:ilvl w:val="0"/>
                <w:numId w:val="0"/>
              </w:numPr>
              <w:spacing w:line="360" w:lineRule="auto"/>
              <w:ind w:leftChars="0"/>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17</w:t>
            </w:r>
          </w:p>
        </w:tc>
        <w:tc>
          <w:tcPr>
            <w:tcW w:w="1037" w:type="dxa"/>
            <w:gridSpan w:val="2"/>
            <w:vAlign w:val="center"/>
          </w:tcPr>
          <w:p w14:paraId="26EFAA3F">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患者端</w:t>
            </w:r>
          </w:p>
        </w:tc>
        <w:tc>
          <w:tcPr>
            <w:tcW w:w="6430" w:type="dxa"/>
          </w:tcPr>
          <w:p w14:paraId="68F9893A">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系统应提供患者端程序，患者端不仅能配合药师完成居家路径管理，还能实现：</w:t>
            </w:r>
          </w:p>
          <w:p w14:paraId="69267DC3">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17.1</w:t>
            </w:r>
            <w:r>
              <w:rPr>
                <w:rFonts w:hint="eastAsia" w:asciiTheme="minorEastAsia" w:hAnsiTheme="minorEastAsia" w:eastAsiaTheme="minorEastAsia" w:cstheme="minorEastAsia"/>
                <w:color w:val="auto"/>
                <w:sz w:val="20"/>
                <w:szCs w:val="20"/>
                <w:highlight w:val="none"/>
              </w:rPr>
              <w:t>▲自动获取处方用药须知。</w:t>
            </w:r>
          </w:p>
          <w:p w14:paraId="50A82FC1">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17.2</w:t>
            </w:r>
            <w:r>
              <w:rPr>
                <w:rFonts w:hint="eastAsia" w:asciiTheme="minorEastAsia" w:hAnsiTheme="minorEastAsia" w:eastAsiaTheme="minorEastAsia" w:cstheme="minorEastAsia"/>
                <w:color w:val="auto"/>
                <w:sz w:val="20"/>
                <w:szCs w:val="20"/>
                <w:highlight w:val="none"/>
              </w:rPr>
              <w:t>▲在线发起药箱整理申请，邀请药师前往患者家中整理药品。</w:t>
            </w:r>
          </w:p>
          <w:p w14:paraId="61592071">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17.3</w:t>
            </w:r>
            <w:r>
              <w:rPr>
                <w:rFonts w:hint="eastAsia" w:asciiTheme="minorEastAsia" w:hAnsiTheme="minorEastAsia" w:eastAsiaTheme="minorEastAsia" w:cstheme="minorEastAsia"/>
                <w:color w:val="auto"/>
                <w:sz w:val="20"/>
                <w:szCs w:val="20"/>
                <w:highlight w:val="none"/>
              </w:rPr>
              <w:t>▲在线反馈药品不良反应。</w:t>
            </w:r>
          </w:p>
          <w:p w14:paraId="1D1B200A">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17.4</w:t>
            </w:r>
            <w:r>
              <w:rPr>
                <w:rFonts w:hint="eastAsia" w:asciiTheme="minorEastAsia" w:hAnsiTheme="minorEastAsia" w:eastAsiaTheme="minorEastAsia" w:cstheme="minorEastAsia"/>
                <w:color w:val="auto"/>
                <w:sz w:val="20"/>
                <w:szCs w:val="20"/>
                <w:highlight w:val="none"/>
              </w:rPr>
              <w:t>▲自主开展药品知识查询、错时给药查询和健康状态评估，评估项目包括烟草依赖性、焦虑、疼痛、便秘等。</w:t>
            </w:r>
          </w:p>
          <w:p w14:paraId="6DE09134">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17.5</w:t>
            </w:r>
            <w:r>
              <w:rPr>
                <w:rFonts w:hint="eastAsia" w:asciiTheme="minorEastAsia" w:hAnsiTheme="minorEastAsia" w:eastAsiaTheme="minorEastAsia" w:cstheme="minorEastAsia"/>
                <w:color w:val="auto"/>
                <w:sz w:val="20"/>
                <w:szCs w:val="20"/>
                <w:highlight w:val="none"/>
              </w:rPr>
              <w:t>添加亲友档案，协助亲友管理用药。</w:t>
            </w:r>
          </w:p>
        </w:tc>
      </w:tr>
      <w:tr w14:paraId="67B4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3E591FA0">
            <w:pPr>
              <w:pStyle w:val="10"/>
              <w:numPr>
                <w:ilvl w:val="0"/>
                <w:numId w:val="0"/>
              </w:numPr>
              <w:spacing w:line="360" w:lineRule="auto"/>
              <w:ind w:leftChars="0"/>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18</w:t>
            </w:r>
          </w:p>
        </w:tc>
        <w:tc>
          <w:tcPr>
            <w:tcW w:w="1037" w:type="dxa"/>
            <w:gridSpan w:val="2"/>
            <w:vAlign w:val="center"/>
          </w:tcPr>
          <w:p w14:paraId="483A9C52">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用药咨询</w:t>
            </w:r>
          </w:p>
        </w:tc>
        <w:tc>
          <w:tcPr>
            <w:tcW w:w="6430" w:type="dxa"/>
          </w:tcPr>
          <w:p w14:paraId="71FE50F9">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18.1</w:t>
            </w:r>
            <w:r>
              <w:rPr>
                <w:rFonts w:hint="eastAsia" w:asciiTheme="minorEastAsia" w:hAnsiTheme="minorEastAsia" w:eastAsiaTheme="minorEastAsia" w:cstheme="minorEastAsia"/>
                <w:color w:val="auto"/>
                <w:sz w:val="20"/>
                <w:szCs w:val="20"/>
                <w:highlight w:val="none"/>
              </w:rPr>
              <w:t>线下咨询</w:t>
            </w:r>
          </w:p>
          <w:p w14:paraId="7DA26CE7">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系统应支持药师记录用药咨询及药师解答，支持延答复操作。</w:t>
            </w:r>
          </w:p>
          <w:p w14:paraId="30C94AF5">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18.2</w:t>
            </w:r>
            <w:r>
              <w:rPr>
                <w:rFonts w:hint="eastAsia" w:asciiTheme="minorEastAsia" w:hAnsiTheme="minorEastAsia" w:eastAsiaTheme="minorEastAsia" w:cstheme="minorEastAsia"/>
                <w:color w:val="auto"/>
                <w:sz w:val="20"/>
                <w:szCs w:val="20"/>
                <w:highlight w:val="none"/>
              </w:rPr>
              <w:t>医生咨询</w:t>
            </w:r>
          </w:p>
          <w:p w14:paraId="383C0BD1">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系统应支持医生在工作站向药师发起用药咨询。</w:t>
            </w:r>
          </w:p>
          <w:p w14:paraId="32229CD6">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18.3</w:t>
            </w:r>
            <w:r>
              <w:rPr>
                <w:rFonts w:hint="eastAsia" w:asciiTheme="minorEastAsia" w:hAnsiTheme="minorEastAsia" w:eastAsiaTheme="minorEastAsia" w:cstheme="minorEastAsia"/>
                <w:color w:val="auto"/>
                <w:sz w:val="20"/>
                <w:szCs w:val="20"/>
                <w:highlight w:val="none"/>
              </w:rPr>
              <w:t>患者咨询</w:t>
            </w:r>
          </w:p>
          <w:p w14:paraId="73897E9F">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系统应支持患者在线发起用药咨询，患者应可添加药品、疾病情况，录入语音、上传图片询问药师用药问题，可对药师服务进行评价。药师应能自定义在线接受咨询时间、日咨询量上限。</w:t>
            </w:r>
          </w:p>
        </w:tc>
      </w:tr>
      <w:tr w14:paraId="51C6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0762B929">
            <w:pPr>
              <w:pStyle w:val="10"/>
              <w:numPr>
                <w:ilvl w:val="0"/>
                <w:numId w:val="0"/>
              </w:numPr>
              <w:spacing w:line="360" w:lineRule="auto"/>
              <w:ind w:leftChars="0"/>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19</w:t>
            </w:r>
          </w:p>
        </w:tc>
        <w:tc>
          <w:tcPr>
            <w:tcW w:w="1037" w:type="dxa"/>
            <w:gridSpan w:val="2"/>
            <w:vAlign w:val="center"/>
          </w:tcPr>
          <w:p w14:paraId="01DA3194">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用药指导</w:t>
            </w:r>
          </w:p>
        </w:tc>
        <w:tc>
          <w:tcPr>
            <w:tcW w:w="6430" w:type="dxa"/>
          </w:tcPr>
          <w:p w14:paraId="7EEFA618">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19.1</w:t>
            </w:r>
            <w:r>
              <w:rPr>
                <w:rFonts w:hint="eastAsia" w:asciiTheme="minorEastAsia" w:hAnsiTheme="minorEastAsia" w:eastAsiaTheme="minorEastAsia" w:cstheme="minorEastAsia"/>
                <w:color w:val="auto"/>
                <w:sz w:val="20"/>
                <w:szCs w:val="20"/>
                <w:highlight w:val="none"/>
              </w:rPr>
              <w:t>系统应支持自动生成用药指导单。</w:t>
            </w:r>
          </w:p>
          <w:p w14:paraId="5151218D">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19.2</w:t>
            </w:r>
            <w:r>
              <w:rPr>
                <w:rFonts w:hint="eastAsia" w:asciiTheme="minorEastAsia" w:hAnsiTheme="minorEastAsia" w:eastAsiaTheme="minorEastAsia" w:cstheme="minorEastAsia"/>
                <w:color w:val="auto"/>
                <w:sz w:val="20"/>
                <w:szCs w:val="20"/>
                <w:highlight w:val="none"/>
              </w:rPr>
              <w:t>系统应支持将用药指导单打印、发送给患者。</w:t>
            </w:r>
          </w:p>
        </w:tc>
      </w:tr>
      <w:tr w14:paraId="3D6B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92" w:type="dxa"/>
            <w:vAlign w:val="center"/>
          </w:tcPr>
          <w:p w14:paraId="237BEEAC">
            <w:pPr>
              <w:pStyle w:val="10"/>
              <w:numPr>
                <w:ilvl w:val="0"/>
                <w:numId w:val="0"/>
              </w:numPr>
              <w:spacing w:line="360" w:lineRule="auto"/>
              <w:ind w:leftChars="0"/>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20</w:t>
            </w:r>
          </w:p>
        </w:tc>
        <w:tc>
          <w:tcPr>
            <w:tcW w:w="1037" w:type="dxa"/>
            <w:gridSpan w:val="2"/>
            <w:vAlign w:val="center"/>
          </w:tcPr>
          <w:p w14:paraId="68F0C4A6">
            <w:p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统计分析</w:t>
            </w:r>
          </w:p>
        </w:tc>
        <w:tc>
          <w:tcPr>
            <w:tcW w:w="6430" w:type="dxa"/>
          </w:tcPr>
          <w:p w14:paraId="3EFA20E4">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系统应能根据药师工作内容生成以下报表：</w:t>
            </w:r>
          </w:p>
          <w:p w14:paraId="20D3B9F3">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20.1药物咨询管理</w:t>
            </w:r>
          </w:p>
          <w:p w14:paraId="323360D8">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1</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管理记录汇总</w:t>
            </w:r>
            <w:r>
              <w:rPr>
                <w:rFonts w:hint="eastAsia" w:asciiTheme="minorEastAsia" w:hAnsiTheme="minorEastAsia" w:cstheme="minorEastAsia"/>
                <w:color w:val="auto"/>
                <w:sz w:val="20"/>
                <w:szCs w:val="20"/>
                <w:highlight w:val="none"/>
                <w:lang w:val="en-US" w:eastAsia="zh-CN"/>
              </w:rPr>
              <w:t>；</w:t>
            </w:r>
          </w:p>
          <w:p w14:paraId="262F1ACD">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2</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管理记录趋势</w:t>
            </w:r>
            <w:r>
              <w:rPr>
                <w:rFonts w:hint="eastAsia" w:asciiTheme="minorEastAsia" w:hAnsiTheme="minorEastAsia" w:cstheme="minorEastAsia"/>
                <w:color w:val="auto"/>
                <w:sz w:val="20"/>
                <w:szCs w:val="20"/>
                <w:highlight w:val="none"/>
                <w:lang w:val="en-US" w:eastAsia="zh-CN"/>
              </w:rPr>
              <w:t>；</w:t>
            </w:r>
          </w:p>
          <w:p w14:paraId="04F35CA2">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20.2住院监护</w:t>
            </w:r>
          </w:p>
          <w:p w14:paraId="66A5EB98">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1</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医嘱审核汇总</w:t>
            </w:r>
          </w:p>
          <w:p w14:paraId="460744D7">
            <w:pPr>
              <w:rPr>
                <w:rFonts w:hint="eastAsia" w:asciiTheme="minorEastAsia" w:hAnsi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rPr>
              <w:t>应能按药师、科室、主管医生维度统计医嘱审核情况，如审核数、医嘱审核占比、不合理医嘱数等</w:t>
            </w:r>
            <w:r>
              <w:rPr>
                <w:rFonts w:hint="eastAsia" w:asciiTheme="minorEastAsia" w:hAnsiTheme="minorEastAsia" w:cstheme="minorEastAsia"/>
                <w:color w:val="auto"/>
                <w:sz w:val="20"/>
                <w:szCs w:val="20"/>
                <w:highlight w:val="none"/>
                <w:lang w:val="en-US" w:eastAsia="zh-CN"/>
              </w:rPr>
              <w:t>；</w:t>
            </w:r>
          </w:p>
          <w:p w14:paraId="4EAA3E6F">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2</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药学监护记录汇总</w:t>
            </w:r>
          </w:p>
          <w:p w14:paraId="61704157">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应能按药师、科室、全院维度统计药学监护各项记录数及全院趋势分析，包括但不限于监护计划/日志数、用药建议、药物重整数等。</w:t>
            </w:r>
          </w:p>
          <w:p w14:paraId="788C6491">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3</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出院病人药学监护统计</w:t>
            </w:r>
          </w:p>
          <w:p w14:paraId="5922AD59">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1）</w:t>
            </w:r>
            <w:r>
              <w:rPr>
                <w:rFonts w:hint="eastAsia" w:asciiTheme="minorEastAsia" w:hAnsiTheme="minorEastAsia" w:eastAsiaTheme="minorEastAsia" w:cstheme="minorEastAsia"/>
                <w:color w:val="auto"/>
                <w:sz w:val="20"/>
                <w:szCs w:val="20"/>
                <w:highlight w:val="none"/>
              </w:rPr>
              <w:t>药学监护病人清单表</w:t>
            </w:r>
          </w:p>
          <w:p w14:paraId="6D84E44A">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2）</w:t>
            </w:r>
            <w:r>
              <w:rPr>
                <w:rFonts w:hint="eastAsia" w:asciiTheme="minorEastAsia" w:hAnsiTheme="minorEastAsia" w:eastAsiaTheme="minorEastAsia" w:cstheme="minorEastAsia"/>
                <w:color w:val="auto"/>
                <w:sz w:val="20"/>
                <w:szCs w:val="20"/>
                <w:highlight w:val="none"/>
              </w:rPr>
              <w:t>科室药学监护病人数统计</w:t>
            </w:r>
          </w:p>
          <w:p w14:paraId="1A27AE2F">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rPr>
              <w:t>全院药学监护病人数统计</w:t>
            </w:r>
          </w:p>
          <w:p w14:paraId="128EA88A">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4</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用药建议原因分析</w:t>
            </w:r>
          </w:p>
          <w:p w14:paraId="03C46B54">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5</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用药建议发送分析</w:t>
            </w:r>
          </w:p>
          <w:p w14:paraId="15EEEA54">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6</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药物重整发送分析</w:t>
            </w:r>
          </w:p>
          <w:p w14:paraId="21BAFFEB">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7</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查房打卡汇总统计</w:t>
            </w:r>
          </w:p>
          <w:p w14:paraId="151E13E8">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20.3居家服务</w:t>
            </w:r>
          </w:p>
          <w:p w14:paraId="2DEADC3D">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1</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推荐清单处理量</w:t>
            </w:r>
          </w:p>
          <w:p w14:paraId="7D779C8B">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2</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不良反应统计</w:t>
            </w:r>
          </w:p>
          <w:p w14:paraId="52951474">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3</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药箱整理统计</w:t>
            </w:r>
          </w:p>
          <w:p w14:paraId="08034CC5">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4</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居家管理人次</w:t>
            </w:r>
          </w:p>
          <w:p w14:paraId="568BC354">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5</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居家监护统计</w:t>
            </w:r>
          </w:p>
          <w:p w14:paraId="76386ED6">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6</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随访问卷结果统计</w:t>
            </w:r>
          </w:p>
          <w:p w14:paraId="34A1B605">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7</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患者用药须知查询量统计</w:t>
            </w:r>
          </w:p>
          <w:p w14:paraId="416CB9CB">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20.4用药咨询</w:t>
            </w:r>
          </w:p>
          <w:p w14:paraId="6139DFE9">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1</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个人工作量统计</w:t>
            </w:r>
          </w:p>
          <w:p w14:paraId="64A4C014">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2</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问题类型统计</w:t>
            </w:r>
          </w:p>
          <w:p w14:paraId="6EA2607A">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3</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药理类别统计</w:t>
            </w:r>
          </w:p>
          <w:p w14:paraId="51F1435E">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20.5用药指导</w:t>
            </w:r>
          </w:p>
          <w:p w14:paraId="07B8C398">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1</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指导原因统计</w:t>
            </w:r>
          </w:p>
          <w:p w14:paraId="5FEF881A">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2</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药品统计</w:t>
            </w:r>
          </w:p>
          <w:p w14:paraId="75E327B9">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3</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药理类别统计</w:t>
            </w:r>
          </w:p>
          <w:p w14:paraId="5ADFE55D">
            <w:pPr>
              <w:pStyle w:val="10"/>
              <w:numPr>
                <w:ilvl w:val="0"/>
                <w:numId w:val="0"/>
              </w:numPr>
              <w:spacing w:line="36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4</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指导效果统计</w:t>
            </w:r>
          </w:p>
        </w:tc>
      </w:tr>
      <w:tr w14:paraId="6239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8359" w:type="dxa"/>
            <w:gridSpan w:val="4"/>
            <w:vAlign w:val="center"/>
          </w:tcPr>
          <w:p w14:paraId="5765F19B">
            <w:pPr>
              <w:pStyle w:val="5"/>
              <w:numPr>
                <w:ilvl w:val="0"/>
                <w:numId w:val="0"/>
              </w:numPr>
              <w:ind w:leftChars="0"/>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bCs/>
                <w:color w:val="auto"/>
                <w:sz w:val="20"/>
                <w:szCs w:val="20"/>
                <w:highlight w:val="none"/>
                <w:lang w:eastAsia="zh-CN"/>
              </w:rPr>
              <w:t>“合理用药信息支持系统网络”</w:t>
            </w:r>
            <w:r>
              <w:rPr>
                <w:rFonts w:hint="eastAsia" w:asciiTheme="minorEastAsia" w:hAnsiTheme="minorEastAsia" w:eastAsiaTheme="minorEastAsia" w:cstheme="minorEastAsia"/>
                <w:b/>
                <w:bCs/>
                <w:color w:val="auto"/>
                <w:sz w:val="20"/>
                <w:szCs w:val="20"/>
                <w:highlight w:val="none"/>
                <w:lang w:val="en-US" w:eastAsia="zh-CN"/>
              </w:rPr>
              <w:t>最新版</w:t>
            </w:r>
          </w:p>
        </w:tc>
      </w:tr>
      <w:tr w14:paraId="15FB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gridSpan w:val="2"/>
            <w:vAlign w:val="center"/>
          </w:tcPr>
          <w:p w14:paraId="68D897F2">
            <w:pPr>
              <w:pStyle w:val="10"/>
              <w:numPr>
                <w:ilvl w:val="0"/>
                <w:numId w:val="0"/>
              </w:numPr>
              <w:spacing w:line="360" w:lineRule="auto"/>
              <w:ind w:leftChars="0"/>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1</w:t>
            </w:r>
          </w:p>
        </w:tc>
        <w:tc>
          <w:tcPr>
            <w:tcW w:w="1018" w:type="dxa"/>
            <w:vAlign w:val="center"/>
          </w:tcPr>
          <w:p w14:paraId="352ACC25">
            <w:pPr>
              <w:jc w:val="center"/>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全库</w:t>
            </w:r>
          </w:p>
        </w:tc>
        <w:tc>
          <w:tcPr>
            <w:tcW w:w="6441" w:type="dxa"/>
            <w:gridSpan w:val="2"/>
            <w:vAlign w:val="center"/>
          </w:tcPr>
          <w:p w14:paraId="5A9DACF9">
            <w:pPr>
              <w:pStyle w:val="5"/>
              <w:numPr>
                <w:ilvl w:val="0"/>
                <w:numId w:val="0"/>
              </w:numPr>
              <w:ind w:leftChars="0"/>
              <w:jc w:val="center"/>
              <w:rPr>
                <w:rFonts w:hint="eastAsia" w:asciiTheme="minorEastAsia" w:hAnsiTheme="minorEastAsia" w:eastAsiaTheme="minorEastAsia" w:cstheme="minorEastAsia"/>
                <w:b w:val="0"/>
                <w:bCs w:val="0"/>
                <w:color w:val="auto"/>
                <w:sz w:val="20"/>
                <w:szCs w:val="20"/>
                <w:highlight w:val="none"/>
                <w:lang w:eastAsia="zh-CN"/>
              </w:rPr>
            </w:pPr>
            <w:r>
              <w:rPr>
                <w:rFonts w:hint="eastAsia" w:asciiTheme="minorEastAsia" w:hAnsiTheme="minorEastAsia" w:eastAsiaTheme="minorEastAsia" w:cstheme="minorEastAsia"/>
                <w:b w:val="0"/>
                <w:bCs w:val="0"/>
                <w:color w:val="auto"/>
                <w:sz w:val="20"/>
                <w:szCs w:val="20"/>
                <w:highlight w:val="none"/>
                <w:lang w:val="en-US" w:eastAsia="zh-CN"/>
              </w:rPr>
              <w:t>项目含</w:t>
            </w:r>
            <w:r>
              <w:rPr>
                <w:rFonts w:hint="eastAsia" w:asciiTheme="minorEastAsia" w:hAnsiTheme="minorEastAsia" w:eastAsiaTheme="minorEastAsia" w:cstheme="minorEastAsia"/>
                <w:b w:val="0"/>
                <w:bCs w:val="0"/>
                <w:color w:val="auto"/>
                <w:sz w:val="20"/>
                <w:szCs w:val="20"/>
                <w:highlight w:val="none"/>
                <w:lang w:eastAsia="zh-CN"/>
              </w:rPr>
              <w:t>三年使用权。</w:t>
            </w:r>
          </w:p>
        </w:tc>
      </w:tr>
    </w:tbl>
    <w:p w14:paraId="31A42A25">
      <w:pPr>
        <w:pStyle w:val="6"/>
        <w:bidi w:val="0"/>
        <w:ind w:left="0" w:leftChars="0" w:firstLine="48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2、对“系统”的其它要求</w:t>
      </w:r>
    </w:p>
    <w:tbl>
      <w:tblPr>
        <w:tblStyle w:val="12"/>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01"/>
        <w:gridCol w:w="6324"/>
      </w:tblGrid>
      <w:tr w14:paraId="1BFF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0" w:type="dxa"/>
            <w:gridSpan w:val="3"/>
          </w:tcPr>
          <w:p w14:paraId="642C4BA2">
            <w:pPr>
              <w:adjustRightInd w:val="0"/>
              <w:snapToGrid w:val="0"/>
              <w:rPr>
                <w:rFonts w:cs="宋体" w:asciiTheme="minorEastAsia" w:hAnsiTheme="minorEastAsia" w:eastAsiaTheme="minorEastAsia"/>
                <w:bCs/>
                <w:color w:val="auto"/>
                <w:sz w:val="20"/>
                <w:szCs w:val="20"/>
                <w:highlight w:val="none"/>
              </w:rPr>
            </w:pPr>
            <w:r>
              <w:rPr>
                <w:rFonts w:hint="eastAsia" w:cs="Times New Roman" w:asciiTheme="minorEastAsia" w:hAnsiTheme="minorEastAsia" w:eastAsiaTheme="minorEastAsia"/>
                <w:color w:val="auto"/>
                <w:sz w:val="20"/>
                <w:szCs w:val="20"/>
                <w:highlight w:val="none"/>
              </w:rPr>
              <w:t>对“系统”的其它要求</w:t>
            </w:r>
          </w:p>
        </w:tc>
      </w:tr>
      <w:tr w14:paraId="6D5D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04BCA300">
            <w:pPr>
              <w:pStyle w:val="10"/>
              <w:widowControl/>
              <w:numPr>
                <w:ilvl w:val="0"/>
                <w:numId w:val="0"/>
              </w:numPr>
              <w:adjustRightInd w:val="0"/>
              <w:snapToGrid w:val="0"/>
              <w:spacing w:line="360" w:lineRule="auto"/>
              <w:ind w:leftChars="0"/>
              <w:jc w:val="center"/>
              <w:rPr>
                <w:rFonts w:hint="eastAsia" w:cs="宋体" w:asciiTheme="minorEastAsia" w:hAnsiTheme="minorEastAsia" w:eastAsiaTheme="minorEastAsia"/>
                <w:bCs/>
                <w:color w:val="auto"/>
                <w:sz w:val="20"/>
                <w:szCs w:val="20"/>
                <w:highlight w:val="none"/>
                <w:lang w:val="en-US" w:eastAsia="zh-CN"/>
              </w:rPr>
            </w:pPr>
            <w:r>
              <w:rPr>
                <w:rFonts w:hint="eastAsia" w:cs="宋体" w:asciiTheme="minorEastAsia" w:hAnsiTheme="minorEastAsia"/>
                <w:bCs/>
                <w:color w:val="auto"/>
                <w:sz w:val="20"/>
                <w:szCs w:val="20"/>
                <w:highlight w:val="none"/>
                <w:lang w:val="en-US" w:eastAsia="zh-CN"/>
              </w:rPr>
              <w:t>1</w:t>
            </w:r>
          </w:p>
        </w:tc>
        <w:tc>
          <w:tcPr>
            <w:tcW w:w="1401" w:type="dxa"/>
            <w:vAlign w:val="center"/>
          </w:tcPr>
          <w:p w14:paraId="07133A54">
            <w:pPr>
              <w:adjustRightInd w:val="0"/>
              <w:snapToGrid w:val="0"/>
              <w:jc w:val="center"/>
              <w:rPr>
                <w:rFonts w:cs="宋体" w:asciiTheme="minorEastAsia" w:hAnsiTheme="minorEastAsia" w:eastAsiaTheme="minorEastAsia"/>
                <w:bCs/>
                <w:color w:val="auto"/>
                <w:sz w:val="20"/>
                <w:szCs w:val="20"/>
                <w:highlight w:val="none"/>
              </w:rPr>
            </w:pPr>
            <w:r>
              <w:rPr>
                <w:rFonts w:hint="eastAsia" w:cs="宋体" w:asciiTheme="minorEastAsia" w:hAnsiTheme="minorEastAsia" w:eastAsiaTheme="minorEastAsia"/>
                <w:bCs/>
                <w:color w:val="auto"/>
                <w:sz w:val="20"/>
                <w:szCs w:val="20"/>
                <w:highlight w:val="none"/>
              </w:rPr>
              <w:t>软件技术的要求</w:t>
            </w:r>
          </w:p>
        </w:tc>
        <w:tc>
          <w:tcPr>
            <w:tcW w:w="6324" w:type="dxa"/>
          </w:tcPr>
          <w:p w14:paraId="3F866E7D">
            <w:pPr>
              <w:pStyle w:val="10"/>
              <w:numPr>
                <w:ilvl w:val="0"/>
                <w:numId w:val="0"/>
              </w:numPr>
              <w:adjustRightInd w:val="0"/>
              <w:snapToGrid w:val="0"/>
              <w:spacing w:line="360" w:lineRule="auto"/>
              <w:ind w:leftChars="0"/>
              <w:rPr>
                <w:rFonts w:cs="宋体" w:asciiTheme="minorEastAsia" w:hAnsiTheme="minorEastAsia"/>
                <w:bCs/>
                <w:color w:val="auto"/>
                <w:sz w:val="20"/>
                <w:szCs w:val="20"/>
                <w:highlight w:val="none"/>
              </w:rPr>
            </w:pPr>
            <w:r>
              <w:rPr>
                <w:rFonts w:hint="eastAsia" w:cs="宋体" w:asciiTheme="minorEastAsia" w:hAnsiTheme="minorEastAsia"/>
                <w:bCs/>
                <w:color w:val="auto"/>
                <w:sz w:val="20"/>
                <w:szCs w:val="20"/>
                <w:highlight w:val="none"/>
                <w:lang w:val="en-US" w:eastAsia="zh-CN"/>
              </w:rPr>
              <w:t>1.1</w:t>
            </w:r>
            <w:r>
              <w:rPr>
                <w:rFonts w:hint="eastAsia" w:cs="宋体" w:asciiTheme="minorEastAsia" w:hAnsiTheme="minorEastAsia"/>
                <w:bCs/>
                <w:color w:val="auto"/>
                <w:sz w:val="20"/>
                <w:szCs w:val="20"/>
                <w:highlight w:val="none"/>
              </w:rPr>
              <w:t>与医院其它系统的集成：“系统”提供可集成到医院其它系统的标准接口，能在Win XP / Win 7 / Windows Vista简体中文操作系统平台上运行。</w:t>
            </w:r>
          </w:p>
          <w:p w14:paraId="6EFF72F5">
            <w:pPr>
              <w:pStyle w:val="10"/>
              <w:numPr>
                <w:ilvl w:val="0"/>
                <w:numId w:val="0"/>
              </w:numPr>
              <w:adjustRightInd w:val="0"/>
              <w:snapToGrid w:val="0"/>
              <w:spacing w:line="360" w:lineRule="auto"/>
              <w:ind w:leftChars="0"/>
              <w:rPr>
                <w:rFonts w:cs="宋体" w:asciiTheme="minorEastAsia" w:hAnsiTheme="minorEastAsia"/>
                <w:bCs/>
                <w:color w:val="auto"/>
                <w:sz w:val="20"/>
                <w:szCs w:val="20"/>
                <w:highlight w:val="none"/>
              </w:rPr>
            </w:pPr>
            <w:r>
              <w:rPr>
                <w:rFonts w:hint="eastAsia" w:cs="宋体" w:asciiTheme="minorEastAsia" w:hAnsiTheme="minorEastAsia"/>
                <w:bCs/>
                <w:color w:val="auto"/>
                <w:sz w:val="20"/>
                <w:szCs w:val="20"/>
                <w:highlight w:val="none"/>
                <w:lang w:val="en-US" w:eastAsia="zh-CN"/>
              </w:rPr>
              <w:t>1.2</w:t>
            </w:r>
            <w:r>
              <w:rPr>
                <w:rFonts w:hint="eastAsia" w:cs="宋体" w:asciiTheme="minorEastAsia" w:hAnsiTheme="minorEastAsia"/>
                <w:bCs/>
                <w:color w:val="auto"/>
                <w:sz w:val="20"/>
                <w:szCs w:val="20"/>
                <w:highlight w:val="none"/>
              </w:rPr>
              <w:t>使用要求：</w:t>
            </w:r>
            <w:r>
              <w:rPr>
                <w:rFonts w:hint="eastAsia" w:cs="宋体" w:asciiTheme="minorEastAsia" w:hAnsiTheme="minorEastAsia"/>
                <w:bCs/>
                <w:color w:val="auto"/>
                <w:sz w:val="20"/>
                <w:szCs w:val="20"/>
                <w:highlight w:val="none"/>
                <w:lang w:val="en-US" w:eastAsia="zh-CN"/>
              </w:rPr>
              <w:t>支持</w:t>
            </w:r>
            <w:r>
              <w:rPr>
                <w:rFonts w:hint="eastAsia" w:cs="宋体" w:asciiTheme="minorEastAsia" w:hAnsiTheme="minorEastAsia"/>
                <w:bCs/>
                <w:color w:val="auto"/>
                <w:sz w:val="20"/>
                <w:szCs w:val="20"/>
                <w:highlight w:val="none"/>
              </w:rPr>
              <w:t>相关功能进行个性化设置，无明显的并发延迟。</w:t>
            </w:r>
          </w:p>
        </w:tc>
      </w:tr>
      <w:tr w14:paraId="00E3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08A357BC">
            <w:pPr>
              <w:pStyle w:val="10"/>
              <w:widowControl/>
              <w:numPr>
                <w:ilvl w:val="0"/>
                <w:numId w:val="0"/>
              </w:numPr>
              <w:adjustRightInd w:val="0"/>
              <w:snapToGrid w:val="0"/>
              <w:spacing w:line="360" w:lineRule="auto"/>
              <w:ind w:leftChars="0"/>
              <w:jc w:val="center"/>
              <w:rPr>
                <w:rFonts w:hint="eastAsia" w:cs="宋体" w:asciiTheme="minorEastAsia" w:hAnsiTheme="minorEastAsia" w:eastAsiaTheme="minorEastAsia"/>
                <w:bCs/>
                <w:color w:val="auto"/>
                <w:sz w:val="20"/>
                <w:szCs w:val="20"/>
                <w:highlight w:val="none"/>
                <w:lang w:val="en-US" w:eastAsia="zh-CN"/>
              </w:rPr>
            </w:pPr>
            <w:r>
              <w:rPr>
                <w:rFonts w:hint="eastAsia" w:cs="宋体" w:asciiTheme="minorEastAsia" w:hAnsiTheme="minorEastAsia"/>
                <w:bCs/>
                <w:color w:val="auto"/>
                <w:sz w:val="20"/>
                <w:szCs w:val="20"/>
                <w:highlight w:val="none"/>
                <w:lang w:val="en-US" w:eastAsia="zh-CN"/>
              </w:rPr>
              <w:t>2</w:t>
            </w:r>
          </w:p>
        </w:tc>
        <w:tc>
          <w:tcPr>
            <w:tcW w:w="1401" w:type="dxa"/>
            <w:vAlign w:val="center"/>
          </w:tcPr>
          <w:p w14:paraId="3A691CFB">
            <w:pPr>
              <w:adjustRightInd w:val="0"/>
              <w:snapToGrid w:val="0"/>
              <w:jc w:val="center"/>
              <w:rPr>
                <w:rFonts w:hint="eastAsia"/>
                <w:b/>
                <w:bCs/>
                <w:color w:val="auto"/>
                <w:sz w:val="20"/>
                <w:szCs w:val="20"/>
                <w:highlight w:val="none"/>
                <w:lang w:val="en-US" w:eastAsia="zh-CN"/>
              </w:rPr>
            </w:pPr>
            <w:r>
              <w:rPr>
                <w:rFonts w:hint="eastAsia"/>
                <w:b/>
                <w:bCs/>
                <w:color w:val="auto"/>
                <w:sz w:val="20"/>
                <w:szCs w:val="20"/>
                <w:highlight w:val="none"/>
                <w:lang w:val="en-US" w:eastAsia="zh-CN"/>
              </w:rPr>
              <w:t>★备注</w:t>
            </w:r>
          </w:p>
          <w:p w14:paraId="70D30752">
            <w:pPr>
              <w:pStyle w:val="3"/>
              <w:ind w:left="0" w:leftChars="0" w:firstLine="0" w:firstLineChars="0"/>
              <w:jc w:val="center"/>
              <w:rPr>
                <w:rFonts w:hint="eastAsia"/>
                <w:b/>
                <w:bCs/>
                <w:color w:val="auto"/>
                <w:sz w:val="20"/>
                <w:szCs w:val="20"/>
                <w:highlight w:val="none"/>
                <w:lang w:val="en-US" w:eastAsia="zh-CN"/>
              </w:rPr>
            </w:pPr>
            <w:r>
              <w:rPr>
                <w:rFonts w:hint="eastAsia"/>
                <w:b/>
                <w:bCs/>
                <w:color w:val="auto"/>
                <w:sz w:val="20"/>
                <w:szCs w:val="20"/>
                <w:highlight w:val="none"/>
                <w:lang w:val="en-US" w:eastAsia="zh-CN"/>
              </w:rPr>
              <w:t>（提供服务</w:t>
            </w:r>
          </w:p>
          <w:p w14:paraId="2044DD33">
            <w:pPr>
              <w:pStyle w:val="3"/>
              <w:ind w:left="0" w:leftChars="0" w:firstLine="0" w:firstLineChars="0"/>
              <w:jc w:val="center"/>
              <w:rPr>
                <w:rFonts w:hint="eastAsia"/>
                <w:sz w:val="20"/>
                <w:szCs w:val="20"/>
              </w:rPr>
            </w:pPr>
            <w:r>
              <w:rPr>
                <w:rFonts w:hint="eastAsia"/>
                <w:b/>
                <w:bCs/>
                <w:color w:val="auto"/>
                <w:sz w:val="20"/>
                <w:szCs w:val="20"/>
                <w:highlight w:val="none"/>
                <w:lang w:val="en-US" w:eastAsia="zh-CN"/>
              </w:rPr>
              <w:t>承诺）</w:t>
            </w:r>
          </w:p>
        </w:tc>
        <w:tc>
          <w:tcPr>
            <w:tcW w:w="6324" w:type="dxa"/>
          </w:tcPr>
          <w:p w14:paraId="04C29FAB">
            <w:pPr>
              <w:pStyle w:val="6"/>
              <w:keepNext w:val="0"/>
              <w:keepLines w:val="0"/>
              <w:pageBreakBefore w:val="0"/>
              <w:widowControl w:val="0"/>
              <w:numPr>
                <w:ilvl w:val="0"/>
                <w:numId w:val="0"/>
              </w:numPr>
              <w:kinsoku/>
              <w:wordWrap w:val="0"/>
              <w:overflowPunct/>
              <w:topLinePunct w:val="0"/>
              <w:autoSpaceDE/>
              <w:autoSpaceDN/>
              <w:bidi w:val="0"/>
              <w:adjustRightInd w:val="0"/>
              <w:snapToGrid w:val="0"/>
              <w:textAlignment w:val="auto"/>
              <w:rPr>
                <w:rFonts w:hint="eastAsia"/>
                <w:b w:val="0"/>
                <w:bCs w:val="0"/>
                <w:color w:val="auto"/>
                <w:sz w:val="20"/>
                <w:szCs w:val="20"/>
                <w:highlight w:val="none"/>
                <w:lang w:val="en-US" w:eastAsia="zh-CN"/>
              </w:rPr>
            </w:pPr>
            <w:r>
              <w:rPr>
                <w:rFonts w:hint="eastAsia"/>
                <w:b w:val="0"/>
                <w:bCs w:val="0"/>
                <w:color w:val="auto"/>
                <w:sz w:val="20"/>
                <w:szCs w:val="20"/>
                <w:highlight w:val="none"/>
                <w:lang w:val="en-US" w:eastAsia="zh-CN"/>
              </w:rPr>
              <w:t>1.1根据院方管理及发展需求，质保期内如需与第三方系统对接，必须无条及无任何费用的情况下，提供相关接口对接开发并积极配合完成国产化部署相关工作等。</w:t>
            </w:r>
          </w:p>
          <w:p w14:paraId="324FE874">
            <w:pPr>
              <w:pStyle w:val="6"/>
              <w:keepNext w:val="0"/>
              <w:keepLines w:val="0"/>
              <w:pageBreakBefore w:val="0"/>
              <w:widowControl w:val="0"/>
              <w:numPr>
                <w:ilvl w:val="0"/>
                <w:numId w:val="0"/>
              </w:numPr>
              <w:kinsoku/>
              <w:wordWrap w:val="0"/>
              <w:overflowPunct/>
              <w:topLinePunct w:val="0"/>
              <w:autoSpaceDE/>
              <w:autoSpaceDN/>
              <w:bidi w:val="0"/>
              <w:adjustRightInd w:val="0"/>
              <w:snapToGrid w:val="0"/>
              <w:textAlignment w:val="auto"/>
              <w:rPr>
                <w:rFonts w:hint="eastAsia" w:cs="宋体" w:asciiTheme="minorEastAsia" w:hAnsiTheme="minorEastAsia"/>
                <w:bCs/>
                <w:color w:val="auto"/>
                <w:sz w:val="20"/>
                <w:szCs w:val="20"/>
                <w:highlight w:val="none"/>
              </w:rPr>
            </w:pPr>
            <w:r>
              <w:rPr>
                <w:rFonts w:hint="eastAsia"/>
                <w:b w:val="0"/>
                <w:bCs w:val="0"/>
                <w:color w:val="auto"/>
                <w:sz w:val="20"/>
                <w:szCs w:val="20"/>
                <w:highlight w:val="none"/>
                <w:lang w:val="en-US" w:eastAsia="zh-CN"/>
              </w:rPr>
              <w:t>1.2 根据使用科室的管理需求及使用过程中的个性化功能及报表等需求，必须无条及无任何费用的情况下积极配合实现完成。</w:t>
            </w:r>
          </w:p>
        </w:tc>
      </w:tr>
    </w:tbl>
    <w:p w14:paraId="35476984">
      <w:pPr>
        <w:rPr>
          <w:rFonts w:hint="eastAsia"/>
          <w:b/>
          <w:bCs/>
          <w:lang w:val="en-US" w:eastAsia="zh-CN"/>
        </w:rPr>
      </w:pPr>
      <w:r>
        <w:rPr>
          <w:rFonts w:hint="eastAsia"/>
          <w:b/>
          <w:bCs/>
          <w:lang w:val="en-US" w:eastAsia="zh-CN"/>
        </w:rPr>
        <w:br w:type="page"/>
      </w:r>
    </w:p>
    <w:p w14:paraId="036BC322">
      <w:pPr>
        <w:pStyle w:val="6"/>
        <w:keepNext w:val="0"/>
        <w:keepLines w:val="0"/>
        <w:pageBreakBefore w:val="0"/>
        <w:widowControl w:val="0"/>
        <w:kinsoku/>
        <w:wordWrap w:val="0"/>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（九）电子签名认证系统（CA）项目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128"/>
        <w:gridCol w:w="4301"/>
        <w:gridCol w:w="1064"/>
        <w:gridCol w:w="1176"/>
      </w:tblGrid>
      <w:tr w14:paraId="3FBF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CC149E1">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eastAsia="en-US" w:bidi="en-US"/>
              </w:rPr>
              <w:t>序号</w:t>
            </w:r>
          </w:p>
        </w:tc>
        <w:tc>
          <w:tcPr>
            <w:tcW w:w="1129" w:type="dxa"/>
            <w:vAlign w:val="center"/>
          </w:tcPr>
          <w:p w14:paraId="04EC6F2D">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eastAsia="en-US" w:bidi="en-US"/>
              </w:rPr>
              <w:t>产品名称</w:t>
            </w:r>
          </w:p>
        </w:tc>
        <w:tc>
          <w:tcPr>
            <w:tcW w:w="4306" w:type="dxa"/>
          </w:tcPr>
          <w:p w14:paraId="2EDEB12E">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技术参数</w:t>
            </w:r>
          </w:p>
        </w:tc>
        <w:tc>
          <w:tcPr>
            <w:tcW w:w="1065" w:type="dxa"/>
            <w:vAlign w:val="center"/>
          </w:tcPr>
          <w:p w14:paraId="24563CC6">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eastAsia="en-US" w:bidi="en-US"/>
              </w:rPr>
              <w:t>产品形态</w:t>
            </w:r>
          </w:p>
        </w:tc>
        <w:tc>
          <w:tcPr>
            <w:tcW w:w="1177" w:type="dxa"/>
            <w:vAlign w:val="center"/>
          </w:tcPr>
          <w:p w14:paraId="0D23840E">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数量/单位</w:t>
            </w:r>
          </w:p>
        </w:tc>
      </w:tr>
      <w:tr w14:paraId="42FF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36B1FD1">
            <w:pPr>
              <w:pStyle w:val="10"/>
              <w:numPr>
                <w:ilvl w:val="0"/>
                <w:numId w:val="0"/>
              </w:numPr>
              <w:ind w:leftChars="0"/>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1</w:t>
            </w:r>
          </w:p>
        </w:tc>
        <w:tc>
          <w:tcPr>
            <w:tcW w:w="1129" w:type="dxa"/>
            <w:vAlign w:val="center"/>
          </w:tcPr>
          <w:p w14:paraId="21E8FEDD">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协同签名服务器</w:t>
            </w:r>
          </w:p>
        </w:tc>
        <w:tc>
          <w:tcPr>
            <w:tcW w:w="4306" w:type="dxa"/>
          </w:tcPr>
          <w:p w14:paraId="11EBCA4B">
            <w:pPr>
              <w:pStyle w:val="10"/>
              <w:numPr>
                <w:ilvl w:val="0"/>
                <w:numId w:val="0"/>
              </w:numPr>
              <w:spacing w:line="240" w:lineRule="auto"/>
              <w:ind w:left="18"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1.</w:t>
            </w:r>
            <w:r>
              <w:rPr>
                <w:rFonts w:hint="eastAsia" w:asciiTheme="minorEastAsia" w:hAnsiTheme="minorEastAsia" w:eastAsiaTheme="minorEastAsia" w:cstheme="minorEastAsia"/>
                <w:color w:val="auto"/>
                <w:sz w:val="20"/>
                <w:szCs w:val="20"/>
                <w:highlight w:val="none"/>
              </w:rPr>
              <w:t>硬件规格：机架式设备；配置≥2*100/1000M自适应网口；内存≥2*8G，硬盘≥2*4T，双电源。支持</w:t>
            </w:r>
            <w:r>
              <w:rPr>
                <w:rFonts w:hint="eastAsia" w:asciiTheme="minorEastAsia" w:hAnsiTheme="minorEastAsia" w:eastAsiaTheme="minorEastAsia" w:cstheme="minorEastAsia"/>
                <w:color w:val="auto"/>
                <w:sz w:val="20"/>
                <w:szCs w:val="20"/>
                <w:highlight w:val="none"/>
                <w:lang w:val="en-US" w:eastAsia="zh-CN"/>
              </w:rPr>
              <w:t>不低于</w:t>
            </w:r>
            <w:r>
              <w:rPr>
                <w:rFonts w:hint="eastAsia" w:asciiTheme="minorEastAsia" w:hAnsiTheme="minorEastAsia" w:eastAsiaTheme="minorEastAsia" w:cstheme="minorEastAsia"/>
                <w:color w:val="auto"/>
                <w:sz w:val="20"/>
                <w:szCs w:val="20"/>
                <w:highlight w:val="none"/>
              </w:rPr>
              <w:t xml:space="preserve">鲲鹏920 </w:t>
            </w:r>
            <w:r>
              <w:rPr>
                <w:rFonts w:hint="eastAsia" w:asciiTheme="minorEastAsia" w:hAnsiTheme="minorEastAsia" w:eastAsiaTheme="minorEastAsia" w:cstheme="minorEastAsia"/>
                <w:color w:val="auto"/>
                <w:sz w:val="20"/>
                <w:szCs w:val="20"/>
                <w:highlight w:val="none"/>
                <w:lang w:val="en-US" w:eastAsia="zh-CN"/>
              </w:rPr>
              <w:t>性能的</w:t>
            </w:r>
            <w:r>
              <w:rPr>
                <w:rFonts w:hint="eastAsia" w:asciiTheme="minorEastAsia" w:hAnsiTheme="minorEastAsia" w:eastAsiaTheme="minorEastAsia" w:cstheme="minorEastAsia"/>
                <w:color w:val="auto"/>
                <w:sz w:val="20"/>
                <w:szCs w:val="20"/>
                <w:highlight w:val="none"/>
              </w:rPr>
              <w:t>处理器，</w:t>
            </w:r>
            <w:r>
              <w:rPr>
                <w:rFonts w:hint="eastAsia" w:asciiTheme="minorEastAsia" w:hAnsiTheme="minorEastAsia" w:eastAsiaTheme="minorEastAsia" w:cstheme="minorEastAsia"/>
                <w:color w:val="auto"/>
                <w:sz w:val="20"/>
                <w:szCs w:val="20"/>
                <w:highlight w:val="none"/>
                <w:lang w:val="en-US" w:eastAsia="zh-CN"/>
              </w:rPr>
              <w:t>国产</w:t>
            </w:r>
            <w:r>
              <w:rPr>
                <w:rFonts w:hint="eastAsia" w:asciiTheme="minorEastAsia" w:hAnsiTheme="minorEastAsia" w:eastAsiaTheme="minorEastAsia" w:cstheme="minorEastAsia"/>
                <w:color w:val="auto"/>
                <w:sz w:val="20"/>
                <w:szCs w:val="20"/>
                <w:highlight w:val="none"/>
              </w:rPr>
              <w:t>操作系统，性能：SM2 签名能力700TPS；</w:t>
            </w:r>
          </w:p>
          <w:p w14:paraId="78B92769">
            <w:pPr>
              <w:pStyle w:val="10"/>
              <w:numPr>
                <w:ilvl w:val="0"/>
                <w:numId w:val="0"/>
              </w:numPr>
              <w:spacing w:line="240" w:lineRule="auto"/>
              <w:ind w:left="18"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w:t>
            </w:r>
            <w:r>
              <w:rPr>
                <w:rFonts w:hint="eastAsia" w:asciiTheme="minorEastAsia" w:hAnsiTheme="minorEastAsia" w:eastAsiaTheme="minorEastAsia" w:cstheme="minorEastAsia"/>
                <w:color w:val="auto"/>
                <w:sz w:val="20"/>
                <w:szCs w:val="20"/>
                <w:highlight w:val="none"/>
              </w:rPr>
              <w:t>支持对接入应用的授权管理，支持可视化的用户管理、证书管理，实现数字证书得申请、更新、吊销等。</w:t>
            </w:r>
          </w:p>
          <w:p w14:paraId="37735F48">
            <w:pPr>
              <w:pStyle w:val="10"/>
              <w:numPr>
                <w:ilvl w:val="0"/>
                <w:numId w:val="0"/>
              </w:numPr>
              <w:spacing w:line="240" w:lineRule="auto"/>
              <w:ind w:left="18"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rPr>
              <w:t>提供restful API的形式接口与业务系统对接，产品提供对业务系统请求报文的真实性完整性校验。</w:t>
            </w:r>
          </w:p>
          <w:p w14:paraId="50A04EE7">
            <w:pPr>
              <w:pStyle w:val="10"/>
              <w:numPr>
                <w:ilvl w:val="0"/>
                <w:numId w:val="0"/>
              </w:numPr>
              <w:spacing w:line="240" w:lineRule="auto"/>
              <w:ind w:left="18"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rPr>
              <w:t>产品支持基于数字证书的安全认证登录管理功能，能实现多种角色管理，包括但不限于管理员、操作员、审计员等。</w:t>
            </w:r>
          </w:p>
          <w:p w14:paraId="4518F7A7">
            <w:pPr>
              <w:pStyle w:val="10"/>
              <w:numPr>
                <w:ilvl w:val="0"/>
                <w:numId w:val="0"/>
              </w:numPr>
              <w:spacing w:line="240" w:lineRule="auto"/>
              <w:ind w:left="18"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5.</w:t>
            </w:r>
            <w:r>
              <w:rPr>
                <w:rFonts w:hint="eastAsia" w:asciiTheme="minorEastAsia" w:hAnsiTheme="minorEastAsia" w:eastAsiaTheme="minorEastAsia" w:cstheme="minorEastAsia"/>
                <w:color w:val="auto"/>
                <w:sz w:val="20"/>
                <w:szCs w:val="20"/>
                <w:highlight w:val="none"/>
              </w:rPr>
              <w:t>支持基于服务端的签名任务发起和签名结果获取；基于协同密钥技术来实现移动端用户私钥的生成和使用。</w:t>
            </w:r>
          </w:p>
          <w:p w14:paraId="592F017B">
            <w:pPr>
              <w:pStyle w:val="10"/>
              <w:numPr>
                <w:ilvl w:val="0"/>
                <w:numId w:val="0"/>
              </w:numPr>
              <w:spacing w:line="240" w:lineRule="auto"/>
              <w:ind w:left="18"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6.</w:t>
            </w:r>
            <w:r>
              <w:rPr>
                <w:rFonts w:hint="eastAsia" w:asciiTheme="minorEastAsia" w:hAnsiTheme="minorEastAsia" w:eastAsiaTheme="minorEastAsia" w:cstheme="minorEastAsia"/>
                <w:color w:val="auto"/>
                <w:sz w:val="20"/>
                <w:szCs w:val="20"/>
                <w:highlight w:val="none"/>
              </w:rPr>
              <w:t>支持在统一页面实现对用户的集中管理，包括用户导入、用户新增、用户照片和签章图片导入、单个冻结和批量冻结、单个删除和批量删除、批量导出、签章样式自定义编辑等功能。。</w:t>
            </w:r>
          </w:p>
          <w:p w14:paraId="3F271C08">
            <w:pPr>
              <w:pStyle w:val="10"/>
              <w:numPr>
                <w:ilvl w:val="0"/>
                <w:numId w:val="0"/>
              </w:numPr>
              <w:spacing w:line="240" w:lineRule="auto"/>
              <w:ind w:left="18"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7.</w:t>
            </w:r>
            <w:r>
              <w:rPr>
                <w:rFonts w:hint="eastAsia" w:asciiTheme="minorEastAsia" w:hAnsiTheme="minorEastAsia" w:eastAsiaTheme="minorEastAsia" w:cstheme="minorEastAsia"/>
                <w:color w:val="auto"/>
                <w:sz w:val="20"/>
                <w:szCs w:val="20"/>
                <w:highlight w:val="none"/>
              </w:rPr>
              <w:t>支持在线、离线证书签发模式、日志及审计功能；支持用户量、签名量、证数量的统计分析。</w:t>
            </w:r>
          </w:p>
          <w:p w14:paraId="4D25AD5E">
            <w:pPr>
              <w:pStyle w:val="10"/>
              <w:numPr>
                <w:ilvl w:val="0"/>
                <w:numId w:val="0"/>
              </w:numPr>
              <w:spacing w:line="240" w:lineRule="auto"/>
              <w:ind w:left="18"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8.</w:t>
            </w:r>
            <w:r>
              <w:rPr>
                <w:rFonts w:hint="eastAsia" w:asciiTheme="minorEastAsia" w:hAnsiTheme="minorEastAsia" w:eastAsiaTheme="minorEastAsia" w:cstheme="minorEastAsia"/>
                <w:color w:val="auto"/>
                <w:sz w:val="20"/>
                <w:szCs w:val="20"/>
                <w:highlight w:val="none"/>
              </w:rPr>
              <w:t>支持管理员一键授权管理：能够在单一页面实现自由勾选功能模块对管理员进行权限分配，包括对用户管理功能的授权、对证书验证管理的授权、CSS高级配置的授权、系统设置的授权、日志的授权、配置管理的授权等。</w:t>
            </w:r>
          </w:p>
          <w:p w14:paraId="1865D832">
            <w:pPr>
              <w:pStyle w:val="10"/>
              <w:numPr>
                <w:ilvl w:val="0"/>
                <w:numId w:val="0"/>
              </w:numPr>
              <w:spacing w:line="240" w:lineRule="auto"/>
              <w:ind w:left="18"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9.</w:t>
            </w:r>
            <w:r>
              <w:rPr>
                <w:rFonts w:hint="eastAsia" w:asciiTheme="minorEastAsia" w:hAnsiTheme="minorEastAsia" w:eastAsiaTheme="minorEastAsia" w:cstheme="minorEastAsia"/>
                <w:color w:val="auto"/>
                <w:sz w:val="20"/>
                <w:szCs w:val="20"/>
                <w:highlight w:val="none"/>
              </w:rPr>
              <w:t>支持一人多设备、一设备多人的应用场景；支持授权签名：用户只需要使用手机在PC端完成一次授权即可多次签名，并可以关闭授权；支持推送签名：用户以推送的方式发起签名，签名者在手机端收到推送后直接完成签名；支持在签名任务中添加签名描述信息。</w:t>
            </w:r>
          </w:p>
          <w:p w14:paraId="43233FF5">
            <w:pPr>
              <w:pStyle w:val="10"/>
              <w:numPr>
                <w:ilvl w:val="0"/>
                <w:numId w:val="0"/>
              </w:numPr>
              <w:spacing w:line="240" w:lineRule="auto"/>
              <w:ind w:left="18"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10.</w:t>
            </w:r>
            <w:r>
              <w:rPr>
                <w:rFonts w:hint="eastAsia" w:asciiTheme="minorEastAsia" w:hAnsiTheme="minorEastAsia" w:eastAsiaTheme="minorEastAsia" w:cstheme="minorEastAsia"/>
                <w:color w:val="auto"/>
                <w:sz w:val="20"/>
                <w:szCs w:val="20"/>
                <w:highlight w:val="none"/>
              </w:rPr>
              <w:t>支持通过系统唯一用户标识绑定用户身份；支持通过接口添加用户信息，支持CRL配置和根证书配置，支持标准签名验证，能够与USBKey签名互通，支持证书有效性验证。</w:t>
            </w:r>
          </w:p>
          <w:p w14:paraId="5392314E">
            <w:pPr>
              <w:pStyle w:val="10"/>
              <w:numPr>
                <w:ilvl w:val="0"/>
                <w:numId w:val="0"/>
              </w:numPr>
              <w:spacing w:line="240" w:lineRule="auto"/>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en-US" w:eastAsia="zh-CN"/>
              </w:rPr>
              <w:t>11.</w:t>
            </w:r>
            <w:r>
              <w:rPr>
                <w:rFonts w:hint="eastAsia" w:asciiTheme="minorEastAsia" w:hAnsiTheme="minorEastAsia" w:eastAsiaTheme="minorEastAsia" w:cstheme="minorEastAsia"/>
                <w:color w:val="auto"/>
                <w:sz w:val="20"/>
                <w:szCs w:val="20"/>
                <w:highlight w:val="none"/>
              </w:rPr>
              <w:t>支持基于SM2密钥分割技术和协同签名技术实现电子签名功能</w:t>
            </w:r>
            <w:r>
              <w:rPr>
                <w:rFonts w:hint="eastAsia" w:asciiTheme="minorEastAsia" w:hAnsiTheme="minorEastAsia" w:eastAsiaTheme="minorEastAsia" w:cstheme="minorEastAsia"/>
                <w:color w:val="auto"/>
                <w:sz w:val="20"/>
                <w:szCs w:val="20"/>
                <w:highlight w:val="none"/>
                <w:lang w:eastAsia="zh-CN"/>
              </w:rPr>
              <w:t>。</w:t>
            </w:r>
          </w:p>
          <w:p w14:paraId="3694D1C6">
            <w:pPr>
              <w:pStyle w:val="10"/>
              <w:numPr>
                <w:ilvl w:val="0"/>
                <w:numId w:val="0"/>
              </w:numPr>
              <w:spacing w:line="240" w:lineRule="auto"/>
              <w:ind w:left="18" w:leftChars="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en-US" w:eastAsia="zh-CN"/>
              </w:rPr>
              <w:t>12.</w:t>
            </w:r>
            <w:r>
              <w:rPr>
                <w:rFonts w:hint="eastAsia" w:asciiTheme="minorEastAsia" w:hAnsiTheme="minorEastAsia" w:eastAsiaTheme="minorEastAsia" w:cstheme="minorEastAsia"/>
                <w:color w:val="auto"/>
                <w:sz w:val="20"/>
                <w:szCs w:val="20"/>
                <w:highlight w:val="none"/>
              </w:rPr>
              <w:t>支持扫码签名、推送签名、自动签名、授权自动签名功能</w:t>
            </w:r>
            <w:r>
              <w:rPr>
                <w:rFonts w:hint="eastAsia" w:asciiTheme="minorEastAsia" w:hAnsiTheme="minorEastAsia" w:eastAsiaTheme="minorEastAsia" w:cstheme="minorEastAsia"/>
                <w:color w:val="auto"/>
                <w:sz w:val="20"/>
                <w:szCs w:val="20"/>
                <w:highlight w:val="none"/>
                <w:lang w:eastAsia="zh-CN"/>
              </w:rPr>
              <w:t>。</w:t>
            </w:r>
          </w:p>
          <w:p w14:paraId="0A445D62">
            <w:pPr>
              <w:pStyle w:val="10"/>
              <w:numPr>
                <w:ilvl w:val="0"/>
                <w:numId w:val="0"/>
              </w:numPr>
              <w:spacing w:line="240" w:lineRule="auto"/>
              <w:ind w:left="18" w:leftChars="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en-US" w:eastAsia="zh-CN"/>
              </w:rPr>
              <w:t>13.</w:t>
            </w:r>
            <w:r>
              <w:rPr>
                <w:rFonts w:hint="eastAsia" w:asciiTheme="minorEastAsia" w:hAnsiTheme="minorEastAsia" w:eastAsiaTheme="minorEastAsia" w:cstheme="minorEastAsia"/>
                <w:color w:val="auto"/>
                <w:sz w:val="20"/>
                <w:szCs w:val="20"/>
                <w:highlight w:val="none"/>
              </w:rPr>
              <w:t>支持基于数字证书的个人电子签章、扫码签章、网页签章、PDF签章，支持移动端和管理端自定义配置签章图片功能</w:t>
            </w:r>
            <w:r>
              <w:rPr>
                <w:rFonts w:hint="eastAsia" w:asciiTheme="minorEastAsia" w:hAnsiTheme="minorEastAsia" w:eastAsiaTheme="minorEastAsia" w:cstheme="minorEastAsia"/>
                <w:color w:val="auto"/>
                <w:sz w:val="20"/>
                <w:szCs w:val="20"/>
                <w:highlight w:val="none"/>
                <w:lang w:eastAsia="zh-CN"/>
              </w:rPr>
              <w:t>。</w:t>
            </w:r>
          </w:p>
          <w:p w14:paraId="3B85DA78">
            <w:pPr>
              <w:pStyle w:val="10"/>
              <w:numPr>
                <w:ilvl w:val="0"/>
                <w:numId w:val="0"/>
              </w:numPr>
              <w:spacing w:line="240" w:lineRule="auto"/>
              <w:ind w:left="18" w:leftChars="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en-US" w:eastAsia="zh-CN"/>
              </w:rPr>
              <w:t>14.</w:t>
            </w:r>
            <w:r>
              <w:rPr>
                <w:rFonts w:hint="eastAsia" w:asciiTheme="minorEastAsia" w:hAnsiTheme="minorEastAsia" w:eastAsiaTheme="minorEastAsia" w:cstheme="minorEastAsia"/>
                <w:color w:val="auto"/>
                <w:sz w:val="20"/>
                <w:szCs w:val="20"/>
                <w:highlight w:val="none"/>
              </w:rPr>
              <w:t>移动端兼容APP（Android/IOS）、SDK、微信小程序、企业微信、钉钉小程序、H5小程序</w:t>
            </w:r>
            <w:r>
              <w:rPr>
                <w:rFonts w:hint="eastAsia" w:asciiTheme="minorEastAsia" w:hAnsiTheme="minorEastAsia" w:eastAsiaTheme="minorEastAsia" w:cstheme="minorEastAsia"/>
                <w:color w:val="auto"/>
                <w:sz w:val="20"/>
                <w:szCs w:val="20"/>
                <w:highlight w:val="none"/>
                <w:lang w:eastAsia="zh-CN"/>
              </w:rPr>
              <w:t>。</w:t>
            </w:r>
          </w:p>
          <w:p w14:paraId="51870454">
            <w:pPr>
              <w:pStyle w:val="10"/>
              <w:numPr>
                <w:ilvl w:val="0"/>
                <w:numId w:val="0"/>
              </w:numPr>
              <w:spacing w:line="240" w:lineRule="auto"/>
              <w:ind w:left="18" w:leftChars="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15.</w:t>
            </w:r>
            <w:r>
              <w:rPr>
                <w:rFonts w:hint="eastAsia" w:asciiTheme="minorEastAsia" w:hAnsiTheme="minorEastAsia" w:eastAsiaTheme="minorEastAsia" w:cstheme="minorEastAsia"/>
                <w:color w:val="auto"/>
                <w:sz w:val="20"/>
                <w:szCs w:val="20"/>
                <w:highlight w:val="none"/>
              </w:rPr>
              <w:t>提供证书签发、签名统计、统计报表功能，支持按时间/证书类型/科室/姓名进行查看、检索和导出功能</w:t>
            </w:r>
            <w:r>
              <w:rPr>
                <w:rFonts w:hint="eastAsia" w:asciiTheme="minorEastAsia" w:hAnsiTheme="minorEastAsia" w:eastAsiaTheme="minorEastAsia" w:cstheme="minorEastAsia"/>
                <w:color w:val="auto"/>
                <w:sz w:val="20"/>
                <w:szCs w:val="20"/>
                <w:highlight w:val="none"/>
                <w:lang w:eastAsia="zh-CN"/>
              </w:rPr>
              <w:t>。</w:t>
            </w:r>
          </w:p>
        </w:tc>
        <w:tc>
          <w:tcPr>
            <w:tcW w:w="1065" w:type="dxa"/>
            <w:vAlign w:val="center"/>
          </w:tcPr>
          <w:p w14:paraId="5C81B5EF">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软硬一体机</w:t>
            </w:r>
          </w:p>
        </w:tc>
        <w:tc>
          <w:tcPr>
            <w:tcW w:w="1177" w:type="dxa"/>
            <w:vAlign w:val="center"/>
          </w:tcPr>
          <w:p w14:paraId="34C160CD">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1台</w:t>
            </w:r>
          </w:p>
        </w:tc>
      </w:tr>
      <w:tr w14:paraId="67AC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F0527E4">
            <w:pPr>
              <w:pStyle w:val="10"/>
              <w:numPr>
                <w:ilvl w:val="0"/>
                <w:numId w:val="0"/>
              </w:numPr>
              <w:ind w:leftChars="0"/>
              <w:jc w:val="both"/>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2</w:t>
            </w:r>
          </w:p>
        </w:tc>
        <w:tc>
          <w:tcPr>
            <w:tcW w:w="1129" w:type="dxa"/>
            <w:vAlign w:val="center"/>
          </w:tcPr>
          <w:p w14:paraId="2F10E3B3">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移动端密码模块（APP/SDK/微信小程序）</w:t>
            </w:r>
          </w:p>
        </w:tc>
        <w:tc>
          <w:tcPr>
            <w:tcW w:w="4306" w:type="dxa"/>
          </w:tcPr>
          <w:p w14:paraId="6399917F">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1.</w:t>
            </w:r>
            <w:r>
              <w:rPr>
                <w:rFonts w:hint="eastAsia" w:asciiTheme="minorEastAsia" w:hAnsiTheme="minorEastAsia" w:eastAsiaTheme="minorEastAsia" w:cstheme="minorEastAsia"/>
                <w:color w:val="auto"/>
                <w:sz w:val="20"/>
                <w:szCs w:val="20"/>
                <w:highlight w:val="none"/>
              </w:rPr>
              <w:t>移动端提供SDK和APP两种形态模块。</w:t>
            </w:r>
          </w:p>
          <w:p w14:paraId="49298E12">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w:t>
            </w:r>
            <w:r>
              <w:rPr>
                <w:rFonts w:hint="eastAsia" w:asciiTheme="minorEastAsia" w:hAnsiTheme="minorEastAsia" w:eastAsiaTheme="minorEastAsia" w:cstheme="minorEastAsia"/>
                <w:color w:val="auto"/>
                <w:sz w:val="20"/>
                <w:szCs w:val="20"/>
                <w:highlight w:val="none"/>
              </w:rPr>
              <w:t>移动端支持基于激活码下载证书和扫码下载证书。</w:t>
            </w:r>
          </w:p>
          <w:p w14:paraId="1695885A">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rPr>
              <w:t>移动端支持基于签名任务id和扫码签名。</w:t>
            </w:r>
          </w:p>
          <w:p w14:paraId="2D84EBF9">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rPr>
              <w:t>移动端APP支持扫码签名、推送签名。</w:t>
            </w:r>
          </w:p>
          <w:p w14:paraId="177C30E4">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5.</w:t>
            </w:r>
            <w:r>
              <w:rPr>
                <w:rFonts w:hint="eastAsia" w:asciiTheme="minorEastAsia" w:hAnsiTheme="minorEastAsia" w:eastAsiaTheme="minorEastAsia" w:cstheme="minorEastAsia"/>
                <w:color w:val="auto"/>
                <w:sz w:val="20"/>
                <w:szCs w:val="20"/>
                <w:highlight w:val="none"/>
              </w:rPr>
              <w:t>移动端APP支持通过扫码或手动方式配置服务端。</w:t>
            </w:r>
          </w:p>
          <w:p w14:paraId="6FFFA64B">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6.</w:t>
            </w:r>
            <w:r>
              <w:rPr>
                <w:rFonts w:hint="eastAsia" w:asciiTheme="minorEastAsia" w:hAnsiTheme="minorEastAsia" w:eastAsiaTheme="minorEastAsia" w:cstheme="minorEastAsia"/>
                <w:color w:val="auto"/>
                <w:sz w:val="20"/>
                <w:szCs w:val="20"/>
                <w:highlight w:val="none"/>
              </w:rPr>
              <w:t>移动端SDK支持集中显示待签名文件列表，并且支持批量勾选文件进行签署。</w:t>
            </w:r>
          </w:p>
          <w:p w14:paraId="3B7D6AB5">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7.</w:t>
            </w:r>
            <w:r>
              <w:rPr>
                <w:rFonts w:hint="eastAsia" w:asciiTheme="minorEastAsia" w:hAnsiTheme="minorEastAsia" w:eastAsiaTheme="minorEastAsia" w:cstheme="minorEastAsia"/>
                <w:color w:val="auto"/>
                <w:sz w:val="20"/>
                <w:szCs w:val="20"/>
                <w:highlight w:val="none"/>
              </w:rPr>
              <w:t>移动端SDK支持传PIN码签名：支持通过传入PIN码的方式进行签名。</w:t>
            </w:r>
          </w:p>
          <w:p w14:paraId="32CC27F2">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8.</w:t>
            </w:r>
            <w:r>
              <w:rPr>
                <w:rFonts w:hint="eastAsia" w:asciiTheme="minorEastAsia" w:hAnsiTheme="minorEastAsia" w:eastAsiaTheme="minorEastAsia" w:cstheme="minorEastAsia"/>
                <w:color w:val="auto"/>
                <w:sz w:val="20"/>
                <w:szCs w:val="20"/>
                <w:highlight w:val="none"/>
              </w:rPr>
              <w:t>移动端支持通过PIN码或指纹进行认证后签名。</w:t>
            </w:r>
          </w:p>
          <w:p w14:paraId="01768683">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9.</w:t>
            </w:r>
            <w:r>
              <w:rPr>
                <w:rFonts w:hint="eastAsia" w:asciiTheme="minorEastAsia" w:hAnsiTheme="minorEastAsia" w:eastAsiaTheme="minorEastAsia" w:cstheme="minorEastAsia"/>
                <w:color w:val="auto"/>
                <w:sz w:val="20"/>
                <w:szCs w:val="20"/>
                <w:highlight w:val="none"/>
              </w:rPr>
              <w:t>移动端SDK支持开启和关闭指纹。</w:t>
            </w:r>
          </w:p>
          <w:p w14:paraId="4CF170F2">
            <w:pP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val="en-US" w:eastAsia="zh-CN"/>
              </w:rPr>
              <w:t>10.</w:t>
            </w:r>
            <w:r>
              <w:rPr>
                <w:rFonts w:hint="eastAsia" w:asciiTheme="minorEastAsia" w:hAnsiTheme="minorEastAsia" w:eastAsiaTheme="minorEastAsia" w:cstheme="minorEastAsia"/>
                <w:color w:val="auto"/>
                <w:sz w:val="20"/>
                <w:szCs w:val="20"/>
                <w:highlight w:val="none"/>
              </w:rPr>
              <w:t>支持Android4.4及以上版本；iOS8.0及以上版本。</w:t>
            </w:r>
          </w:p>
        </w:tc>
        <w:tc>
          <w:tcPr>
            <w:tcW w:w="1065" w:type="dxa"/>
            <w:vAlign w:val="center"/>
          </w:tcPr>
          <w:p w14:paraId="2545B3A6">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移动端软件</w:t>
            </w:r>
          </w:p>
        </w:tc>
        <w:tc>
          <w:tcPr>
            <w:tcW w:w="1177" w:type="dxa"/>
            <w:vAlign w:val="center"/>
          </w:tcPr>
          <w:p w14:paraId="246B055C">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1套</w:t>
            </w:r>
          </w:p>
        </w:tc>
      </w:tr>
      <w:tr w14:paraId="2AB2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D82B260">
            <w:pPr>
              <w:pStyle w:val="10"/>
              <w:numPr>
                <w:ilvl w:val="0"/>
                <w:numId w:val="0"/>
              </w:numPr>
              <w:ind w:leftChars="0"/>
              <w:jc w:val="both"/>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3</w:t>
            </w:r>
          </w:p>
        </w:tc>
        <w:tc>
          <w:tcPr>
            <w:tcW w:w="1129" w:type="dxa"/>
            <w:vAlign w:val="center"/>
          </w:tcPr>
          <w:p w14:paraId="11E632BA">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时间戳服务器</w:t>
            </w:r>
          </w:p>
        </w:tc>
        <w:tc>
          <w:tcPr>
            <w:tcW w:w="4306" w:type="dxa"/>
          </w:tcPr>
          <w:p w14:paraId="0B4D4904">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1.</w:t>
            </w:r>
            <w:r>
              <w:rPr>
                <w:rFonts w:hint="eastAsia" w:asciiTheme="minorEastAsia" w:hAnsiTheme="minorEastAsia" w:eastAsiaTheme="minorEastAsia" w:cstheme="minorEastAsia"/>
                <w:color w:val="auto"/>
                <w:sz w:val="20"/>
                <w:szCs w:val="20"/>
                <w:highlight w:val="none"/>
              </w:rPr>
              <w:t>硬件规格：国产化硬件平台适配，</w:t>
            </w:r>
            <w:r>
              <w:rPr>
                <w:rFonts w:hint="eastAsia" w:asciiTheme="minorEastAsia" w:hAnsiTheme="minorEastAsia" w:eastAsiaTheme="minorEastAsia" w:cstheme="minorEastAsia"/>
                <w:color w:val="auto"/>
                <w:sz w:val="20"/>
                <w:szCs w:val="20"/>
                <w:highlight w:val="none"/>
                <w:lang w:eastAsia="zh-CN"/>
              </w:rPr>
              <w:t>标准</w:t>
            </w:r>
            <w:r>
              <w:rPr>
                <w:rFonts w:hint="eastAsia" w:asciiTheme="minorEastAsia" w:hAnsiTheme="minorEastAsia" w:eastAsiaTheme="minorEastAsia" w:cstheme="minorEastAsia"/>
                <w:color w:val="auto"/>
                <w:sz w:val="20"/>
                <w:szCs w:val="20"/>
                <w:highlight w:val="none"/>
              </w:rPr>
              <w:t>机架式设备；≥2个100/1000M自适应网口；内存≥8G，硬盘≥4T，双电源。主要性能参数：SM2签名≥1万次/秒，验证5000次/秒。</w:t>
            </w:r>
          </w:p>
          <w:p w14:paraId="6EA9558D">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w:t>
            </w:r>
            <w:r>
              <w:rPr>
                <w:rFonts w:hint="eastAsia" w:asciiTheme="minorEastAsia" w:hAnsiTheme="minorEastAsia" w:eastAsiaTheme="minorEastAsia" w:cstheme="minorEastAsia"/>
                <w:color w:val="auto"/>
                <w:sz w:val="20"/>
                <w:szCs w:val="20"/>
                <w:highlight w:val="none"/>
              </w:rPr>
              <w:t>支持管理员配置功能。</w:t>
            </w:r>
          </w:p>
          <w:p w14:paraId="059AE7A7">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rPr>
              <w:t>支持多种时间戳服务接口，支持应用接口包含但不限于Java、C、COM。</w:t>
            </w:r>
          </w:p>
          <w:p w14:paraId="333672EA">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rPr>
              <w:t>支持可信时间发布功能，支持时间同步机制。</w:t>
            </w:r>
          </w:p>
          <w:p w14:paraId="15D0699D">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5.</w:t>
            </w:r>
            <w:r>
              <w:rPr>
                <w:rFonts w:hint="eastAsia" w:asciiTheme="minorEastAsia" w:hAnsiTheme="minorEastAsia" w:eastAsiaTheme="minorEastAsia" w:cstheme="minorEastAsia"/>
                <w:color w:val="auto"/>
                <w:sz w:val="20"/>
                <w:szCs w:val="20"/>
                <w:highlight w:val="none"/>
              </w:rPr>
              <w:t>支持各类应用开发平台调用，支持应用平台包括但不限于Windows server、 Linux、AIX、Solaris、Unix。</w:t>
            </w:r>
          </w:p>
          <w:p w14:paraId="49845AA6">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6.</w:t>
            </w:r>
            <w:r>
              <w:rPr>
                <w:rFonts w:hint="eastAsia" w:asciiTheme="minorEastAsia" w:hAnsiTheme="minorEastAsia" w:eastAsiaTheme="minorEastAsia" w:cstheme="minorEastAsia"/>
                <w:color w:val="auto"/>
                <w:sz w:val="20"/>
                <w:szCs w:val="20"/>
                <w:highlight w:val="none"/>
              </w:rPr>
              <w:t>支持算法标准：SM2、SM3。</w:t>
            </w:r>
          </w:p>
          <w:p w14:paraId="1A59FF03">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7.</w:t>
            </w:r>
            <w:r>
              <w:rPr>
                <w:rFonts w:hint="eastAsia" w:asciiTheme="minorEastAsia" w:hAnsiTheme="minorEastAsia" w:eastAsiaTheme="minorEastAsia" w:cstheme="minorEastAsia"/>
                <w:color w:val="auto"/>
                <w:sz w:val="20"/>
                <w:szCs w:val="20"/>
                <w:highlight w:val="none"/>
              </w:rPr>
              <w:t>提供备份恢复功能，支持通过证书对备份数据进行加密，通过验证证书口令解密实现备份数据恢复。</w:t>
            </w:r>
          </w:p>
          <w:p w14:paraId="735FF45E">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8.</w:t>
            </w:r>
            <w:r>
              <w:rPr>
                <w:rFonts w:hint="eastAsia" w:asciiTheme="minorEastAsia" w:hAnsiTheme="minorEastAsia" w:eastAsiaTheme="minorEastAsia" w:cstheme="minorEastAsia"/>
                <w:color w:val="auto"/>
                <w:sz w:val="20"/>
                <w:szCs w:val="20"/>
                <w:highlight w:val="none"/>
              </w:rPr>
              <w:t>提供时间源管理：支持GPS或北斗或4G授时方式。</w:t>
            </w:r>
          </w:p>
          <w:p w14:paraId="47BA7E3D">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9.</w:t>
            </w:r>
            <w:r>
              <w:rPr>
                <w:rFonts w:hint="eastAsia" w:asciiTheme="minorEastAsia" w:hAnsiTheme="minorEastAsia" w:eastAsiaTheme="minorEastAsia" w:cstheme="minorEastAsia"/>
                <w:color w:val="auto"/>
                <w:sz w:val="20"/>
                <w:szCs w:val="20"/>
                <w:highlight w:val="none"/>
              </w:rPr>
              <w:t>支持时间戳的签发及验证功能，提供时间戳服务接口，时间戳结构满足RFC3161/RFC2630/GM0033规范要求。</w:t>
            </w:r>
          </w:p>
          <w:p w14:paraId="148C6946">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10.支持</w:t>
            </w:r>
            <w:r>
              <w:rPr>
                <w:rFonts w:hint="eastAsia" w:asciiTheme="minorEastAsia" w:hAnsiTheme="minorEastAsia" w:eastAsiaTheme="minorEastAsia" w:cstheme="minorEastAsia"/>
                <w:color w:val="auto"/>
                <w:sz w:val="20"/>
                <w:szCs w:val="20"/>
                <w:highlight w:val="none"/>
              </w:rPr>
              <w:t>配置多CA签发的根证书，验证多CA签发的时间戳，支持CRL/LDAP验证方式。</w:t>
            </w:r>
          </w:p>
          <w:p w14:paraId="2B4ACE8D">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en-US" w:eastAsia="zh-CN"/>
              </w:rPr>
              <w:t>11.</w:t>
            </w:r>
            <w:r>
              <w:rPr>
                <w:rFonts w:hint="eastAsia" w:asciiTheme="minorEastAsia" w:hAnsiTheme="minorEastAsia" w:eastAsiaTheme="minorEastAsia" w:cstheme="minorEastAsia"/>
                <w:color w:val="auto"/>
                <w:sz w:val="20"/>
                <w:szCs w:val="20"/>
                <w:highlight w:val="none"/>
              </w:rPr>
              <w:t>支持时间源同步机制，支持NTP、SNTP同步方式</w:t>
            </w:r>
            <w:r>
              <w:rPr>
                <w:rFonts w:hint="eastAsia" w:asciiTheme="minorEastAsia" w:hAnsiTheme="minorEastAsia" w:eastAsiaTheme="minorEastAsia" w:cstheme="minorEastAsia"/>
                <w:color w:val="auto"/>
                <w:sz w:val="20"/>
                <w:szCs w:val="20"/>
                <w:highlight w:val="none"/>
                <w:lang w:eastAsia="zh-CN"/>
              </w:rPr>
              <w:t>。</w:t>
            </w:r>
          </w:p>
          <w:p w14:paraId="2E1CF9A0">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12.</w:t>
            </w:r>
            <w:r>
              <w:rPr>
                <w:rFonts w:hint="eastAsia" w:asciiTheme="minorEastAsia" w:hAnsiTheme="minorEastAsia" w:eastAsiaTheme="minorEastAsia" w:cstheme="minorEastAsia"/>
                <w:color w:val="auto"/>
                <w:sz w:val="20"/>
                <w:szCs w:val="20"/>
                <w:highlight w:val="none"/>
              </w:rPr>
              <w:t>支持分级权限管理模式。</w:t>
            </w:r>
          </w:p>
          <w:p w14:paraId="71958D92">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13.</w:t>
            </w:r>
            <w:r>
              <w:rPr>
                <w:rFonts w:hint="eastAsia" w:asciiTheme="minorEastAsia" w:hAnsiTheme="minorEastAsia" w:eastAsiaTheme="minorEastAsia" w:cstheme="minorEastAsia"/>
                <w:color w:val="auto"/>
                <w:sz w:val="20"/>
                <w:szCs w:val="20"/>
                <w:highlight w:val="none"/>
              </w:rPr>
              <w:t>支持通过管理界面进行应用管理、证书管理、系统配置以及日志查询等管理操作，支持通过web管理页面直接升级系统。</w:t>
            </w:r>
          </w:p>
          <w:p w14:paraId="0888827B">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14.</w:t>
            </w:r>
            <w:r>
              <w:rPr>
                <w:rFonts w:hint="eastAsia" w:asciiTheme="minorEastAsia" w:hAnsiTheme="minorEastAsia" w:eastAsiaTheme="minorEastAsia" w:cstheme="minorEastAsia"/>
                <w:color w:val="auto"/>
                <w:sz w:val="20"/>
                <w:szCs w:val="20"/>
                <w:highlight w:val="none"/>
              </w:rPr>
              <w:t>支持一键检测功能，包括服务接口检测（包含初始化获取随机数接口、创建时间戳请求接口、创建时间戳接口、验证时间戳接口）、加密卡检测和时间源检测，保证设备处于正常工作状态。</w:t>
            </w:r>
          </w:p>
          <w:p w14:paraId="20338000">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15.</w:t>
            </w:r>
            <w:r>
              <w:rPr>
                <w:rFonts w:hint="eastAsia" w:asciiTheme="minorEastAsia" w:hAnsiTheme="minorEastAsia" w:eastAsiaTheme="minorEastAsia" w:cstheme="minorEastAsia"/>
                <w:color w:val="auto"/>
                <w:sz w:val="20"/>
                <w:szCs w:val="20"/>
                <w:highlight w:val="none"/>
              </w:rPr>
              <w:t>提供备份恢复功能，支持通过证书对备份数据进行加密，通过验证证书口令解密实现备份数据恢复。</w:t>
            </w:r>
          </w:p>
          <w:p w14:paraId="685E7404">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val="en-US" w:eastAsia="zh-CN"/>
              </w:rPr>
              <w:t>16.</w:t>
            </w:r>
            <w:r>
              <w:rPr>
                <w:rFonts w:hint="eastAsia" w:asciiTheme="minorEastAsia" w:hAnsiTheme="minorEastAsia" w:eastAsiaTheme="minorEastAsia" w:cstheme="minorEastAsia"/>
                <w:color w:val="auto"/>
                <w:sz w:val="20"/>
                <w:szCs w:val="20"/>
                <w:highlight w:val="none"/>
              </w:rPr>
              <w:t>产品满足密码模块安全等级第二级相关要求。</w:t>
            </w:r>
          </w:p>
        </w:tc>
        <w:tc>
          <w:tcPr>
            <w:tcW w:w="1065" w:type="dxa"/>
            <w:vAlign w:val="center"/>
          </w:tcPr>
          <w:p w14:paraId="05523A98">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软硬一体机</w:t>
            </w:r>
          </w:p>
        </w:tc>
        <w:tc>
          <w:tcPr>
            <w:tcW w:w="1177" w:type="dxa"/>
            <w:vAlign w:val="center"/>
          </w:tcPr>
          <w:p w14:paraId="256F4859">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1台</w:t>
            </w:r>
          </w:p>
        </w:tc>
      </w:tr>
      <w:tr w14:paraId="4079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E43A7DD">
            <w:pPr>
              <w:pStyle w:val="10"/>
              <w:numPr>
                <w:ilvl w:val="0"/>
                <w:numId w:val="0"/>
              </w:numPr>
              <w:ind w:leftChars="0"/>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4</w:t>
            </w:r>
          </w:p>
        </w:tc>
        <w:tc>
          <w:tcPr>
            <w:tcW w:w="1129" w:type="dxa"/>
            <w:vAlign w:val="center"/>
          </w:tcPr>
          <w:p w14:paraId="21ED0C8E">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手写信息数字签名服务器</w:t>
            </w:r>
          </w:p>
        </w:tc>
        <w:tc>
          <w:tcPr>
            <w:tcW w:w="4306" w:type="dxa"/>
          </w:tcPr>
          <w:p w14:paraId="1BE5824A">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en-US" w:eastAsia="zh-CN"/>
              </w:rPr>
              <w:t>1.</w:t>
            </w:r>
            <w:r>
              <w:rPr>
                <w:rFonts w:hint="eastAsia" w:asciiTheme="minorEastAsia" w:hAnsiTheme="minorEastAsia" w:eastAsiaTheme="minorEastAsia" w:cstheme="minorEastAsia"/>
                <w:color w:val="auto"/>
                <w:sz w:val="20"/>
                <w:szCs w:val="20"/>
                <w:highlight w:val="none"/>
              </w:rPr>
              <w:t>硬件规格：国产化硬件平台适配，机架式设备；≥2*8G内存；≥1*4T硬盘；双电源；2*100/1000M网口；性能指标：基于SM2算法手写签名效率≥10</w:t>
            </w:r>
            <w:r>
              <w:rPr>
                <w:rFonts w:hint="eastAsia" w:asciiTheme="minorEastAsia" w:hAnsiTheme="minorEastAsia" w:eastAsiaTheme="minorEastAsia" w:cstheme="minorEastAsia"/>
                <w:color w:val="auto"/>
                <w:sz w:val="20"/>
                <w:szCs w:val="20"/>
                <w:highlight w:val="none"/>
                <w:lang w:val="en-US" w:eastAsia="zh-CN"/>
              </w:rPr>
              <w:t>0</w:t>
            </w:r>
            <w:r>
              <w:rPr>
                <w:rFonts w:hint="eastAsia" w:asciiTheme="minorEastAsia" w:hAnsiTheme="minorEastAsia" w:eastAsiaTheme="minorEastAsia" w:cstheme="minorEastAsia"/>
                <w:color w:val="auto"/>
                <w:sz w:val="20"/>
                <w:szCs w:val="20"/>
                <w:highlight w:val="none"/>
              </w:rPr>
              <w:t>000笔/小时</w:t>
            </w:r>
            <w:r>
              <w:rPr>
                <w:rFonts w:hint="eastAsia" w:asciiTheme="minorEastAsia" w:hAnsiTheme="minorEastAsia" w:eastAsiaTheme="minorEastAsia" w:cstheme="minorEastAsia"/>
                <w:color w:val="auto"/>
                <w:sz w:val="20"/>
                <w:szCs w:val="20"/>
                <w:highlight w:val="none"/>
                <w:lang w:eastAsia="zh-CN"/>
              </w:rPr>
              <w:t>。</w:t>
            </w:r>
          </w:p>
          <w:p w14:paraId="4B976DE3">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w:t>
            </w:r>
            <w:r>
              <w:rPr>
                <w:rFonts w:hint="eastAsia" w:asciiTheme="minorEastAsia" w:hAnsiTheme="minorEastAsia" w:eastAsiaTheme="minorEastAsia" w:cstheme="minorEastAsia"/>
                <w:color w:val="auto"/>
                <w:sz w:val="20"/>
                <w:szCs w:val="20"/>
                <w:highlight w:val="none"/>
              </w:rPr>
              <w:t>总体功能说明：通过输入、扫描、识别、鉴证等前端设备，采集无纸化单证及用户信息。通过数据处理模块实现PDF格式单证生成；使用数字签名技术，保证无纸化单证的安全、有效；数字签名所用的证书由第三方认证中心签发。</w:t>
            </w:r>
          </w:p>
          <w:p w14:paraId="53697B50">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3.支持</w:t>
            </w:r>
            <w:r>
              <w:rPr>
                <w:rFonts w:hint="eastAsia" w:asciiTheme="minorEastAsia" w:hAnsiTheme="minorEastAsia" w:eastAsiaTheme="minorEastAsia" w:cstheme="minorEastAsia"/>
                <w:color w:val="auto"/>
                <w:sz w:val="20"/>
                <w:szCs w:val="20"/>
                <w:highlight w:val="none"/>
              </w:rPr>
              <w:t>手写签名策略。</w:t>
            </w:r>
          </w:p>
          <w:p w14:paraId="03B40D20">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rPr>
              <w:t>支持通过手写数字签名终端，获取签名人手写签字笔迹，作为数字签名可视化展现效果图示。</w:t>
            </w:r>
          </w:p>
          <w:p w14:paraId="6E5ED3B0">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5.</w:t>
            </w:r>
            <w:r>
              <w:rPr>
                <w:rFonts w:hint="eastAsia" w:asciiTheme="minorEastAsia" w:hAnsiTheme="minorEastAsia" w:eastAsiaTheme="minorEastAsia" w:cstheme="minorEastAsia"/>
                <w:color w:val="auto"/>
                <w:sz w:val="20"/>
                <w:szCs w:val="20"/>
                <w:highlight w:val="none"/>
              </w:rPr>
              <w:t>支持终端用户个人手写签名和服务端单位签章，单位签章支持基于关键字签章和坐标签章。</w:t>
            </w:r>
          </w:p>
          <w:p w14:paraId="5EA9A057">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6.</w:t>
            </w:r>
            <w:r>
              <w:rPr>
                <w:rFonts w:hint="eastAsia" w:asciiTheme="minorEastAsia" w:hAnsiTheme="minorEastAsia" w:eastAsiaTheme="minorEastAsia" w:cstheme="minorEastAsia"/>
                <w:color w:val="auto"/>
                <w:sz w:val="20"/>
                <w:szCs w:val="20"/>
                <w:highlight w:val="none"/>
              </w:rPr>
              <w:t>支持SM2\SM3\SM4密码算法，使用SM2数字签名密码算法，对电子文书进行密码运算，保护电子文书的有效性、合法性。</w:t>
            </w:r>
          </w:p>
          <w:p w14:paraId="21C43EFF">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7.支持</w:t>
            </w:r>
            <w:r>
              <w:rPr>
                <w:rFonts w:hint="eastAsia" w:asciiTheme="minorEastAsia" w:hAnsiTheme="minorEastAsia" w:eastAsiaTheme="minorEastAsia" w:cstheme="minorEastAsia"/>
                <w:color w:val="auto"/>
                <w:sz w:val="20"/>
                <w:szCs w:val="20"/>
                <w:highlight w:val="none"/>
              </w:rPr>
              <w:t>具备文档保护功能，允许打印、允许复印和打印、全部禁止等保护功能。</w:t>
            </w:r>
          </w:p>
          <w:p w14:paraId="4D9F5825">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8.</w:t>
            </w:r>
            <w:r>
              <w:rPr>
                <w:rFonts w:hint="eastAsia" w:asciiTheme="minorEastAsia" w:hAnsiTheme="minorEastAsia" w:eastAsiaTheme="minorEastAsia" w:cstheme="minorEastAsia"/>
                <w:color w:val="auto"/>
                <w:sz w:val="20"/>
                <w:szCs w:val="20"/>
                <w:highlight w:val="none"/>
              </w:rPr>
              <w:t>支持运维监控。</w:t>
            </w:r>
          </w:p>
          <w:p w14:paraId="2A56C896">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9.</w:t>
            </w:r>
            <w:r>
              <w:rPr>
                <w:rFonts w:hint="eastAsia" w:asciiTheme="minorEastAsia" w:hAnsiTheme="minorEastAsia" w:eastAsiaTheme="minorEastAsia" w:cstheme="minorEastAsia"/>
                <w:color w:val="auto"/>
                <w:sz w:val="20"/>
                <w:szCs w:val="20"/>
                <w:highlight w:val="none"/>
              </w:rPr>
              <w:t>支持短信挑战码签名。</w:t>
            </w:r>
          </w:p>
          <w:p w14:paraId="572D9B91">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10.</w:t>
            </w:r>
            <w:r>
              <w:rPr>
                <w:rFonts w:hint="eastAsia" w:asciiTheme="minorEastAsia" w:hAnsiTheme="minorEastAsia" w:eastAsiaTheme="minorEastAsia" w:cstheme="minorEastAsia"/>
                <w:color w:val="auto"/>
                <w:sz w:val="20"/>
                <w:szCs w:val="20"/>
                <w:highlight w:val="none"/>
              </w:rPr>
              <w:t>支持一码一签。</w:t>
            </w:r>
          </w:p>
          <w:p w14:paraId="5F6DA592">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val="en-US" w:eastAsia="zh-CN"/>
              </w:rPr>
              <w:t>11.</w:t>
            </w:r>
            <w:r>
              <w:rPr>
                <w:rFonts w:hint="eastAsia" w:asciiTheme="minorEastAsia" w:hAnsiTheme="minorEastAsia" w:eastAsiaTheme="minorEastAsia" w:cstheme="minorEastAsia"/>
                <w:color w:val="auto"/>
                <w:sz w:val="20"/>
                <w:szCs w:val="20"/>
                <w:highlight w:val="none"/>
              </w:rPr>
              <w:t>支持骑缝章，能够选择相应签章规则和电子印章实现对电子文书的骑缝章签章。</w:t>
            </w:r>
          </w:p>
        </w:tc>
        <w:tc>
          <w:tcPr>
            <w:tcW w:w="1065" w:type="dxa"/>
            <w:vAlign w:val="center"/>
          </w:tcPr>
          <w:p w14:paraId="6EA422D6">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软硬一体机</w:t>
            </w:r>
          </w:p>
        </w:tc>
        <w:tc>
          <w:tcPr>
            <w:tcW w:w="1177" w:type="dxa"/>
            <w:vAlign w:val="center"/>
          </w:tcPr>
          <w:p w14:paraId="15A0C779">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1台</w:t>
            </w:r>
          </w:p>
        </w:tc>
      </w:tr>
      <w:tr w14:paraId="1DB3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CA8E663">
            <w:pPr>
              <w:pStyle w:val="10"/>
              <w:numPr>
                <w:ilvl w:val="0"/>
                <w:numId w:val="0"/>
              </w:numPr>
              <w:ind w:leftChars="0"/>
              <w:jc w:val="both"/>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5</w:t>
            </w:r>
          </w:p>
        </w:tc>
        <w:tc>
          <w:tcPr>
            <w:tcW w:w="1129" w:type="dxa"/>
            <w:vAlign w:val="center"/>
          </w:tcPr>
          <w:p w14:paraId="41145CAD">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患者手写数字签名板（有线）</w:t>
            </w:r>
          </w:p>
        </w:tc>
        <w:tc>
          <w:tcPr>
            <w:tcW w:w="4306" w:type="dxa"/>
          </w:tcPr>
          <w:p w14:paraId="26BA144D">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1.</w:t>
            </w:r>
            <w:r>
              <w:rPr>
                <w:rFonts w:hint="eastAsia" w:asciiTheme="minorEastAsia" w:hAnsiTheme="minorEastAsia" w:eastAsiaTheme="minorEastAsia" w:cstheme="minorEastAsia"/>
                <w:color w:val="auto"/>
                <w:sz w:val="20"/>
                <w:szCs w:val="20"/>
                <w:highlight w:val="none"/>
              </w:rPr>
              <w:t>LCD有源无线电磁压感手写数字签名板，内置安全密码芯片，实现手写生物特征采集后的数字签名密码运算；</w:t>
            </w:r>
          </w:p>
          <w:p w14:paraId="0A4F1F48">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w:t>
            </w:r>
            <w:r>
              <w:rPr>
                <w:rFonts w:hint="eastAsia" w:asciiTheme="minorEastAsia" w:hAnsiTheme="minorEastAsia" w:eastAsiaTheme="minorEastAsia" w:cstheme="minorEastAsia"/>
                <w:color w:val="auto"/>
                <w:sz w:val="20"/>
                <w:szCs w:val="20"/>
                <w:highlight w:val="none"/>
              </w:rPr>
              <w:t>采集签名人在LCD显示屏上的手写签名笔迹，并实时同步到软件界面上，实现签名人手写签名笔迹数据的可靠采集；</w:t>
            </w:r>
          </w:p>
          <w:p w14:paraId="56C5D43B">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3.支持</w:t>
            </w:r>
            <w:r>
              <w:rPr>
                <w:rFonts w:hint="eastAsia" w:asciiTheme="minorEastAsia" w:hAnsiTheme="minorEastAsia" w:eastAsiaTheme="minorEastAsia" w:cstheme="minorEastAsia"/>
                <w:color w:val="auto"/>
                <w:sz w:val="20"/>
                <w:szCs w:val="20"/>
                <w:highlight w:val="none"/>
              </w:rPr>
              <w:t>将PC界面在手写签名屏的屏幕上扩展显示；</w:t>
            </w:r>
          </w:p>
          <w:p w14:paraId="01CB2298">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4.支持</w:t>
            </w:r>
            <w:r>
              <w:rPr>
                <w:rFonts w:hint="eastAsia" w:asciiTheme="minorEastAsia" w:hAnsiTheme="minorEastAsia" w:eastAsiaTheme="minorEastAsia" w:cstheme="minorEastAsia"/>
                <w:color w:val="auto"/>
                <w:sz w:val="20"/>
                <w:szCs w:val="20"/>
                <w:highlight w:val="none"/>
              </w:rPr>
              <w:t>电磁压感响应技术，实现对签名人手写生物特征指纹的完整采集；</w:t>
            </w:r>
          </w:p>
          <w:p w14:paraId="586D3CC9">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5.</w:t>
            </w:r>
            <w:r>
              <w:rPr>
                <w:rFonts w:hint="eastAsia" w:asciiTheme="minorEastAsia" w:hAnsiTheme="minorEastAsia" w:eastAsiaTheme="minorEastAsia" w:cstheme="minorEastAsia"/>
                <w:color w:val="auto"/>
                <w:sz w:val="20"/>
                <w:szCs w:val="20"/>
                <w:highlight w:val="none"/>
              </w:rPr>
              <w:t>指纹采集模块，</w:t>
            </w:r>
            <w:r>
              <w:rPr>
                <w:rFonts w:hint="eastAsia" w:asciiTheme="minorEastAsia" w:hAnsiTheme="minorEastAsia" w:eastAsiaTheme="minorEastAsia" w:cstheme="minorEastAsia"/>
                <w:color w:val="auto"/>
                <w:sz w:val="20"/>
                <w:szCs w:val="20"/>
                <w:highlight w:val="none"/>
                <w:lang w:val="en-US" w:eastAsia="zh-CN"/>
              </w:rPr>
              <w:t>支持</w:t>
            </w:r>
            <w:r>
              <w:rPr>
                <w:rFonts w:hint="eastAsia" w:asciiTheme="minorEastAsia" w:hAnsiTheme="minorEastAsia" w:eastAsiaTheme="minorEastAsia" w:cstheme="minorEastAsia"/>
                <w:color w:val="auto"/>
                <w:sz w:val="20"/>
                <w:szCs w:val="20"/>
                <w:highlight w:val="none"/>
              </w:rPr>
              <w:t>在手写签名同时记录签名人指纹数据；</w:t>
            </w:r>
          </w:p>
          <w:p w14:paraId="7C596AA7">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6.</w:t>
            </w:r>
            <w:r>
              <w:rPr>
                <w:rFonts w:hint="eastAsia" w:asciiTheme="minorEastAsia" w:hAnsiTheme="minorEastAsia" w:eastAsiaTheme="minorEastAsia" w:cstheme="minorEastAsia"/>
                <w:color w:val="auto"/>
                <w:sz w:val="20"/>
                <w:szCs w:val="20"/>
                <w:highlight w:val="none"/>
              </w:rPr>
              <w:t>无线笔不需要电池供电，使用轻便；</w:t>
            </w:r>
          </w:p>
          <w:p w14:paraId="795CB30C">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7.</w:t>
            </w:r>
            <w:r>
              <w:rPr>
                <w:rFonts w:hint="eastAsia" w:asciiTheme="minorEastAsia" w:hAnsiTheme="minorEastAsia" w:eastAsiaTheme="minorEastAsia" w:cstheme="minorEastAsia"/>
                <w:color w:val="auto"/>
                <w:sz w:val="20"/>
                <w:szCs w:val="20"/>
                <w:highlight w:val="none"/>
              </w:rPr>
              <w:t>支持算法：SM2；</w:t>
            </w:r>
          </w:p>
          <w:p w14:paraId="274579C1">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8.</w:t>
            </w:r>
            <w:r>
              <w:rPr>
                <w:rFonts w:hint="eastAsia" w:asciiTheme="minorEastAsia" w:hAnsiTheme="minorEastAsia" w:eastAsiaTheme="minorEastAsia" w:cstheme="minorEastAsia"/>
                <w:color w:val="auto"/>
                <w:sz w:val="20"/>
                <w:szCs w:val="20"/>
                <w:highlight w:val="none"/>
              </w:rPr>
              <w:t>支持windows XP/vista/win7/Win8/Win10等操作系统；</w:t>
            </w:r>
          </w:p>
          <w:p w14:paraId="4983C381">
            <w:pP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val="en-US" w:eastAsia="zh-CN"/>
              </w:rPr>
              <w:t>9.</w:t>
            </w:r>
            <w:r>
              <w:rPr>
                <w:rFonts w:hint="eastAsia" w:asciiTheme="minorEastAsia" w:hAnsiTheme="minorEastAsia" w:eastAsiaTheme="minorEastAsia" w:cstheme="minorEastAsia"/>
                <w:color w:val="auto"/>
                <w:sz w:val="20"/>
                <w:szCs w:val="20"/>
                <w:highlight w:val="none"/>
              </w:rPr>
              <w:t>图像分辨率水平1280dpi,垂直800dpi</w:t>
            </w:r>
            <w:r>
              <w:rPr>
                <w:rFonts w:hint="eastAsia" w:asciiTheme="minorEastAsia" w:hAnsiTheme="minorEastAsia" w:eastAsiaTheme="minorEastAsia" w:cstheme="minorEastAsia"/>
                <w:color w:val="auto"/>
                <w:sz w:val="20"/>
                <w:szCs w:val="20"/>
                <w:highlight w:val="none"/>
                <w:lang w:eastAsia="zh-CN"/>
              </w:rPr>
              <w:t>。</w:t>
            </w:r>
          </w:p>
        </w:tc>
        <w:tc>
          <w:tcPr>
            <w:tcW w:w="1065" w:type="dxa"/>
            <w:vAlign w:val="center"/>
          </w:tcPr>
          <w:p w14:paraId="7BECB5BA">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硬件</w:t>
            </w:r>
          </w:p>
        </w:tc>
        <w:tc>
          <w:tcPr>
            <w:tcW w:w="1177" w:type="dxa"/>
            <w:vAlign w:val="center"/>
          </w:tcPr>
          <w:p w14:paraId="64E401C7">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12台</w:t>
            </w:r>
          </w:p>
        </w:tc>
      </w:tr>
      <w:tr w14:paraId="213C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DF4F972">
            <w:pPr>
              <w:pStyle w:val="10"/>
              <w:numPr>
                <w:ilvl w:val="0"/>
                <w:numId w:val="0"/>
              </w:numPr>
              <w:ind w:leftChars="0"/>
              <w:jc w:val="both"/>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6</w:t>
            </w:r>
          </w:p>
        </w:tc>
        <w:tc>
          <w:tcPr>
            <w:tcW w:w="1129" w:type="dxa"/>
            <w:vAlign w:val="center"/>
          </w:tcPr>
          <w:p w14:paraId="41BCC9C9">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个人数字证书</w:t>
            </w:r>
          </w:p>
        </w:tc>
        <w:tc>
          <w:tcPr>
            <w:tcW w:w="4306" w:type="dxa"/>
          </w:tcPr>
          <w:p w14:paraId="6ED544BB">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w:t>
            </w:r>
            <w:r>
              <w:rPr>
                <w:rFonts w:hint="eastAsia" w:asciiTheme="minorEastAsia" w:hAnsiTheme="minorEastAsia" w:eastAsiaTheme="minorEastAsia" w:cstheme="minorEastAsia"/>
                <w:color w:val="auto"/>
                <w:sz w:val="20"/>
                <w:szCs w:val="20"/>
                <w:highlight w:val="none"/>
              </w:rPr>
              <w:t>标示个人用户网络身份；</w:t>
            </w:r>
          </w:p>
          <w:p w14:paraId="72F6F0B9">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w:t>
            </w:r>
            <w:r>
              <w:rPr>
                <w:rFonts w:hint="eastAsia" w:asciiTheme="minorEastAsia" w:hAnsiTheme="minorEastAsia" w:eastAsiaTheme="minorEastAsia" w:cstheme="minorEastAsia"/>
                <w:color w:val="auto"/>
                <w:sz w:val="20"/>
                <w:szCs w:val="20"/>
                <w:highlight w:val="none"/>
              </w:rPr>
              <w:t>符合原卫生部《卫生系统数字证书格式规范（试行）》；</w:t>
            </w:r>
          </w:p>
          <w:p w14:paraId="05430959">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rPr>
              <w:t>符合原卫生部《卫生系统电子认证服务规范（试行）》；</w:t>
            </w:r>
          </w:p>
          <w:p w14:paraId="5D7DB265">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rPr>
              <w:t>证书格式标准遵循x．509v3标准；</w:t>
            </w:r>
          </w:p>
          <w:p w14:paraId="4DF8EAFD">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5.</w:t>
            </w:r>
            <w:r>
              <w:rPr>
                <w:rFonts w:hint="eastAsia" w:asciiTheme="minorEastAsia" w:hAnsiTheme="minorEastAsia" w:eastAsiaTheme="minorEastAsia" w:cstheme="minorEastAsia"/>
                <w:color w:val="auto"/>
                <w:sz w:val="20"/>
                <w:szCs w:val="20"/>
                <w:highlight w:val="none"/>
              </w:rPr>
              <w:t>支持自定义证书扩展域管理；</w:t>
            </w:r>
          </w:p>
          <w:p w14:paraId="6B00E158">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val="en-US" w:eastAsia="zh-CN"/>
              </w:rPr>
              <w:t>6.</w:t>
            </w:r>
            <w:r>
              <w:rPr>
                <w:rFonts w:hint="eastAsia" w:asciiTheme="minorEastAsia" w:hAnsiTheme="minorEastAsia" w:eastAsiaTheme="minorEastAsia" w:cstheme="minorEastAsia"/>
                <w:color w:val="auto"/>
                <w:sz w:val="20"/>
                <w:szCs w:val="20"/>
                <w:highlight w:val="none"/>
              </w:rPr>
              <w:t>证书包含</w:t>
            </w:r>
            <w:r>
              <w:rPr>
                <w:rFonts w:hint="eastAsia" w:asciiTheme="minorEastAsia" w:hAnsiTheme="minorEastAsia" w:eastAsiaTheme="minorEastAsia" w:cstheme="minorEastAsia"/>
                <w:color w:val="auto"/>
                <w:sz w:val="20"/>
                <w:szCs w:val="20"/>
                <w:highlight w:val="none"/>
                <w:lang w:val="en-US" w:eastAsia="zh-CN"/>
              </w:rPr>
              <w:t>三</w:t>
            </w:r>
            <w:r>
              <w:rPr>
                <w:rFonts w:hint="eastAsia" w:asciiTheme="minorEastAsia" w:hAnsiTheme="minorEastAsia" w:eastAsiaTheme="minorEastAsia" w:cstheme="minorEastAsia"/>
                <w:color w:val="auto"/>
                <w:sz w:val="20"/>
                <w:szCs w:val="20"/>
                <w:highlight w:val="none"/>
              </w:rPr>
              <w:t>年有效期</w:t>
            </w: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lang w:val="en-US" w:eastAsia="zh-CN"/>
              </w:rPr>
              <w:t>按年授权。</w:t>
            </w:r>
          </w:p>
        </w:tc>
        <w:tc>
          <w:tcPr>
            <w:tcW w:w="1065" w:type="dxa"/>
            <w:vAlign w:val="center"/>
          </w:tcPr>
          <w:p w14:paraId="5BD19C7D">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数字证书</w:t>
            </w:r>
          </w:p>
        </w:tc>
        <w:tc>
          <w:tcPr>
            <w:tcW w:w="1177" w:type="dxa"/>
            <w:vAlign w:val="center"/>
          </w:tcPr>
          <w:p w14:paraId="2BBE59DD">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400张/年</w:t>
            </w:r>
          </w:p>
        </w:tc>
      </w:tr>
      <w:tr w14:paraId="13E7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A0E1C92">
            <w:pPr>
              <w:pStyle w:val="10"/>
              <w:numPr>
                <w:ilvl w:val="0"/>
                <w:numId w:val="0"/>
              </w:numPr>
              <w:ind w:leftChars="0"/>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7</w:t>
            </w:r>
          </w:p>
        </w:tc>
        <w:tc>
          <w:tcPr>
            <w:tcW w:w="1129" w:type="dxa"/>
            <w:vAlign w:val="center"/>
          </w:tcPr>
          <w:p w14:paraId="0D04EF2D">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设备证书</w:t>
            </w:r>
          </w:p>
        </w:tc>
        <w:tc>
          <w:tcPr>
            <w:tcW w:w="4306" w:type="dxa"/>
          </w:tcPr>
          <w:p w14:paraId="6C4DEA66">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1.</w:t>
            </w:r>
            <w:r>
              <w:rPr>
                <w:rFonts w:hint="eastAsia" w:asciiTheme="minorEastAsia" w:hAnsiTheme="minorEastAsia" w:eastAsiaTheme="minorEastAsia" w:cstheme="minorEastAsia"/>
                <w:color w:val="auto"/>
                <w:sz w:val="20"/>
                <w:szCs w:val="20"/>
                <w:highlight w:val="none"/>
              </w:rPr>
              <w:t>标示设备用户网络身份；</w:t>
            </w:r>
          </w:p>
          <w:p w14:paraId="29764E40">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w:t>
            </w:r>
            <w:r>
              <w:rPr>
                <w:rFonts w:hint="eastAsia" w:asciiTheme="minorEastAsia" w:hAnsiTheme="minorEastAsia" w:eastAsiaTheme="minorEastAsia" w:cstheme="minorEastAsia"/>
                <w:color w:val="auto"/>
                <w:sz w:val="20"/>
                <w:szCs w:val="20"/>
                <w:highlight w:val="none"/>
              </w:rPr>
              <w:t>符合原卫生部《卫生系统数字证书格式规范（试行）》；</w:t>
            </w:r>
          </w:p>
          <w:p w14:paraId="5A7E4AEB">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rPr>
              <w:t>符合原卫生部《卫生系统电子认证服务规范（试行）》；</w:t>
            </w:r>
          </w:p>
          <w:p w14:paraId="17C85F9B">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rPr>
              <w:t>证书格式标准遵循x．509v3标准；</w:t>
            </w:r>
          </w:p>
          <w:p w14:paraId="11AB3012">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5.</w:t>
            </w:r>
            <w:r>
              <w:rPr>
                <w:rFonts w:hint="eastAsia" w:asciiTheme="minorEastAsia" w:hAnsiTheme="minorEastAsia" w:eastAsiaTheme="minorEastAsia" w:cstheme="minorEastAsia"/>
                <w:color w:val="auto"/>
                <w:sz w:val="20"/>
                <w:szCs w:val="20"/>
                <w:highlight w:val="none"/>
              </w:rPr>
              <w:t>支持自定义证书扩展域管理；</w:t>
            </w:r>
          </w:p>
          <w:p w14:paraId="7407F6D2">
            <w:pP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val="en-US" w:eastAsia="zh-CN"/>
              </w:rPr>
              <w:t>6.</w:t>
            </w:r>
            <w:r>
              <w:rPr>
                <w:rFonts w:hint="eastAsia" w:asciiTheme="minorEastAsia" w:hAnsiTheme="minorEastAsia" w:eastAsiaTheme="minorEastAsia" w:cstheme="minorEastAsia"/>
                <w:color w:val="auto"/>
                <w:sz w:val="20"/>
                <w:szCs w:val="20"/>
                <w:highlight w:val="none"/>
              </w:rPr>
              <w:t>证书包含</w:t>
            </w:r>
            <w:r>
              <w:rPr>
                <w:rFonts w:hint="eastAsia" w:asciiTheme="minorEastAsia" w:hAnsiTheme="minorEastAsia" w:eastAsiaTheme="minorEastAsia" w:cstheme="minorEastAsia"/>
                <w:color w:val="auto"/>
                <w:sz w:val="20"/>
                <w:szCs w:val="20"/>
                <w:highlight w:val="none"/>
                <w:lang w:val="en-US" w:eastAsia="zh-CN"/>
              </w:rPr>
              <w:t>三</w:t>
            </w:r>
            <w:r>
              <w:rPr>
                <w:rFonts w:hint="eastAsia" w:asciiTheme="minorEastAsia" w:hAnsiTheme="minorEastAsia" w:eastAsiaTheme="minorEastAsia" w:cstheme="minorEastAsia"/>
                <w:color w:val="auto"/>
                <w:sz w:val="20"/>
                <w:szCs w:val="20"/>
                <w:highlight w:val="none"/>
              </w:rPr>
              <w:t>年有效期</w:t>
            </w: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lang w:val="en-US" w:eastAsia="zh-CN"/>
              </w:rPr>
              <w:t>按年授权。</w:t>
            </w:r>
          </w:p>
        </w:tc>
        <w:tc>
          <w:tcPr>
            <w:tcW w:w="1065" w:type="dxa"/>
            <w:vAlign w:val="center"/>
          </w:tcPr>
          <w:p w14:paraId="14D1EE51">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数字证书</w:t>
            </w:r>
          </w:p>
        </w:tc>
        <w:tc>
          <w:tcPr>
            <w:tcW w:w="1177" w:type="dxa"/>
            <w:vAlign w:val="center"/>
          </w:tcPr>
          <w:p w14:paraId="4599388A">
            <w:pPr>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lang w:bidi="en-US"/>
              </w:rPr>
              <w:t>3张/年</w:t>
            </w:r>
          </w:p>
        </w:tc>
      </w:tr>
      <w:tr w14:paraId="1483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AAD98CB">
            <w:pPr>
              <w:pStyle w:val="10"/>
              <w:numPr>
                <w:ilvl w:val="0"/>
                <w:numId w:val="0"/>
              </w:numPr>
              <w:ind w:leftChars="0" w:firstLine="200" w:firstLineChars="100"/>
              <w:jc w:val="both"/>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8</w:t>
            </w:r>
          </w:p>
        </w:tc>
        <w:tc>
          <w:tcPr>
            <w:tcW w:w="1129" w:type="dxa"/>
            <w:vAlign w:val="center"/>
          </w:tcPr>
          <w:p w14:paraId="071C36F2">
            <w:pPr>
              <w:jc w:val="center"/>
              <w:rPr>
                <w:rFonts w:hint="eastAsia" w:asciiTheme="minorEastAsia" w:hAnsiTheme="minorEastAsia" w:eastAsiaTheme="minorEastAsia" w:cstheme="minorEastAsia"/>
                <w:color w:val="auto"/>
                <w:sz w:val="20"/>
                <w:szCs w:val="20"/>
                <w:highlight w:val="none"/>
                <w:lang w:bidi="en-US"/>
              </w:rPr>
            </w:pPr>
            <w:r>
              <w:rPr>
                <w:rFonts w:hint="eastAsia" w:asciiTheme="minorEastAsia" w:hAnsiTheme="minorEastAsia" w:eastAsiaTheme="minorEastAsia" w:cstheme="minorEastAsia"/>
                <w:color w:val="auto"/>
                <w:sz w:val="20"/>
                <w:szCs w:val="20"/>
                <w:highlight w:val="none"/>
                <w:lang w:bidi="en-US"/>
              </w:rPr>
              <w:t>患者签名认证服务</w:t>
            </w:r>
          </w:p>
        </w:tc>
        <w:tc>
          <w:tcPr>
            <w:tcW w:w="4306" w:type="dxa"/>
          </w:tcPr>
          <w:p w14:paraId="5CA00131">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1.支持</w:t>
            </w:r>
            <w:r>
              <w:rPr>
                <w:rFonts w:hint="eastAsia" w:asciiTheme="minorEastAsia" w:hAnsiTheme="minorEastAsia" w:eastAsiaTheme="minorEastAsia" w:cstheme="minorEastAsia"/>
                <w:color w:val="auto"/>
                <w:sz w:val="20"/>
                <w:szCs w:val="20"/>
                <w:highlight w:val="none"/>
              </w:rPr>
              <w:t>患者手写签名板的手写签名服务，按年度进行数字签名认证服务；</w:t>
            </w:r>
          </w:p>
          <w:p w14:paraId="2CCBDA15">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w:t>
            </w:r>
            <w:r>
              <w:rPr>
                <w:rFonts w:hint="eastAsia" w:asciiTheme="minorEastAsia" w:hAnsiTheme="minorEastAsia" w:eastAsiaTheme="minorEastAsia" w:cstheme="minorEastAsia"/>
                <w:color w:val="auto"/>
                <w:sz w:val="20"/>
                <w:szCs w:val="20"/>
                <w:highlight w:val="none"/>
              </w:rPr>
              <w:t>服务需包含维护检查、免费维修、签名效率校验；</w:t>
            </w:r>
          </w:p>
          <w:p w14:paraId="6F6CCD43">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rPr>
              <w:t>维护范围包括不限于签名设备的屏幕、电源稳定性、USB连接口、手写电磁笔等；</w:t>
            </w:r>
          </w:p>
          <w:p w14:paraId="7CEB2D46">
            <w:pPr>
              <w:pStyle w:val="10"/>
              <w:numPr>
                <w:ilvl w:val="0"/>
                <w:numId w:val="0"/>
              </w:numPr>
              <w:spacing w:line="240" w:lineRule="auto"/>
              <w:ind w:leftChars="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rPr>
              <w:t>提供设备维护手册；</w:t>
            </w:r>
          </w:p>
          <w:p w14:paraId="0264A96B">
            <w:pPr>
              <w:pStyle w:val="10"/>
              <w:numPr>
                <w:ilvl w:val="0"/>
                <w:numId w:val="0"/>
              </w:numPr>
              <w:spacing w:line="240" w:lineRule="auto"/>
              <w:ind w:leftChars="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color w:val="auto"/>
                <w:sz w:val="20"/>
                <w:szCs w:val="20"/>
                <w:highlight w:val="none"/>
                <w:lang w:val="en-US" w:eastAsia="zh-CN"/>
              </w:rPr>
              <w:t>5.</w:t>
            </w:r>
            <w:r>
              <w:rPr>
                <w:rFonts w:hint="eastAsia" w:asciiTheme="minorEastAsia" w:hAnsiTheme="minorEastAsia" w:eastAsiaTheme="minorEastAsia" w:cstheme="minorEastAsia"/>
                <w:color w:val="auto"/>
                <w:sz w:val="20"/>
                <w:szCs w:val="20"/>
                <w:highlight w:val="none"/>
              </w:rPr>
              <w:t>证书包含</w:t>
            </w:r>
            <w:r>
              <w:rPr>
                <w:rFonts w:hint="eastAsia" w:asciiTheme="minorEastAsia" w:hAnsiTheme="minorEastAsia" w:eastAsiaTheme="minorEastAsia" w:cstheme="minorEastAsia"/>
                <w:color w:val="auto"/>
                <w:sz w:val="20"/>
                <w:szCs w:val="20"/>
                <w:highlight w:val="none"/>
                <w:lang w:val="en-US" w:eastAsia="zh-CN"/>
              </w:rPr>
              <w:t>三</w:t>
            </w:r>
            <w:r>
              <w:rPr>
                <w:rFonts w:hint="eastAsia" w:asciiTheme="minorEastAsia" w:hAnsiTheme="minorEastAsia" w:eastAsiaTheme="minorEastAsia" w:cstheme="minorEastAsia"/>
                <w:color w:val="auto"/>
                <w:sz w:val="20"/>
                <w:szCs w:val="20"/>
                <w:highlight w:val="none"/>
              </w:rPr>
              <w:t>年有效期</w:t>
            </w: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lang w:val="en-US" w:eastAsia="zh-CN"/>
              </w:rPr>
              <w:t>按年授权。</w:t>
            </w:r>
          </w:p>
        </w:tc>
        <w:tc>
          <w:tcPr>
            <w:tcW w:w="1065" w:type="dxa"/>
            <w:shd w:val="clear" w:color="auto" w:fill="auto"/>
            <w:vAlign w:val="center"/>
          </w:tcPr>
          <w:p w14:paraId="074F1E0E">
            <w:pPr>
              <w:jc w:val="center"/>
              <w:rPr>
                <w:rFonts w:hint="eastAsia" w:asciiTheme="minorEastAsia" w:hAnsiTheme="minorEastAsia" w:eastAsiaTheme="minorEastAsia" w:cstheme="minorEastAsia"/>
                <w:color w:val="auto"/>
                <w:kern w:val="2"/>
                <w:sz w:val="20"/>
                <w:szCs w:val="20"/>
                <w:highlight w:val="none"/>
                <w:lang w:val="en-US" w:eastAsia="zh-CN" w:bidi="en-US"/>
              </w:rPr>
            </w:pPr>
            <w:r>
              <w:rPr>
                <w:rFonts w:hint="eastAsia" w:asciiTheme="minorEastAsia" w:hAnsiTheme="minorEastAsia" w:eastAsiaTheme="minorEastAsia" w:cstheme="minorEastAsia"/>
                <w:color w:val="auto"/>
                <w:sz w:val="20"/>
                <w:szCs w:val="20"/>
                <w:highlight w:val="none"/>
                <w:lang w:bidi="en-US"/>
              </w:rPr>
              <w:t>数字证书</w:t>
            </w:r>
          </w:p>
        </w:tc>
        <w:tc>
          <w:tcPr>
            <w:tcW w:w="1177" w:type="dxa"/>
            <w:shd w:val="clear" w:color="auto" w:fill="auto"/>
            <w:vAlign w:val="center"/>
          </w:tcPr>
          <w:p w14:paraId="2F4FFE18">
            <w:pPr>
              <w:jc w:val="center"/>
              <w:rPr>
                <w:rFonts w:hint="eastAsia" w:asciiTheme="minorEastAsia" w:hAnsiTheme="minorEastAsia" w:eastAsiaTheme="minorEastAsia" w:cstheme="minorEastAsia"/>
                <w:color w:val="auto"/>
                <w:kern w:val="2"/>
                <w:sz w:val="20"/>
                <w:szCs w:val="20"/>
                <w:highlight w:val="none"/>
                <w:lang w:val="en-US" w:eastAsia="zh-CN" w:bidi="en-US"/>
              </w:rPr>
            </w:pPr>
            <w:r>
              <w:rPr>
                <w:rFonts w:hint="eastAsia" w:asciiTheme="minorEastAsia" w:hAnsiTheme="minorEastAsia" w:eastAsiaTheme="minorEastAsia" w:cstheme="minorEastAsia"/>
                <w:color w:val="auto"/>
                <w:sz w:val="20"/>
                <w:szCs w:val="20"/>
                <w:highlight w:val="none"/>
                <w:lang w:bidi="en-US"/>
              </w:rPr>
              <w:t>12台/年</w:t>
            </w:r>
          </w:p>
        </w:tc>
      </w:tr>
    </w:tbl>
    <w:p w14:paraId="4AB2E4A5">
      <w:pPr>
        <w:keepNext w:val="0"/>
        <w:keepLines w:val="0"/>
        <w:pageBreakBefore w:val="0"/>
        <w:widowControl w:val="0"/>
        <w:kinsoku/>
        <w:wordWrap w:val="0"/>
        <w:overflowPunct/>
        <w:topLinePunct w:val="0"/>
        <w:autoSpaceDE/>
        <w:autoSpaceDN/>
        <w:bidi w:val="0"/>
        <w:adjustRightInd w:val="0"/>
        <w:snapToGrid w:val="0"/>
        <w:ind w:firstLine="482" w:firstLineChars="200"/>
        <w:jc w:val="both"/>
        <w:textAlignment w:val="auto"/>
        <w:rPr>
          <w:rFonts w:hint="eastAsia"/>
          <w:b/>
          <w:bCs/>
          <w:color w:val="auto"/>
          <w:highlight w:val="none"/>
          <w:lang w:val="en-US" w:eastAsia="zh-CN"/>
        </w:rPr>
      </w:pPr>
      <w:r>
        <w:rPr>
          <w:rFonts w:hint="eastAsia"/>
          <w:b/>
          <w:bCs/>
          <w:color w:val="auto"/>
          <w:highlight w:val="none"/>
          <w:lang w:val="en-US" w:eastAsia="zh-CN"/>
        </w:rPr>
        <w:t>★备注（提供服务承诺）：</w:t>
      </w:r>
    </w:p>
    <w:p w14:paraId="49D6DFA2">
      <w:pPr>
        <w:keepNext w:val="0"/>
        <w:keepLines w:val="0"/>
        <w:pageBreakBefore w:val="0"/>
        <w:widowControl w:val="0"/>
        <w:kinsoku/>
        <w:wordWrap w:val="0"/>
        <w:overflowPunct/>
        <w:topLinePunct w:val="0"/>
        <w:autoSpaceDE/>
        <w:autoSpaceDN/>
        <w:bidi w:val="0"/>
        <w:adjustRightInd w:val="0"/>
        <w:snapToGrid w:val="0"/>
        <w:ind w:firstLine="482" w:firstLineChars="200"/>
        <w:jc w:val="both"/>
        <w:textAlignment w:val="auto"/>
        <w:rPr>
          <w:rFonts w:hint="eastAsia"/>
          <w:b/>
          <w:bCs/>
          <w:color w:val="auto"/>
          <w:lang w:val="en-US" w:eastAsia="zh-CN"/>
        </w:rPr>
      </w:pPr>
      <w:r>
        <w:rPr>
          <w:rFonts w:hint="eastAsia"/>
          <w:b/>
          <w:bCs/>
          <w:color w:val="auto"/>
          <w:lang w:val="en-US" w:eastAsia="zh-CN"/>
        </w:rPr>
        <w:t>1、根据院方管理及发展需求，质保期内如需与第三方系统对接，必须无条及无任何费用的情况下提供相关接口并积极配合完成相关对接工作等。</w:t>
      </w:r>
    </w:p>
    <w:p w14:paraId="31638740">
      <w:pPr>
        <w:keepNext w:val="0"/>
        <w:keepLines w:val="0"/>
        <w:pageBreakBefore w:val="0"/>
        <w:widowControl w:val="0"/>
        <w:kinsoku/>
        <w:wordWrap w:val="0"/>
        <w:overflowPunct/>
        <w:topLinePunct w:val="0"/>
        <w:autoSpaceDE/>
        <w:autoSpaceDN/>
        <w:bidi w:val="0"/>
        <w:adjustRightInd w:val="0"/>
        <w:snapToGrid w:val="0"/>
        <w:ind w:firstLine="482" w:firstLineChars="200"/>
        <w:jc w:val="both"/>
        <w:textAlignment w:val="auto"/>
        <w:rPr>
          <w:rFonts w:hint="eastAsia"/>
          <w:b/>
          <w:bCs/>
          <w:color w:val="auto"/>
          <w:lang w:val="en-US" w:eastAsia="zh-CN"/>
        </w:rPr>
      </w:pPr>
      <w:r>
        <w:rPr>
          <w:rFonts w:hint="eastAsia"/>
          <w:b/>
          <w:bCs/>
          <w:color w:val="auto"/>
          <w:lang w:val="en-US" w:eastAsia="zh-CN"/>
        </w:rPr>
        <w:t>2、根据使用科室的管理需求及使用过程中的个性化功能及报表等需求，必须无条及无任何费用的情况下积极配合实现完成。</w:t>
      </w:r>
    </w:p>
    <w:p w14:paraId="6C2DDD7E">
      <w:pPr>
        <w:rPr>
          <w:rFonts w:hint="eastAsia"/>
          <w:b/>
          <w:bCs/>
          <w:lang w:val="en-US" w:eastAsia="zh-CN"/>
        </w:rPr>
      </w:pPr>
      <w:r>
        <w:rPr>
          <w:rFonts w:hint="eastAsia"/>
          <w:b/>
          <w:bCs/>
          <w:lang w:val="en-US" w:eastAsia="zh-CN"/>
        </w:rPr>
        <w:br w:type="page"/>
      </w:r>
    </w:p>
    <w:p w14:paraId="758092B3">
      <w:pPr>
        <w:pStyle w:val="6"/>
        <w:keepNext w:val="0"/>
        <w:keepLines w:val="0"/>
        <w:pageBreakBefore w:val="0"/>
        <w:widowControl w:val="0"/>
        <w:kinsoku/>
        <w:wordWrap w:val="0"/>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（十）公立医院绩效考核系统</w:t>
      </w:r>
    </w:p>
    <w:p w14:paraId="72CCE50F">
      <w:pPr>
        <w:pStyle w:val="6"/>
        <w:bidi w:val="0"/>
        <w:ind w:left="0" w:leftChars="0" w:firstLine="48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1.建设清单</w:t>
      </w:r>
    </w:p>
    <w:tbl>
      <w:tblPr>
        <w:tblStyle w:val="7"/>
        <w:tblW w:w="8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8"/>
        <w:gridCol w:w="1601"/>
        <w:gridCol w:w="3416"/>
        <w:gridCol w:w="885"/>
        <w:gridCol w:w="1195"/>
      </w:tblGrid>
      <w:tr w14:paraId="7C7F2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0FD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系统名称</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070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子系统</w:t>
            </w: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E8F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模块名称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33C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数量</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3E4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单位</w:t>
            </w:r>
          </w:p>
        </w:tc>
      </w:tr>
      <w:tr w14:paraId="025B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239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公立医院绩效考核系统</w:t>
            </w:r>
          </w:p>
        </w:tc>
        <w:tc>
          <w:tcPr>
            <w:tcW w:w="1601" w:type="dxa"/>
            <w:vMerge w:val="restart"/>
            <w:tcBorders>
              <w:top w:val="single" w:color="000000" w:sz="4" w:space="0"/>
              <w:left w:val="single" w:color="000000" w:sz="4" w:space="0"/>
              <w:right w:val="single" w:color="000000" w:sz="4" w:space="0"/>
            </w:tcBorders>
            <w:shd w:val="clear" w:color="auto" w:fill="auto"/>
            <w:noWrap/>
            <w:vAlign w:val="center"/>
          </w:tcPr>
          <w:p w14:paraId="50077CE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rPr>
              <w:t>医疗质量</w:t>
            </w:r>
            <w:r>
              <w:rPr>
                <w:rFonts w:hint="eastAsia" w:asciiTheme="minorEastAsia" w:hAnsiTheme="minorEastAsia" w:eastAsiaTheme="minorEastAsia" w:cstheme="minorEastAsia"/>
                <w:i w:val="0"/>
                <w:iCs w:val="0"/>
                <w:color w:val="000000"/>
                <w:sz w:val="20"/>
                <w:szCs w:val="20"/>
                <w:u w:val="none"/>
                <w:lang w:val="en-US" w:eastAsia="zh-CN"/>
              </w:rPr>
              <w:t>分析</w:t>
            </w: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866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▲功能定位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BB350F">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20E32D">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079D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80BE">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continue"/>
            <w:tcBorders>
              <w:left w:val="single" w:color="000000" w:sz="4" w:space="0"/>
              <w:right w:val="single" w:color="000000" w:sz="4" w:space="0"/>
            </w:tcBorders>
            <w:shd w:val="clear" w:color="auto" w:fill="auto"/>
            <w:noWrap/>
            <w:vAlign w:val="center"/>
          </w:tcPr>
          <w:p w14:paraId="11661221">
            <w:pPr>
              <w:spacing w:line="240" w:lineRule="auto"/>
              <w:jc w:val="center"/>
              <w:rPr>
                <w:rFonts w:hint="eastAsia" w:asciiTheme="minorEastAsia" w:hAnsiTheme="minorEastAsia" w:eastAsiaTheme="minorEastAsia" w:cstheme="minorEastAsia"/>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71A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质量安全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E965A9">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641DB8">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476D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228E">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continue"/>
            <w:tcBorders>
              <w:left w:val="single" w:color="000000" w:sz="4" w:space="0"/>
              <w:right w:val="single" w:color="000000" w:sz="4" w:space="0"/>
            </w:tcBorders>
            <w:shd w:val="clear" w:color="auto" w:fill="auto"/>
            <w:noWrap/>
            <w:vAlign w:val="center"/>
          </w:tcPr>
          <w:p w14:paraId="2C1B2E53">
            <w:pPr>
              <w:spacing w:line="240" w:lineRule="auto"/>
              <w:jc w:val="center"/>
              <w:rPr>
                <w:rFonts w:hint="eastAsia" w:asciiTheme="minorEastAsia" w:hAnsiTheme="minorEastAsia" w:eastAsiaTheme="minorEastAsia" w:cstheme="minorEastAsia"/>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F69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合理用药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7AB9C0">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1DAA53">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1EAD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4F26">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continue"/>
            <w:tcBorders>
              <w:left w:val="single" w:color="000000" w:sz="4" w:space="0"/>
              <w:bottom w:val="single" w:color="000000" w:sz="4" w:space="0"/>
              <w:right w:val="single" w:color="000000" w:sz="4" w:space="0"/>
            </w:tcBorders>
            <w:shd w:val="clear" w:color="auto" w:fill="auto"/>
            <w:noWrap/>
            <w:vAlign w:val="center"/>
          </w:tcPr>
          <w:p w14:paraId="5DDDF366">
            <w:pPr>
              <w:spacing w:line="240" w:lineRule="auto"/>
              <w:jc w:val="center"/>
              <w:rPr>
                <w:rFonts w:hint="eastAsia" w:asciiTheme="minorEastAsia" w:hAnsiTheme="minorEastAsia" w:eastAsiaTheme="minorEastAsia" w:cstheme="minorEastAsia"/>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88C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服务流程</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4D81F6">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DF1697">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6CD8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30EF">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restart"/>
            <w:tcBorders>
              <w:top w:val="single" w:color="000000" w:sz="4" w:space="0"/>
              <w:left w:val="single" w:color="000000" w:sz="4" w:space="0"/>
              <w:right w:val="single" w:color="000000" w:sz="4" w:space="0"/>
            </w:tcBorders>
            <w:shd w:val="clear" w:color="auto" w:fill="auto"/>
            <w:noWrap/>
            <w:vAlign w:val="center"/>
          </w:tcPr>
          <w:p w14:paraId="303D5ED8">
            <w:pPr>
              <w:spacing w:line="240" w:lineRule="auto"/>
              <w:jc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rPr>
              <w:t>运营效率</w:t>
            </w:r>
            <w:r>
              <w:rPr>
                <w:rFonts w:hint="eastAsia" w:asciiTheme="minorEastAsia" w:hAnsiTheme="minorEastAsia" w:eastAsiaTheme="minorEastAsia" w:cstheme="minorEastAsia"/>
                <w:i w:val="0"/>
                <w:iCs w:val="0"/>
                <w:color w:val="000000"/>
                <w:sz w:val="20"/>
                <w:szCs w:val="20"/>
                <w:u w:val="none"/>
                <w:lang w:val="en-US" w:eastAsia="zh-CN"/>
              </w:rPr>
              <w:t>分析</w:t>
            </w: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7DF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资源效率</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9085DB">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21AF31">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1FEB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BEE7">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continue"/>
            <w:tcBorders>
              <w:left w:val="single" w:color="000000" w:sz="4" w:space="0"/>
              <w:right w:val="single" w:color="000000" w:sz="4" w:space="0"/>
            </w:tcBorders>
            <w:shd w:val="clear" w:color="auto" w:fill="auto"/>
            <w:noWrap/>
            <w:vAlign w:val="center"/>
          </w:tcPr>
          <w:p w14:paraId="2681BCC5">
            <w:pPr>
              <w:spacing w:line="240" w:lineRule="auto"/>
              <w:jc w:val="center"/>
              <w:rPr>
                <w:rFonts w:hint="eastAsia" w:asciiTheme="minorEastAsia" w:hAnsiTheme="minorEastAsia" w:eastAsiaTheme="minorEastAsia" w:cstheme="minorEastAsia"/>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917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收支结构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618644">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E80BFB">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6E26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8CF9">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continue"/>
            <w:tcBorders>
              <w:left w:val="single" w:color="000000" w:sz="4" w:space="0"/>
              <w:right w:val="single" w:color="000000" w:sz="4" w:space="0"/>
            </w:tcBorders>
            <w:shd w:val="clear" w:color="auto" w:fill="auto"/>
            <w:noWrap/>
            <w:vAlign w:val="center"/>
          </w:tcPr>
          <w:p w14:paraId="029234F4">
            <w:pPr>
              <w:spacing w:line="240" w:lineRule="auto"/>
              <w:jc w:val="center"/>
              <w:rPr>
                <w:rFonts w:hint="eastAsia" w:asciiTheme="minorEastAsia" w:hAnsiTheme="minorEastAsia" w:eastAsiaTheme="minorEastAsia" w:cstheme="minorEastAsia"/>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923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费用控制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2D826C">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D68849">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181C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259E">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continue"/>
            <w:tcBorders>
              <w:left w:val="single" w:color="000000" w:sz="4" w:space="0"/>
              <w:bottom w:val="single" w:color="000000" w:sz="4" w:space="0"/>
              <w:right w:val="single" w:color="000000" w:sz="4" w:space="0"/>
            </w:tcBorders>
            <w:shd w:val="clear" w:color="auto" w:fill="auto"/>
            <w:noWrap/>
            <w:vAlign w:val="center"/>
          </w:tcPr>
          <w:p w14:paraId="06E87E3B">
            <w:pPr>
              <w:spacing w:line="240" w:lineRule="auto"/>
              <w:jc w:val="center"/>
              <w:rPr>
                <w:rFonts w:hint="eastAsia" w:asciiTheme="minorEastAsia" w:hAnsiTheme="minorEastAsia" w:eastAsiaTheme="minorEastAsia" w:cstheme="minorEastAsia"/>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12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经济管理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C1ACD9">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686326">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10A0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09D3">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restart"/>
            <w:tcBorders>
              <w:top w:val="single" w:color="000000" w:sz="4" w:space="0"/>
              <w:left w:val="single" w:color="000000" w:sz="4" w:space="0"/>
              <w:right w:val="single" w:color="000000" w:sz="4" w:space="0"/>
            </w:tcBorders>
            <w:shd w:val="clear" w:color="auto" w:fill="auto"/>
            <w:noWrap/>
            <w:vAlign w:val="center"/>
          </w:tcPr>
          <w:p w14:paraId="24ED5869">
            <w:pPr>
              <w:spacing w:line="240" w:lineRule="auto"/>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sz w:val="20"/>
                <w:szCs w:val="20"/>
                <w:u w:val="none"/>
              </w:rPr>
              <w:t>持续发展</w:t>
            </w:r>
            <w:r>
              <w:rPr>
                <w:rFonts w:hint="eastAsia" w:asciiTheme="minorEastAsia" w:hAnsiTheme="minorEastAsia" w:eastAsiaTheme="minorEastAsia" w:cstheme="minorEastAsia"/>
                <w:i w:val="0"/>
                <w:iCs w:val="0"/>
                <w:color w:val="000000"/>
                <w:sz w:val="20"/>
                <w:szCs w:val="20"/>
                <w:u w:val="none"/>
                <w:lang w:val="en-US" w:eastAsia="zh-CN"/>
              </w:rPr>
              <w:t>分析</w:t>
            </w: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DC5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人员结构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0E0118">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07B059">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3F61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F7FE">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continue"/>
            <w:tcBorders>
              <w:left w:val="single" w:color="000000" w:sz="4" w:space="0"/>
              <w:right w:val="single" w:color="000000" w:sz="4" w:space="0"/>
            </w:tcBorders>
            <w:shd w:val="clear" w:color="auto" w:fill="auto"/>
            <w:noWrap/>
            <w:vAlign w:val="center"/>
          </w:tcPr>
          <w:p w14:paraId="522E61F8">
            <w:pPr>
              <w:spacing w:line="240" w:lineRule="auto"/>
              <w:jc w:val="center"/>
              <w:rPr>
                <w:rFonts w:hint="eastAsia" w:asciiTheme="minorEastAsia" w:hAnsiTheme="minorEastAsia" w:eastAsiaTheme="minorEastAsia" w:cstheme="minorEastAsia"/>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E77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人才培养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22E99C">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8FE8A9">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5918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C280">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continue"/>
            <w:tcBorders>
              <w:left w:val="single" w:color="000000" w:sz="4" w:space="0"/>
              <w:right w:val="single" w:color="000000" w:sz="4" w:space="0"/>
            </w:tcBorders>
            <w:shd w:val="clear" w:color="auto" w:fill="auto"/>
            <w:noWrap/>
            <w:vAlign w:val="center"/>
          </w:tcPr>
          <w:p w14:paraId="254D13DE">
            <w:pPr>
              <w:spacing w:line="240" w:lineRule="auto"/>
              <w:jc w:val="center"/>
              <w:rPr>
                <w:rFonts w:hint="eastAsia" w:asciiTheme="minorEastAsia" w:hAnsiTheme="minorEastAsia" w:eastAsiaTheme="minorEastAsia" w:cstheme="minorEastAsia"/>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B4C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学科建设</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CB1C6A">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E8A1D8">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637B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12DD">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continue"/>
            <w:tcBorders>
              <w:left w:val="single" w:color="000000" w:sz="4" w:space="0"/>
              <w:bottom w:val="single" w:color="000000" w:sz="4" w:space="0"/>
              <w:right w:val="single" w:color="000000" w:sz="4" w:space="0"/>
            </w:tcBorders>
            <w:shd w:val="clear" w:color="auto" w:fill="auto"/>
            <w:noWrap/>
            <w:vAlign w:val="center"/>
          </w:tcPr>
          <w:p w14:paraId="51850180">
            <w:pPr>
              <w:spacing w:line="240" w:lineRule="auto"/>
              <w:jc w:val="center"/>
              <w:rPr>
                <w:rFonts w:hint="eastAsia" w:asciiTheme="minorEastAsia" w:hAnsiTheme="minorEastAsia" w:eastAsiaTheme="minorEastAsia" w:cstheme="minorEastAsia"/>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66E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信用建设</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01DCC4">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D53680">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2C3B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72B1">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restart"/>
            <w:tcBorders>
              <w:top w:val="single" w:color="000000" w:sz="4" w:space="0"/>
              <w:left w:val="single" w:color="000000" w:sz="4" w:space="0"/>
              <w:right w:val="single" w:color="000000" w:sz="4" w:space="0"/>
            </w:tcBorders>
            <w:shd w:val="clear" w:color="auto" w:fill="auto"/>
            <w:noWrap/>
            <w:vAlign w:val="center"/>
          </w:tcPr>
          <w:p w14:paraId="5520430E">
            <w:pPr>
              <w:spacing w:line="240" w:lineRule="auto"/>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sz w:val="20"/>
                <w:szCs w:val="20"/>
                <w:u w:val="none"/>
              </w:rPr>
              <w:t>满意度评价</w:t>
            </w:r>
            <w:r>
              <w:rPr>
                <w:rFonts w:hint="eastAsia" w:asciiTheme="minorEastAsia" w:hAnsiTheme="minorEastAsia" w:eastAsiaTheme="minorEastAsia" w:cstheme="minorEastAsia"/>
                <w:i w:val="0"/>
                <w:iCs w:val="0"/>
                <w:color w:val="000000"/>
                <w:sz w:val="20"/>
                <w:szCs w:val="20"/>
                <w:u w:val="none"/>
                <w:lang w:val="en-US" w:eastAsia="zh-CN"/>
              </w:rPr>
              <w:t>分析</w:t>
            </w: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833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患者满意度</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FF68B6">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E460B6">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3366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CCD7">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continue"/>
            <w:tcBorders>
              <w:left w:val="single" w:color="000000" w:sz="4" w:space="0"/>
              <w:bottom w:val="single" w:color="000000" w:sz="4" w:space="0"/>
              <w:right w:val="single" w:color="000000" w:sz="4" w:space="0"/>
            </w:tcBorders>
            <w:shd w:val="clear" w:color="auto" w:fill="auto"/>
            <w:noWrap/>
            <w:vAlign w:val="center"/>
          </w:tcPr>
          <w:p w14:paraId="71D39BB5">
            <w:pPr>
              <w:spacing w:line="240" w:lineRule="auto"/>
              <w:jc w:val="center"/>
              <w:rPr>
                <w:rFonts w:hint="eastAsia" w:asciiTheme="minorEastAsia" w:hAnsiTheme="minorEastAsia" w:eastAsiaTheme="minorEastAsia" w:cstheme="minorEastAsia"/>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E06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医务人员满意度</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C2A9C5">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954CC9">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4E54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A447">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tcBorders>
              <w:left w:val="single" w:color="000000" w:sz="4" w:space="0"/>
              <w:bottom w:val="single" w:color="000000" w:sz="4" w:space="0"/>
              <w:right w:val="single" w:color="000000" w:sz="4" w:space="0"/>
            </w:tcBorders>
            <w:shd w:val="clear" w:color="auto" w:fill="auto"/>
            <w:noWrap/>
            <w:vAlign w:val="center"/>
          </w:tcPr>
          <w:p w14:paraId="7EC41E1D">
            <w:pPr>
              <w:spacing w:line="240" w:lineRule="auto"/>
              <w:jc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新增指标分析</w:t>
            </w: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F01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新增指标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F24A3A">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61DC75">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77FB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0C6C">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restart"/>
            <w:tcBorders>
              <w:left w:val="single" w:color="000000" w:sz="4" w:space="0"/>
              <w:right w:val="single" w:color="000000" w:sz="4" w:space="0"/>
            </w:tcBorders>
            <w:shd w:val="clear" w:color="auto" w:fill="auto"/>
            <w:noWrap/>
            <w:vAlign w:val="center"/>
          </w:tcPr>
          <w:p w14:paraId="69AE040F">
            <w:pPr>
              <w:spacing w:line="240" w:lineRule="auto"/>
              <w:jc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可视化分析</w:t>
            </w: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4A5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▲指标概览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7DE4D6">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B69B3C">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30A0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CE8D">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continue"/>
            <w:tcBorders>
              <w:left w:val="single" w:color="000000" w:sz="4" w:space="0"/>
              <w:right w:val="single" w:color="000000" w:sz="4" w:space="0"/>
            </w:tcBorders>
            <w:shd w:val="clear" w:color="auto" w:fill="auto"/>
            <w:noWrap/>
            <w:vAlign w:val="center"/>
          </w:tcPr>
          <w:p w14:paraId="2ED632F5">
            <w:pPr>
              <w:spacing w:line="240" w:lineRule="auto"/>
              <w:jc w:val="center"/>
              <w:rPr>
                <w:rFonts w:hint="eastAsia" w:asciiTheme="minorEastAsia" w:hAnsiTheme="minorEastAsia" w:eastAsiaTheme="minorEastAsia" w:cstheme="minorEastAsia"/>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2BC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报表导出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930C22">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4532F0">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0D56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63C4">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continue"/>
            <w:tcBorders>
              <w:left w:val="single" w:color="000000" w:sz="4" w:space="0"/>
              <w:bottom w:val="single" w:color="000000" w:sz="4" w:space="0"/>
              <w:right w:val="single" w:color="000000" w:sz="4" w:space="0"/>
            </w:tcBorders>
            <w:shd w:val="clear" w:color="auto" w:fill="auto"/>
            <w:noWrap/>
            <w:vAlign w:val="center"/>
          </w:tcPr>
          <w:p w14:paraId="6D28EEB8">
            <w:pPr>
              <w:spacing w:line="240" w:lineRule="auto"/>
              <w:jc w:val="center"/>
              <w:rPr>
                <w:rFonts w:hint="eastAsia" w:asciiTheme="minorEastAsia" w:hAnsiTheme="minorEastAsia" w:eastAsiaTheme="minorEastAsia" w:cstheme="minorEastAsia"/>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D20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▲可视化报表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DADC88">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D3B4D3">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2BC3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01A4">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84A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绩效考核指标填报</w:t>
            </w: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F66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▲指标任务建立</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155195">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6F1E93">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7C526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E096">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8FB9">
            <w:pPr>
              <w:spacing w:line="240" w:lineRule="auto"/>
              <w:jc w:val="center"/>
              <w:rPr>
                <w:rFonts w:hint="eastAsia" w:asciiTheme="minorEastAsia" w:hAnsiTheme="minorEastAsia" w:eastAsiaTheme="minorEastAsia" w:cstheme="minorEastAsia"/>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DB6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▲指标填报</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E2605C">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02CD07">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r w14:paraId="01AA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FE40">
            <w:pPr>
              <w:spacing w:line="240" w:lineRule="auto"/>
              <w:rPr>
                <w:rFonts w:hint="eastAsia" w:asciiTheme="minorEastAsia" w:hAnsiTheme="minorEastAsia" w:eastAsiaTheme="minorEastAsia" w:cstheme="minorEastAsia"/>
                <w:i w:val="0"/>
                <w:iCs w:val="0"/>
                <w:color w:val="000000"/>
                <w:sz w:val="20"/>
                <w:szCs w:val="20"/>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7C23">
            <w:pPr>
              <w:spacing w:line="240" w:lineRule="auto"/>
              <w:jc w:val="center"/>
              <w:rPr>
                <w:rFonts w:hint="eastAsia" w:asciiTheme="minorEastAsia" w:hAnsiTheme="minorEastAsia" w:eastAsiaTheme="minorEastAsia" w:cstheme="minorEastAsia"/>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85D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指标审核</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89AAE3">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696B98">
            <w:pPr>
              <w:keepNext w:val="0"/>
              <w:keepLines w:val="0"/>
              <w:widowControl/>
              <w:suppressLineNumbers w:val="0"/>
              <w:spacing w:line="240" w:lineRule="auto"/>
              <w:ind w:left="0" w:leftChars="0" w:right="0" w:rightChars="0" w:firstLine="0" w:firstLineChars="0"/>
              <w:jc w:val="center"/>
              <w:textAlignment w:val="top"/>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r>
    </w:tbl>
    <w:p w14:paraId="36DBAB9F">
      <w:pPr>
        <w:pStyle w:val="6"/>
        <w:bidi w:val="0"/>
        <w:ind w:left="0" w:leftChars="0" w:firstLine="48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2.建设内容</w:t>
      </w:r>
    </w:p>
    <w:p w14:paraId="0EDE3F95">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公立医院绩效考核系统（三级公立医院）</w:t>
      </w:r>
    </w:p>
    <w:p w14:paraId="4EC93D64">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2.1</w:t>
      </w:r>
      <w:r>
        <w:rPr>
          <w:rFonts w:hint="eastAsia"/>
        </w:rPr>
        <w:t>医疗质量</w:t>
      </w:r>
      <w:r>
        <w:rPr>
          <w:rFonts w:hint="eastAsia"/>
          <w:lang w:val="en-US" w:eastAsia="zh-CN"/>
        </w:rPr>
        <w:t>分析</w:t>
      </w:r>
    </w:p>
    <w:p w14:paraId="6655CE1E">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（1）▲功能定位</w:t>
      </w:r>
    </w:p>
    <w:p w14:paraId="5211E2D4">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门诊人次数与出院人次数比、下转患者人次数（门急诊、住院）、日间手术占择期手术比例、出院患者手术占比、出院患者微创手术占比、出院患者四级手术比例、特需医疗服务占比三级公立医院绩效考核指标</w:t>
      </w:r>
    </w:p>
    <w:p w14:paraId="68659190">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（2）质量安全</w:t>
      </w:r>
    </w:p>
    <w:p w14:paraId="6D856647">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需支持手术患者并发症发生率、I 类切口手术部位感染率、单病种质量控制、大型医用设备检查阳性率、大型医用设备维修保养及质量控制管理、通过国家室间质量评价的临床检验项目数、低风险组病例死亡率、优质护理服务病房覆盖率三级公立医院绩效考核指标。</w:t>
      </w:r>
    </w:p>
    <w:p w14:paraId="0ECDDFE9">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（3）合理用药</w:t>
      </w:r>
    </w:p>
    <w:p w14:paraId="581A6B3C">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点评处方占处方总数的比例、抗菌药物使用强度（DDDs）、门诊患者基本药物处方占比、住院患者基本药物使用率、基本药物采购品种数占比、国家组织药品集中采购中标药品使用比例三级公立医院绩效考核指标</w:t>
      </w:r>
    </w:p>
    <w:p w14:paraId="588C4C71">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（4）服务流程</w:t>
      </w:r>
    </w:p>
    <w:p w14:paraId="00DED05F">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需支持门诊患者平均预约诊疗率、门诊患者预约后平均等待时间、电子病历应用功能水平分级三级公立医院绩效考核指标。</w:t>
      </w:r>
    </w:p>
    <w:p w14:paraId="7670DDFC">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lang w:val="en-US" w:eastAsia="zh-CN"/>
        </w:rPr>
      </w:pPr>
      <w:r>
        <w:rPr>
          <w:rFonts w:hint="eastAsia"/>
          <w:lang w:val="en-US" w:eastAsia="zh-CN"/>
        </w:rPr>
        <w:t>2.2运营效率分析</w:t>
      </w:r>
    </w:p>
    <w:p w14:paraId="73B6B3FB">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（1）资源效率</w:t>
      </w:r>
    </w:p>
    <w:p w14:paraId="368898D0">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需支持每名执业医师日均住院工作负担、每百张病床药师人数三级公立医院绩效考核指标。</w:t>
      </w:r>
    </w:p>
    <w:p w14:paraId="28185164">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（2）收支结构</w:t>
      </w:r>
    </w:p>
    <w:p w14:paraId="680443D8">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需支持门诊收入占医疗收入比例、门诊收入中来自医保基金的比例、住院收入占医疗收入比例、住院收入中来自医保基金的比例、医疗服务收入（不含药品、耗材、检查检验收入）占 医疗收入比例、辅助用药收入占比、人员支出占业务支出比重、万元收入能耗支出、收支结余、资产负债率三级公立医院绩效考核指标。</w:t>
      </w:r>
    </w:p>
    <w:p w14:paraId="01851FA8">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（3）费用控制</w:t>
      </w:r>
    </w:p>
    <w:p w14:paraId="01AB0AE8">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需支持医疗收入增幅、门诊次均费用增幅、门诊次均药品费用增幅、住院次均费用增幅、住院次均药品费用增幅三级公立医院绩效考核指标。</w:t>
      </w:r>
    </w:p>
    <w:p w14:paraId="03D56732">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（4）经济管理</w:t>
      </w:r>
    </w:p>
    <w:p w14:paraId="4942A69E">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需支持全面预算管理、规范设立总会计师三级公立医院绩效考核指标。</w:t>
      </w:r>
    </w:p>
    <w:p w14:paraId="7BDBA68C">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lang w:val="en-US" w:eastAsia="zh-CN"/>
        </w:rPr>
      </w:pPr>
      <w:r>
        <w:rPr>
          <w:rFonts w:hint="eastAsia"/>
          <w:lang w:val="en-US" w:eastAsia="zh-CN"/>
        </w:rPr>
        <w:t>2.3持续发展分析</w:t>
      </w:r>
    </w:p>
    <w:p w14:paraId="0B7E4D64">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（1）人员结构</w:t>
      </w:r>
    </w:p>
    <w:p w14:paraId="0B3F5772">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需支持卫生技术人员职称结构、麻醉/儿科/重症/病理/中医医师占比、医护比三级公立医院绩效考核指标。</w:t>
      </w:r>
    </w:p>
    <w:p w14:paraId="7D66FE42">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（2）人才培养</w:t>
      </w:r>
    </w:p>
    <w:p w14:paraId="28260E77">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需支持医院接受其他医院（尤其是对口支援医院、医联体内 医院）进修并返回原医院独立工作人数占比、医院住院医师首次参加医师资格考试通过率、医院承担培养医学人才的工作成效三级公立医院绩效考核指标。</w:t>
      </w:r>
    </w:p>
    <w:p w14:paraId="7B0025CB">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（3）学科建设</w:t>
      </w:r>
    </w:p>
    <w:p w14:paraId="23B98ED0">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需支持每百名卫生技术人员科研项目经费、每百名卫生技术人员科研成果转化金额三级公立医院绩效考核指标。</w:t>
      </w:r>
    </w:p>
    <w:p w14:paraId="7261CC1A">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（4）信用建设</w:t>
      </w:r>
    </w:p>
    <w:p w14:paraId="1F2188F8">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需支持公共信用综合评价等级三级公立医院绩效考核指标。</w:t>
      </w:r>
    </w:p>
    <w:p w14:paraId="24E1F95A">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lang w:val="en-US" w:eastAsia="zh-CN"/>
        </w:rPr>
      </w:pPr>
      <w:r>
        <w:rPr>
          <w:rFonts w:hint="eastAsia"/>
          <w:lang w:val="en-US" w:eastAsia="zh-CN"/>
        </w:rPr>
        <w:t>2.4满意度评价分析</w:t>
      </w:r>
    </w:p>
    <w:p w14:paraId="46D6FD0E">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（1）患者满意度</w:t>
      </w:r>
    </w:p>
    <w:p w14:paraId="445A4BF0">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需支持门诊患者满意度、住院患者满意度三级公立医院绩效考核指标。</w:t>
      </w:r>
    </w:p>
    <w:p w14:paraId="15718297">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（2）医务人员满意度</w:t>
      </w:r>
    </w:p>
    <w:p w14:paraId="1932D26C">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需支持医务人员满意度三级公立医院绩效考核指标。</w:t>
      </w:r>
    </w:p>
    <w:p w14:paraId="21A3E2BF">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2.5新增指标分析</w:t>
      </w:r>
    </w:p>
    <w:p w14:paraId="0A826E27">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（1）新增指标</w:t>
      </w:r>
    </w:p>
    <w:p w14:paraId="53A8B969">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lang w:val="en-US" w:eastAsia="zh-CN"/>
        </w:rPr>
      </w:pPr>
      <w:r>
        <w:rPr>
          <w:rFonts w:hint="eastAsia"/>
          <w:lang w:val="en-US" w:eastAsia="zh-CN"/>
        </w:rPr>
        <w:t>需支持重点监控高值医用耗材收入占比三级公立医院绩效考核指标。</w:t>
      </w:r>
    </w:p>
    <w:p w14:paraId="7A47F520">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（2）▲指标概览</w:t>
      </w:r>
    </w:p>
    <w:p w14:paraId="5B605B1C">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需支持以表格汇总的方式展示每个指标的本历年的结果，用于快速识别趋势情况；</w:t>
      </w:r>
    </w:p>
    <w:p w14:paraId="5D604E20">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需支持快速选择某个指标查看其详细的指标信息；</w:t>
      </w:r>
    </w:p>
    <w:p w14:paraId="5A1BC243">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（3）报表导出</w:t>
      </w:r>
    </w:p>
    <w:p w14:paraId="5481283D">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需支持按照要求格式导出所有的指标及其结果；</w:t>
      </w:r>
    </w:p>
    <w:p w14:paraId="236B3DB3">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需支持导出excel格式的文件；</w:t>
      </w:r>
    </w:p>
    <w:p w14:paraId="143C349B">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（4）▲可视化报表</w:t>
      </w:r>
    </w:p>
    <w:p w14:paraId="5B466D71">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需支持按照最细三级公立医院绩效考核指标政策文件中对每个指标的要求，展示详细的计算方式、指标说明、指标意义、指标来源、指标导向为管理者更快的了解指标的考核信息。</w:t>
      </w:r>
    </w:p>
    <w:p w14:paraId="325EE50D">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需支持展示指标所构成的分子、分母指标的结果；</w:t>
      </w:r>
    </w:p>
    <w:p w14:paraId="75D1255E">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需支持考核指标、其构成的分子、分母进行同期、同比等横向分析；</w:t>
      </w:r>
    </w:p>
    <w:p w14:paraId="798D873C">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需支持展示考核指标、其构成的分子、分母的时间维度趋势分析；</w:t>
      </w:r>
    </w:p>
    <w:p w14:paraId="3DDC85E8">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需支持展示考核指标、其构成的分子、分母的下钻分析，支持下钻到科室、职工、日、月、年等维度；</w:t>
      </w:r>
    </w:p>
    <w:p w14:paraId="44492EFA">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2.6绩效考核指标填报</w:t>
      </w:r>
    </w:p>
    <w:p w14:paraId="688A651B">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（1）▲填报任务建立</w:t>
      </w:r>
    </w:p>
    <w:p w14:paraId="7A1B06F6">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需支持在指标列表中选择需要填报的指标建立指标填报任务，并且把填报任务分配给不同角色责任人；</w:t>
      </w:r>
    </w:p>
    <w:p w14:paraId="34797D0A">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需支持设置任务类型（按年填报、按照季填报、按月填报）、任务名称、任务开始时间、任务结束时间、任务状态；</w:t>
      </w:r>
    </w:p>
    <w:p w14:paraId="56BD0C19">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需支持设置指标填报任务的多级审批流程及责任人；</w:t>
      </w:r>
    </w:p>
    <w:p w14:paraId="3C2742AE">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（2）▲指标填报</w:t>
      </w:r>
    </w:p>
    <w:p w14:paraId="11E85769">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需支持有填报权限的人员去查看和填报相关指标，并且支持填报到科室维度，为下钻精细化管理做数据采集基础；</w:t>
      </w:r>
    </w:p>
    <w:p w14:paraId="25AA7259">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需支持在填报指标分子、分母时实时查看到指标的计算结果；</w:t>
      </w:r>
    </w:p>
    <w:p w14:paraId="31D7BE55">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（3）指标审核</w:t>
      </w:r>
    </w:p>
    <w:p w14:paraId="2DE9F081">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需支持有审核权限的任务查看和审核相关指标；</w:t>
      </w:r>
    </w:p>
    <w:p w14:paraId="2E51D173">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需支持按照设定的审核流程流转到相应审核人节点进行审核；</w:t>
      </w:r>
    </w:p>
    <w:p w14:paraId="7C14FD40">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rPr>
      </w:pPr>
      <w:r>
        <w:rPr>
          <w:rFonts w:hint="eastAsia"/>
          <w:lang w:val="en-US" w:eastAsia="zh-CN"/>
        </w:rPr>
        <w:t>需支持已完成审核的指标数据入库并且在可视化界面中展示相关数据；</w:t>
      </w:r>
    </w:p>
    <w:p w14:paraId="6FF89199">
      <w:pPr>
        <w:pStyle w:val="6"/>
        <w:keepNext w:val="0"/>
        <w:keepLines w:val="0"/>
        <w:pageBreakBefore w:val="0"/>
        <w:widowControl w:val="0"/>
        <w:numPr>
          <w:ilvl w:val="0"/>
          <w:numId w:val="0"/>
        </w:numPr>
        <w:kinsoku/>
        <w:wordWrap w:val="0"/>
        <w:overflowPunct/>
        <w:topLinePunct w:val="0"/>
        <w:autoSpaceDE/>
        <w:autoSpaceDN/>
        <w:bidi w:val="0"/>
        <w:adjustRightInd w:val="0"/>
        <w:snapToGrid w:val="0"/>
        <w:ind w:firstLine="482" w:firstLineChars="200"/>
        <w:textAlignment w:val="auto"/>
        <w:rPr>
          <w:rFonts w:hint="eastAsia"/>
          <w:b/>
          <w:bCs/>
          <w:color w:val="auto"/>
          <w:highlight w:val="none"/>
          <w:lang w:val="en-US" w:eastAsia="zh-CN"/>
        </w:rPr>
      </w:pPr>
      <w:r>
        <w:rPr>
          <w:rFonts w:hint="eastAsia"/>
          <w:b/>
          <w:bCs/>
          <w:color w:val="auto"/>
          <w:highlight w:val="none"/>
          <w:lang w:val="en-US" w:eastAsia="zh-CN"/>
        </w:rPr>
        <w:t>★备注（提供服务承诺）：</w:t>
      </w:r>
    </w:p>
    <w:p w14:paraId="7748C07B">
      <w:pPr>
        <w:pStyle w:val="6"/>
        <w:keepNext w:val="0"/>
        <w:keepLines w:val="0"/>
        <w:pageBreakBefore w:val="0"/>
        <w:widowControl w:val="0"/>
        <w:numPr>
          <w:ilvl w:val="0"/>
          <w:numId w:val="15"/>
        </w:numPr>
        <w:kinsoku/>
        <w:wordWrap w:val="0"/>
        <w:overflowPunct/>
        <w:topLinePunct w:val="0"/>
        <w:autoSpaceDE/>
        <w:autoSpaceDN/>
        <w:bidi w:val="0"/>
        <w:adjustRightInd w:val="0"/>
        <w:snapToGrid w:val="0"/>
        <w:ind w:firstLine="482" w:firstLineChars="200"/>
        <w:textAlignment w:val="auto"/>
        <w:rPr>
          <w:rFonts w:hint="eastAsia"/>
          <w:b/>
          <w:bCs/>
          <w:color w:val="auto"/>
          <w:highlight w:val="none"/>
          <w:lang w:val="en-US" w:eastAsia="zh-CN"/>
        </w:rPr>
      </w:pPr>
      <w:r>
        <w:rPr>
          <w:rFonts w:hint="eastAsia"/>
          <w:b/>
          <w:bCs/>
          <w:color w:val="auto"/>
          <w:highlight w:val="none"/>
          <w:lang w:val="en-US" w:eastAsia="zh-CN"/>
        </w:rPr>
        <w:t>根据院方管理及发展需求，质保期内如需与第三方系统对接，必须无条及无任何费用的情况下提供相关接口并积极配合完成相关对接工作等。</w:t>
      </w:r>
    </w:p>
    <w:p w14:paraId="2FABDF3C">
      <w:pPr>
        <w:pStyle w:val="6"/>
        <w:keepNext w:val="0"/>
        <w:keepLines w:val="0"/>
        <w:pageBreakBefore w:val="0"/>
        <w:widowControl w:val="0"/>
        <w:numPr>
          <w:ilvl w:val="0"/>
          <w:numId w:val="15"/>
        </w:numPr>
        <w:kinsoku/>
        <w:wordWrap w:val="0"/>
        <w:overflowPunct/>
        <w:topLinePunct w:val="0"/>
        <w:autoSpaceDE/>
        <w:autoSpaceDN/>
        <w:bidi w:val="0"/>
        <w:adjustRightInd w:val="0"/>
        <w:snapToGrid w:val="0"/>
        <w:ind w:firstLine="482" w:firstLineChars="200"/>
        <w:textAlignment w:val="auto"/>
        <w:rPr>
          <w:rFonts w:hint="default"/>
          <w:b/>
          <w:bCs/>
          <w:color w:val="auto"/>
          <w:highlight w:val="none"/>
          <w:lang w:val="en-US" w:eastAsia="zh-CN"/>
        </w:rPr>
      </w:pPr>
      <w:r>
        <w:rPr>
          <w:rFonts w:hint="eastAsia"/>
          <w:b/>
          <w:bCs/>
          <w:color w:val="auto"/>
          <w:highlight w:val="none"/>
          <w:lang w:val="en-US" w:eastAsia="zh-CN"/>
        </w:rPr>
        <w:t>根据使用科室的管理需求及使用过程中的个性化功能及报表等需求，必须无条及无任何费用的情况下积极配合实现完成。</w:t>
      </w:r>
    </w:p>
    <w:p w14:paraId="547C09FB">
      <w:pPr>
        <w:rPr>
          <w:rFonts w:hint="eastAsia"/>
          <w:b/>
          <w:bCs/>
          <w:lang w:val="en-US" w:eastAsia="zh-CN"/>
        </w:rPr>
      </w:pPr>
      <w:r>
        <w:rPr>
          <w:rFonts w:hint="eastAsia"/>
          <w:b/>
          <w:bCs/>
          <w:lang w:val="en-US" w:eastAsia="zh-CN"/>
        </w:rPr>
        <w:br w:type="page"/>
      </w:r>
    </w:p>
    <w:p w14:paraId="4354E66C">
      <w:pPr>
        <w:pStyle w:val="6"/>
        <w:keepNext w:val="0"/>
        <w:keepLines w:val="0"/>
        <w:pageBreakBefore w:val="0"/>
        <w:widowControl w:val="0"/>
        <w:kinsoku/>
        <w:wordWrap w:val="0"/>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（十一）医院感染实时监控管理系统</w:t>
      </w:r>
    </w:p>
    <w:p w14:paraId="39B1D82F">
      <w:pPr>
        <w:pStyle w:val="6"/>
        <w:bidi w:val="0"/>
        <w:ind w:left="0" w:leftChars="0" w:firstLine="48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1、建设清单</w:t>
      </w:r>
    </w:p>
    <w:tbl>
      <w:tblPr>
        <w:tblStyle w:val="7"/>
        <w:tblW w:w="8759"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3047"/>
        <w:gridCol w:w="1403"/>
        <w:gridCol w:w="4309"/>
      </w:tblGrid>
      <w:tr w14:paraId="69EB84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6"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vAlign w:val="center"/>
          </w:tcPr>
          <w:p w14:paraId="0327FD40">
            <w:pPr>
              <w:spacing w:line="36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系统名称</w:t>
            </w:r>
          </w:p>
        </w:tc>
        <w:tc>
          <w:tcPr>
            <w:tcW w:w="1403" w:type="dxa"/>
            <w:tcBorders>
              <w:top w:val="single" w:color="auto" w:sz="8" w:space="0"/>
              <w:left w:val="single" w:color="auto" w:sz="4" w:space="0"/>
              <w:bottom w:val="single" w:color="auto" w:sz="4" w:space="0"/>
              <w:right w:val="single" w:color="auto" w:sz="4" w:space="0"/>
            </w:tcBorders>
            <w:shd w:val="clear" w:color="auto" w:fill="auto"/>
            <w:vAlign w:val="center"/>
          </w:tcPr>
          <w:p w14:paraId="302B3D51">
            <w:pPr>
              <w:spacing w:line="36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数 量</w:t>
            </w:r>
          </w:p>
        </w:tc>
        <w:tc>
          <w:tcPr>
            <w:tcW w:w="4309" w:type="dxa"/>
            <w:tcBorders>
              <w:top w:val="single" w:color="auto" w:sz="4" w:space="0"/>
              <w:left w:val="single" w:color="auto" w:sz="4" w:space="0"/>
              <w:bottom w:val="single" w:color="auto" w:sz="4" w:space="0"/>
              <w:right w:val="single" w:color="auto" w:sz="4" w:space="0"/>
            </w:tcBorders>
            <w:shd w:val="clear" w:color="auto" w:fill="auto"/>
            <w:vAlign w:val="center"/>
          </w:tcPr>
          <w:p w14:paraId="05DC27B2">
            <w:pPr>
              <w:spacing w:line="36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备注</w:t>
            </w:r>
          </w:p>
        </w:tc>
      </w:tr>
      <w:tr w14:paraId="0EF68F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79"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vAlign w:val="center"/>
          </w:tcPr>
          <w:p w14:paraId="11716A44">
            <w:pPr>
              <w:spacing w:line="36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医院感染控制实时监控</w:t>
            </w:r>
          </w:p>
          <w:p w14:paraId="0B57207D">
            <w:pPr>
              <w:spacing w:line="36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管理系统</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8860B37">
            <w:pPr>
              <w:spacing w:line="36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1项</w:t>
            </w:r>
          </w:p>
        </w:tc>
        <w:tc>
          <w:tcPr>
            <w:tcW w:w="4309" w:type="dxa"/>
            <w:tcBorders>
              <w:top w:val="single" w:color="auto" w:sz="4" w:space="0"/>
              <w:left w:val="single" w:color="auto" w:sz="4" w:space="0"/>
              <w:bottom w:val="single" w:color="auto" w:sz="4" w:space="0"/>
              <w:right w:val="single" w:color="auto" w:sz="4" w:space="0"/>
            </w:tcBorders>
            <w:shd w:val="clear" w:color="auto" w:fill="auto"/>
            <w:vAlign w:val="center"/>
          </w:tcPr>
          <w:p w14:paraId="39691279">
            <w:pPr>
              <w:spacing w:line="36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（包含</w:t>
            </w:r>
            <w:r>
              <w:rPr>
                <w:rFonts w:hint="eastAsia" w:asciiTheme="minorEastAsia" w:hAnsiTheme="minorEastAsia" w:eastAsiaTheme="minorEastAsia" w:cstheme="minorEastAsia"/>
                <w:kern w:val="0"/>
                <w:sz w:val="20"/>
                <w:szCs w:val="20"/>
                <w:lang w:val="en-US" w:eastAsia="zh-CN"/>
              </w:rPr>
              <w:t>质保期内</w:t>
            </w:r>
            <w:r>
              <w:rPr>
                <w:rFonts w:hint="eastAsia" w:asciiTheme="minorEastAsia" w:hAnsiTheme="minorEastAsia" w:eastAsiaTheme="minorEastAsia" w:cstheme="minorEastAsia"/>
                <w:kern w:val="0"/>
                <w:sz w:val="20"/>
                <w:szCs w:val="20"/>
              </w:rPr>
              <w:t>系统维保</w:t>
            </w:r>
            <w:r>
              <w:rPr>
                <w:rFonts w:hint="eastAsia" w:asciiTheme="minorEastAsia" w:hAnsiTheme="minorEastAsia" w:eastAsiaTheme="minorEastAsia" w:cstheme="minorEastAsia"/>
                <w:sz w:val="20"/>
                <w:szCs w:val="20"/>
              </w:rPr>
              <w:t>、接口费）</w:t>
            </w:r>
          </w:p>
        </w:tc>
      </w:tr>
    </w:tbl>
    <w:p w14:paraId="0FA58E80">
      <w:pPr>
        <w:pStyle w:val="6"/>
        <w:bidi w:val="0"/>
        <w:ind w:left="0" w:leftChars="0" w:firstLine="48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2、功能参数列表</w:t>
      </w:r>
    </w:p>
    <w:tbl>
      <w:tblPr>
        <w:tblStyle w:val="13"/>
        <w:tblW w:w="899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682"/>
        <w:gridCol w:w="1260"/>
        <w:gridCol w:w="7056"/>
      </w:tblGrid>
      <w:tr w14:paraId="300768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6"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53213D9A">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D452DB6">
            <w:pPr>
              <w:widowControl/>
              <w:spacing w:line="276" w:lineRule="auto"/>
              <w:jc w:val="center"/>
              <w:rPr>
                <w:rFonts w:hint="eastAsia" w:asciiTheme="minorEastAsia" w:hAnsiTheme="minorEastAsia" w:eastAsiaTheme="minorEastAsia" w:cstheme="minorEastAsia"/>
                <w:kern w:val="0"/>
                <w:sz w:val="20"/>
                <w:szCs w:val="20"/>
                <w:lang w:val="zh-TW"/>
              </w:rPr>
            </w:pPr>
            <w:r>
              <w:rPr>
                <w:rFonts w:hint="eastAsia" w:asciiTheme="minorEastAsia" w:hAnsiTheme="minorEastAsia" w:eastAsiaTheme="minorEastAsia" w:cstheme="minorEastAsia"/>
                <w:kern w:val="0"/>
                <w:sz w:val="20"/>
                <w:szCs w:val="20"/>
                <w:lang w:val="zh-TW"/>
              </w:rPr>
              <w:t>系统</w:t>
            </w:r>
          </w:p>
        </w:tc>
        <w:tc>
          <w:tcPr>
            <w:tcW w:w="705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21F7871F">
            <w:pPr>
              <w:widowControl/>
              <w:spacing w:line="276" w:lineRule="auto"/>
              <w:jc w:val="center"/>
              <w:rPr>
                <w:rFonts w:hint="eastAsia" w:asciiTheme="minorEastAsia" w:hAnsiTheme="minorEastAsia" w:eastAsiaTheme="minorEastAsia" w:cstheme="minorEastAsia"/>
                <w:kern w:val="0"/>
                <w:sz w:val="20"/>
                <w:szCs w:val="20"/>
                <w:lang w:val="zh-TW"/>
              </w:rPr>
            </w:pPr>
            <w:r>
              <w:rPr>
                <w:rFonts w:hint="eastAsia" w:asciiTheme="minorEastAsia" w:hAnsiTheme="minorEastAsia" w:eastAsiaTheme="minorEastAsia" w:cstheme="minorEastAsia"/>
                <w:kern w:val="0"/>
                <w:sz w:val="20"/>
                <w:szCs w:val="20"/>
              </w:rPr>
              <w:t>具体功能参数</w:t>
            </w:r>
          </w:p>
        </w:tc>
      </w:tr>
      <w:tr w14:paraId="744161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01"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369393">
            <w:pPr>
              <w:widowControl/>
              <w:spacing w:line="276" w:lineRule="auto"/>
              <w:jc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836B5">
            <w:pPr>
              <w:widowControl/>
              <w:spacing w:line="276" w:lineRule="auto"/>
              <w:jc w:val="center"/>
              <w:rPr>
                <w:rFonts w:hint="eastAsia" w:asciiTheme="minorEastAsia" w:hAnsiTheme="minorEastAsia" w:eastAsiaTheme="minorEastAsia" w:cstheme="minorEastAsia"/>
                <w:kern w:val="0"/>
                <w:sz w:val="20"/>
                <w:szCs w:val="20"/>
                <w:lang w:val="zh-TW"/>
              </w:rPr>
            </w:pPr>
            <w:r>
              <w:rPr>
                <w:rFonts w:hint="eastAsia" w:asciiTheme="minorEastAsia" w:hAnsiTheme="minorEastAsia" w:eastAsiaTheme="minorEastAsia" w:cstheme="minorEastAsia"/>
                <w:kern w:val="0"/>
                <w:sz w:val="20"/>
                <w:szCs w:val="20"/>
                <w:lang w:val="zh-TW"/>
              </w:rPr>
              <w:t>标准与规范</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E7A275">
            <w:pPr>
              <w:pStyle w:val="10"/>
              <w:widowControl/>
              <w:numPr>
                <w:ilvl w:val="0"/>
                <w:numId w:val="0"/>
              </w:numPr>
              <w:spacing w:line="360" w:lineRule="auto"/>
              <w:ind w:leftChars="0"/>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满足卫健委2017年发布的《WS/T 547-2017医院感染管理信息系统基本功能规范》要求；</w:t>
            </w:r>
          </w:p>
          <w:p w14:paraId="6B504123">
            <w:pPr>
              <w:pStyle w:val="10"/>
              <w:widowControl/>
              <w:numPr>
                <w:ilvl w:val="0"/>
                <w:numId w:val="0"/>
              </w:numPr>
              <w:spacing w:line="360" w:lineRule="auto"/>
              <w:ind w:leftChars="0"/>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满足卫健委医院管理研究所2021年发布的《NIHA医院感染监测基本数据集及质量控制指标集实施指南（2021版）》中的数据采集要求及统计要求；</w:t>
            </w:r>
          </w:p>
          <w:p w14:paraId="00DFC55E">
            <w:pPr>
              <w:pStyle w:val="10"/>
              <w:widowControl/>
              <w:numPr>
                <w:ilvl w:val="0"/>
                <w:numId w:val="0"/>
              </w:numPr>
              <w:spacing w:line="360" w:lineRule="auto"/>
              <w:ind w:leftChars="0"/>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满足卫健委2009年发布的《WS/T 312-2009医院感染监测规范》要求。</w:t>
            </w:r>
          </w:p>
          <w:p w14:paraId="23A35F1F">
            <w:pPr>
              <w:pStyle w:val="10"/>
              <w:widowControl/>
              <w:numPr>
                <w:ilvl w:val="0"/>
                <w:numId w:val="0"/>
              </w:numPr>
              <w:spacing w:line="360" w:lineRule="auto"/>
              <w:ind w:leftChars="0"/>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满足《WS670-2021医疗机构感染监测基本数据集》要求；</w:t>
            </w:r>
          </w:p>
          <w:p w14:paraId="4D84F60A">
            <w:pPr>
              <w:pStyle w:val="10"/>
              <w:widowControl/>
              <w:numPr>
                <w:ilvl w:val="0"/>
                <w:numId w:val="0"/>
              </w:numPr>
              <w:spacing w:line="360" w:lineRule="auto"/>
              <w:ind w:leftChars="0"/>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满足卫健委发布的《三级医院评审标准（2022年版）实施细则》等级医院评审对院感模块的要求；</w:t>
            </w:r>
          </w:p>
          <w:p w14:paraId="00DFB172">
            <w:pPr>
              <w:pStyle w:val="10"/>
              <w:widowControl/>
              <w:numPr>
                <w:ilvl w:val="0"/>
                <w:numId w:val="0"/>
              </w:numPr>
              <w:spacing w:line="360" w:lineRule="auto"/>
              <w:ind w:leftChars="0"/>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满足《医院信息互联互通标准化成熟度测评方案（2020年版）》医院互联互通及电子病历评级对院感的要求；</w:t>
            </w:r>
          </w:p>
          <w:p w14:paraId="20A70914">
            <w:pPr>
              <w:pStyle w:val="10"/>
              <w:numPr>
                <w:ilvl w:val="0"/>
                <w:numId w:val="0"/>
              </w:numPr>
              <w:spacing w:line="360" w:lineRule="auto"/>
              <w:ind w:leftChars="0"/>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满足卫健委2023年发布的《WS/T 312-2023医院感染监测标准》要求。</w:t>
            </w:r>
          </w:p>
          <w:p w14:paraId="4314139E">
            <w:pPr>
              <w:pStyle w:val="10"/>
              <w:widowControl/>
              <w:numPr>
                <w:ilvl w:val="0"/>
                <w:numId w:val="0"/>
              </w:numPr>
              <w:spacing w:line="360" w:lineRule="auto"/>
              <w:ind w:leftChars="0"/>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8</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满足卫健委2024年发布的医院感染管理医疗质量控制指标（2024年版）的统计要求。</w:t>
            </w:r>
          </w:p>
        </w:tc>
      </w:tr>
      <w:tr w14:paraId="302F03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62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6727F">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D31C06">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病例预警</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E6DA43">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w:t>
            </w:r>
            <w:r>
              <w:rPr>
                <w:rFonts w:hint="eastAsia" w:asciiTheme="minorEastAsia" w:hAnsiTheme="minorEastAsia" w:eastAsiaTheme="minorEastAsia" w:cstheme="minorEastAsia"/>
                <w:kern w:val="0"/>
                <w:sz w:val="20"/>
                <w:szCs w:val="20"/>
                <w:lang w:val="zh-TW" w:eastAsia="zh-TW"/>
              </w:rPr>
              <w:t>医院感染诊断标准</w:t>
            </w:r>
            <w:r>
              <w:rPr>
                <w:rFonts w:hint="eastAsia" w:asciiTheme="minorEastAsia" w:hAnsiTheme="minorEastAsia" w:eastAsiaTheme="minorEastAsia" w:cstheme="minorEastAsia"/>
                <w:kern w:val="0"/>
                <w:sz w:val="20"/>
                <w:szCs w:val="20"/>
              </w:rPr>
              <w:t>(2001)</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lang w:val="zh-TW"/>
              </w:rPr>
              <w:t>诊断模型。</w:t>
            </w:r>
          </w:p>
          <w:p w14:paraId="2E500C24">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支持对纯文本、半结构化或结构化的病历内容进行自然语言分析处理，对</w:t>
            </w:r>
            <w:r>
              <w:rPr>
                <w:rFonts w:hint="eastAsia" w:asciiTheme="minorEastAsia" w:hAnsiTheme="minorEastAsia" w:eastAsiaTheme="minorEastAsia" w:cstheme="minorEastAsia"/>
                <w:kern w:val="0"/>
                <w:sz w:val="20"/>
                <w:szCs w:val="20"/>
              </w:rPr>
              <w:t>xml</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html、rtf、txt</w:t>
            </w:r>
            <w:r>
              <w:rPr>
                <w:rFonts w:hint="eastAsia" w:asciiTheme="minorEastAsia" w:hAnsiTheme="minorEastAsia" w:eastAsiaTheme="minorEastAsia" w:cstheme="minorEastAsia"/>
                <w:kern w:val="0"/>
                <w:sz w:val="20"/>
                <w:szCs w:val="20"/>
                <w:lang w:val="zh-TW" w:eastAsia="zh-TW"/>
              </w:rPr>
              <w:t>友好支持；</w:t>
            </w:r>
          </w:p>
          <w:p w14:paraId="4FEE85B6">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通过自然语言处理技术对患者病例进行语义分析，智能识别感染因素，</w:t>
            </w:r>
            <w:r>
              <w:rPr>
                <w:rFonts w:hint="eastAsia" w:asciiTheme="minorEastAsia" w:hAnsiTheme="minorEastAsia" w:eastAsiaTheme="minorEastAsia" w:cstheme="minorEastAsia"/>
                <w:kern w:val="0"/>
                <w:sz w:val="20"/>
                <w:szCs w:val="20"/>
              </w:rPr>
              <w:t>使用特殊颜色字体在病程中标注，方便用户查看，</w:t>
            </w:r>
            <w:r>
              <w:rPr>
                <w:rFonts w:hint="eastAsia" w:asciiTheme="minorEastAsia" w:hAnsiTheme="minorEastAsia" w:eastAsiaTheme="minorEastAsia" w:cstheme="minorEastAsia"/>
                <w:kern w:val="0"/>
                <w:sz w:val="20"/>
                <w:szCs w:val="20"/>
                <w:lang w:val="zh-TW" w:eastAsia="zh-TW"/>
              </w:rPr>
              <w:t>并结合检验、检查、体温等信息进行综合预警；支持标记并提取感染因素，单独一列展示感染因素；</w:t>
            </w:r>
          </w:p>
          <w:p w14:paraId="0C8C7FA5">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预警界面支持临床医生上报院感报卡，支持院感科医生选择</w:t>
            </w:r>
          </w:p>
          <w:p w14:paraId="05099F55">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支持对患者常规检验中感染相关重要指标进行分析并提示降钙素原、</w:t>
            </w:r>
            <w:r>
              <w:rPr>
                <w:rFonts w:hint="eastAsia" w:asciiTheme="minorEastAsia" w:hAnsiTheme="minorEastAsia" w:eastAsiaTheme="minorEastAsia" w:cstheme="minorEastAsia"/>
                <w:kern w:val="0"/>
                <w:sz w:val="20"/>
                <w:szCs w:val="20"/>
              </w:rPr>
              <w:t>C</w:t>
            </w:r>
            <w:r>
              <w:rPr>
                <w:rFonts w:hint="eastAsia" w:asciiTheme="minorEastAsia" w:hAnsiTheme="minorEastAsia" w:eastAsiaTheme="minorEastAsia" w:cstheme="minorEastAsia"/>
                <w:kern w:val="0"/>
                <w:sz w:val="20"/>
                <w:szCs w:val="20"/>
                <w:lang w:val="zh-TW" w:eastAsia="zh-TW"/>
              </w:rPr>
              <w:t>反应蛋白、超敏</w:t>
            </w:r>
            <w:r>
              <w:rPr>
                <w:rFonts w:hint="eastAsia" w:asciiTheme="minorEastAsia" w:hAnsiTheme="minorEastAsia" w:eastAsiaTheme="minorEastAsia" w:cstheme="minorEastAsia"/>
                <w:kern w:val="0"/>
                <w:sz w:val="20"/>
                <w:szCs w:val="20"/>
              </w:rPr>
              <w:t>C</w:t>
            </w:r>
            <w:r>
              <w:rPr>
                <w:rFonts w:hint="eastAsia" w:asciiTheme="minorEastAsia" w:hAnsiTheme="minorEastAsia" w:eastAsiaTheme="minorEastAsia" w:cstheme="minorEastAsia"/>
                <w:kern w:val="0"/>
                <w:sz w:val="20"/>
                <w:szCs w:val="20"/>
                <w:lang w:val="zh-TW" w:eastAsia="zh-TW"/>
              </w:rPr>
              <w:t>反应蛋白</w:t>
            </w:r>
            <w:r>
              <w:rPr>
                <w:rFonts w:hint="eastAsia" w:asciiTheme="minorEastAsia" w:hAnsiTheme="minorEastAsia" w:cstheme="minorEastAsia"/>
                <w:kern w:val="0"/>
                <w:sz w:val="20"/>
                <w:szCs w:val="20"/>
                <w:lang w:val="en-US" w:eastAsia="zh-CN"/>
              </w:rPr>
              <w:t>等</w:t>
            </w:r>
            <w:r>
              <w:rPr>
                <w:rFonts w:hint="eastAsia" w:asciiTheme="minorEastAsia" w:hAnsiTheme="minorEastAsia" w:eastAsiaTheme="minorEastAsia" w:cstheme="minorEastAsia"/>
                <w:kern w:val="0"/>
                <w:sz w:val="20"/>
                <w:szCs w:val="20"/>
                <w:lang w:val="zh-TW" w:eastAsia="zh-TW"/>
              </w:rPr>
              <w:t>；</w:t>
            </w:r>
          </w:p>
          <w:p w14:paraId="5D3230CE">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结合模型预警计算出患者感染部位的感染开始日期，自动区分出医院感染与社区感染；</w:t>
            </w:r>
          </w:p>
          <w:p w14:paraId="69874020">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自动生成待处理疑似感染病例，按在院、关注患者、出院三种患者角度进行预警病例查看，同时支持根据用户管辖科室、全院两种方式查看；</w:t>
            </w:r>
          </w:p>
          <w:p w14:paraId="04B3FE0B">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8</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支持对患者疑似感染病例操作的同时，可查看患者的重要关注因素；</w:t>
            </w:r>
          </w:p>
          <w:p w14:paraId="0825AD7D">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9</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支持专职人员对疑似病例处理，包括确认、代报、排除，处理后的疑似病例标记为已确认、已排除，未处理的则是未处理标识；</w:t>
            </w:r>
          </w:p>
          <w:p w14:paraId="287D3E72">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eastAsia="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10</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支持临床医生对疑似病例处置后，院感科专职人员二次审核确认临床操作结果。</w:t>
            </w:r>
          </w:p>
          <w:p w14:paraId="67D1716E">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对疑似感染病例的预警来源维度分类展示，包括：病历、检验、体温、影像、抗菌药物使用情况；</w:t>
            </w:r>
          </w:p>
          <w:p w14:paraId="68F976E1">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对疑似感染病例的预警来源直观展示，包括：诊断感染依据、原文内容、出现时间段；</w:t>
            </w:r>
          </w:p>
          <w:p w14:paraId="4552817C">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支持对病历中感染因素进行颜色标记</w:t>
            </w:r>
            <w:r>
              <w:rPr>
                <w:rFonts w:hint="eastAsia" w:asciiTheme="minorEastAsia" w:hAnsiTheme="minorEastAsia" w:cstheme="minorEastAsia"/>
                <w:kern w:val="0"/>
                <w:sz w:val="20"/>
                <w:szCs w:val="20"/>
                <w:lang w:val="en-US" w:eastAsia="zh-CN"/>
              </w:rPr>
              <w:t>和</w:t>
            </w:r>
            <w:r>
              <w:rPr>
                <w:rFonts w:hint="eastAsia" w:asciiTheme="minorEastAsia" w:hAnsiTheme="minorEastAsia" w:eastAsiaTheme="minorEastAsia" w:cstheme="minorEastAsia"/>
                <w:kern w:val="0"/>
                <w:sz w:val="20"/>
                <w:szCs w:val="20"/>
                <w:lang w:val="zh-TW"/>
              </w:rPr>
              <w:t>追溯病历</w:t>
            </w:r>
            <w:r>
              <w:rPr>
                <w:rFonts w:hint="eastAsia" w:asciiTheme="minorEastAsia" w:hAnsiTheme="minorEastAsia" w:cstheme="minorEastAsia"/>
                <w:kern w:val="0"/>
                <w:sz w:val="20"/>
                <w:szCs w:val="20"/>
                <w:lang w:val="en-US" w:eastAsia="zh-CN"/>
              </w:rPr>
              <w:t>等</w:t>
            </w:r>
            <w:r>
              <w:rPr>
                <w:rFonts w:hint="eastAsia" w:asciiTheme="minorEastAsia" w:hAnsiTheme="minorEastAsia" w:eastAsiaTheme="minorEastAsia" w:cstheme="minorEastAsia"/>
                <w:kern w:val="0"/>
                <w:sz w:val="20"/>
                <w:szCs w:val="20"/>
                <w:lang w:val="zh-TW"/>
              </w:rPr>
              <w:t>；</w:t>
            </w:r>
          </w:p>
          <w:p w14:paraId="093E5388">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支持对患者病例</w:t>
            </w:r>
            <w:r>
              <w:rPr>
                <w:rFonts w:hint="eastAsia" w:asciiTheme="minorEastAsia" w:hAnsiTheme="minorEastAsia" w:eastAsiaTheme="minorEastAsia" w:cstheme="minorEastAsia"/>
                <w:kern w:val="0"/>
                <w:sz w:val="20"/>
                <w:szCs w:val="20"/>
                <w:lang w:val="zh-TW"/>
              </w:rPr>
              <w:t>重点</w:t>
            </w:r>
            <w:r>
              <w:rPr>
                <w:rFonts w:hint="eastAsia" w:asciiTheme="minorEastAsia" w:hAnsiTheme="minorEastAsia" w:eastAsiaTheme="minorEastAsia" w:cstheme="minorEastAsia"/>
                <w:kern w:val="0"/>
                <w:sz w:val="20"/>
                <w:szCs w:val="20"/>
                <w:lang w:val="zh-TW" w:eastAsia="zh-TW"/>
              </w:rPr>
              <w:t>关注操作</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角标</w:t>
            </w:r>
            <w:r>
              <w:rPr>
                <w:rFonts w:hint="eastAsia" w:asciiTheme="minorEastAsia" w:hAnsiTheme="minorEastAsia" w:eastAsiaTheme="minorEastAsia" w:cstheme="minorEastAsia"/>
                <w:kern w:val="0"/>
                <w:sz w:val="20"/>
                <w:szCs w:val="20"/>
                <w:lang w:val="zh-TW" w:eastAsia="zh-TW"/>
              </w:rPr>
              <w:t>标记患者诊疗卡片，</w:t>
            </w:r>
            <w:r>
              <w:rPr>
                <w:rFonts w:hint="eastAsia" w:asciiTheme="minorEastAsia" w:hAnsiTheme="minorEastAsia" w:cstheme="minorEastAsia"/>
                <w:kern w:val="0"/>
                <w:sz w:val="20"/>
                <w:szCs w:val="20"/>
                <w:lang w:val="en-US" w:eastAsia="zh-CN"/>
              </w:rPr>
              <w:t>支持</w:t>
            </w:r>
            <w:r>
              <w:rPr>
                <w:rFonts w:hint="eastAsia" w:asciiTheme="minorEastAsia" w:hAnsiTheme="minorEastAsia" w:eastAsiaTheme="minorEastAsia" w:cstheme="minorEastAsia"/>
                <w:kern w:val="0"/>
                <w:sz w:val="20"/>
                <w:szCs w:val="20"/>
                <w:lang w:val="zh-TW"/>
              </w:rPr>
              <w:t>后续跟踪</w:t>
            </w:r>
            <w:r>
              <w:rPr>
                <w:rFonts w:hint="eastAsia" w:asciiTheme="minorEastAsia" w:hAnsiTheme="minorEastAsia" w:eastAsiaTheme="minorEastAsia" w:cstheme="minorEastAsia"/>
                <w:kern w:val="0"/>
                <w:sz w:val="20"/>
                <w:szCs w:val="20"/>
                <w:lang w:val="zh-TW" w:eastAsia="zh-TW"/>
              </w:rPr>
              <w:t>；</w:t>
            </w:r>
          </w:p>
          <w:p w14:paraId="371747F2">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支持对患者的疑似感染进行干预到临床操作处理，临床医生接收干预消息后，可对患者进行疑似感染病主动确认或排除操作；</w:t>
            </w:r>
          </w:p>
          <w:p w14:paraId="132FE9F4">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支持对患者的疑似感染进行感染病例代报。</w:t>
            </w:r>
          </w:p>
        </w:tc>
      </w:tr>
      <w:tr w14:paraId="5F2CCF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72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AE67AA">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CB929D">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暴发预警</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BC4712C">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以事件形式展示疑似暴发概况；</w:t>
            </w:r>
          </w:p>
          <w:p w14:paraId="0A365A30">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支持暴发预警提示在首页监测面板显著提示，对未处理的暴发预警始终显示；</w:t>
            </w:r>
          </w:p>
          <w:p w14:paraId="622E9590">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监测项目包括：发热、腹泻、大便常规、血培养、相同耐药谱、感染部位、病原体、痰培养；</w:t>
            </w:r>
          </w:p>
          <w:p w14:paraId="302CA302">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支持对监测项目的关注程度进行自定义调整，包括重点关注、一般关注；</w:t>
            </w:r>
          </w:p>
          <w:p w14:paraId="3B765A92">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eastAsiaTheme="minorEastAsia" w:cstheme="minorEastAsia"/>
                <w:kern w:val="0"/>
                <w:sz w:val="20"/>
                <w:szCs w:val="20"/>
                <w:lang w:val="zh-TW" w:eastAsia="zh-TW"/>
              </w:rPr>
              <w:t>支持对查询结果内容穿透查看具体明细，如血培养疑似暴发的送检项目、送检时间可直接展示查看，减少打开页面次数；</w:t>
            </w:r>
          </w:p>
          <w:p w14:paraId="467D5A85">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支持对疑似暴发的审核操作，包括确认暴发、排除暴发、备注事件、干预；</w:t>
            </w:r>
          </w:p>
          <w:p w14:paraId="52068518">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eastAsia="zh-CN"/>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支持对审核后的疑似暴发事件查看审核人、审核时间、备注内容</w:t>
            </w:r>
            <w:r>
              <w:rPr>
                <w:rFonts w:hint="eastAsia" w:asciiTheme="minorEastAsia" w:hAnsiTheme="minorEastAsia" w:cstheme="minorEastAsia"/>
                <w:kern w:val="0"/>
                <w:sz w:val="20"/>
                <w:szCs w:val="20"/>
                <w:lang w:val="zh-TW" w:eastAsia="zh-CN"/>
              </w:rPr>
              <w:t>。</w:t>
            </w:r>
          </w:p>
        </w:tc>
      </w:tr>
      <w:tr w14:paraId="335EB6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86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1A6251">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3A9BFC">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风险分析</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37EF53B">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系统自带风险分析体系，根据患者的全方位易感因素，判定患者的感染风险值，预警出科室的高风险感染患者</w:t>
            </w:r>
            <w:r>
              <w:rPr>
                <w:rFonts w:hint="eastAsia" w:asciiTheme="minorEastAsia" w:hAnsiTheme="minorEastAsia" w:eastAsiaTheme="minorEastAsia" w:cstheme="minorEastAsia"/>
                <w:kern w:val="0"/>
                <w:sz w:val="20"/>
                <w:szCs w:val="20"/>
                <w:lang w:val="zh-TW" w:eastAsia="zh-TW"/>
              </w:rPr>
              <w:t>；</w:t>
            </w:r>
          </w:p>
          <w:p w14:paraId="57829494">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根据时间线刻录高风险患者患者的感染风险点，系统自动提醒临床，进行风险环节的提前干预，根据不同类型的风险因素发送针对性的干预形式（评估表、SOP、防控措施落实表等）和干预内容</w:t>
            </w:r>
            <w:r>
              <w:rPr>
                <w:rFonts w:hint="eastAsia" w:asciiTheme="minorEastAsia" w:hAnsiTheme="minorEastAsia" w:eastAsiaTheme="minorEastAsia" w:cstheme="minorEastAsia"/>
                <w:kern w:val="0"/>
                <w:sz w:val="20"/>
                <w:szCs w:val="20"/>
                <w:lang w:val="zh-TW" w:eastAsia="zh-TW"/>
              </w:rPr>
              <w:t>；</w:t>
            </w:r>
          </w:p>
          <w:p w14:paraId="7A55EC92">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干预结果同步至院感专职人员，专职人员可利用系统进行人工干预</w:t>
            </w:r>
            <w:r>
              <w:rPr>
                <w:rFonts w:hint="eastAsia" w:asciiTheme="minorEastAsia" w:hAnsiTheme="minorEastAsia" w:eastAsiaTheme="minorEastAsia" w:cstheme="minorEastAsia"/>
                <w:kern w:val="0"/>
                <w:sz w:val="20"/>
                <w:szCs w:val="20"/>
                <w:lang w:val="zh-TW" w:eastAsia="zh-TW"/>
              </w:rPr>
              <w:t>；</w:t>
            </w:r>
          </w:p>
          <w:p w14:paraId="4D61935A">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eastAsia="zh-CN"/>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针对高风险感染患者的感染风险点，用户可在页面上查看干预记录列表、干预详情、风险评估表，全面的掌握患者的风险点干预情况；且可直接点击进行PDCA循环质量管理，涉及问题记录、原因分析、考核结果等环节，帮助用户有针对性的、持续的改进临床医疗质量</w:t>
            </w:r>
            <w:r>
              <w:rPr>
                <w:rFonts w:hint="eastAsia" w:asciiTheme="minorEastAsia" w:hAnsiTheme="minorEastAsia" w:cstheme="minorEastAsia"/>
                <w:kern w:val="0"/>
                <w:sz w:val="20"/>
                <w:szCs w:val="20"/>
                <w:lang w:val="zh-TW" w:eastAsia="zh-CN"/>
              </w:rPr>
              <w:t>。</w:t>
            </w:r>
          </w:p>
        </w:tc>
      </w:tr>
      <w:tr w14:paraId="07812A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56"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860EDB">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F4CCEF">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床位风险分布</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266E3CF">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通过图形展示科室病房的床位分布与布局，更加直观</w:t>
            </w:r>
            <w:r>
              <w:rPr>
                <w:rFonts w:hint="eastAsia" w:asciiTheme="minorEastAsia" w:hAnsiTheme="minorEastAsia" w:eastAsiaTheme="minorEastAsia" w:cstheme="minorEastAsia"/>
                <w:kern w:val="0"/>
                <w:sz w:val="20"/>
                <w:szCs w:val="20"/>
              </w:rPr>
              <w:t>的查看每个房间、每个床位患者的分布情况，直观的了解患者风险因素（如是否感染、疑似院感、是否使用抗菌药物、是否有检出细菌，是否体温异常、是否检出病毒等）</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方便的掌握本科是否存在聚集性事件情况，有效辅助感控专职人员进行研判；</w:t>
            </w:r>
          </w:p>
          <w:p w14:paraId="003E6720">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科室病房可由临床</w:t>
            </w:r>
            <w:r>
              <w:rPr>
                <w:rFonts w:hint="eastAsia" w:asciiTheme="minorEastAsia" w:hAnsiTheme="minorEastAsia" w:eastAsiaTheme="minorEastAsia" w:cstheme="minorEastAsia"/>
                <w:kern w:val="0"/>
                <w:sz w:val="20"/>
                <w:szCs w:val="20"/>
                <w:lang w:val="zh-TW"/>
              </w:rPr>
              <w:t>科室自行进行病房数量新增、删除、名称修改，更加符合科室现有病房名称命名，支持ICU模式病房设置；</w:t>
            </w:r>
          </w:p>
          <w:p w14:paraId="7506F1D1">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病房中床位可由临床</w:t>
            </w:r>
            <w:r>
              <w:rPr>
                <w:rFonts w:hint="eastAsia" w:asciiTheme="minorEastAsia" w:hAnsiTheme="minorEastAsia" w:eastAsiaTheme="minorEastAsia" w:cstheme="minorEastAsia"/>
                <w:kern w:val="0"/>
                <w:sz w:val="20"/>
                <w:szCs w:val="20"/>
                <w:lang w:val="zh-TW"/>
              </w:rPr>
              <w:t>客户数自行进行床位数量新增、删除、名称修改，更加符合病房中病床命名，同时支持走廊加床的新增；</w:t>
            </w:r>
          </w:p>
          <w:p w14:paraId="2677CBCD">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支持患者随床位</w:t>
            </w:r>
            <w:r>
              <w:rPr>
                <w:rFonts w:hint="eastAsia" w:asciiTheme="minorEastAsia" w:hAnsiTheme="minorEastAsia" w:eastAsiaTheme="minorEastAsia" w:cstheme="minorEastAsia"/>
                <w:kern w:val="0"/>
                <w:sz w:val="20"/>
                <w:szCs w:val="20"/>
                <w:lang w:val="zh-TW"/>
              </w:rPr>
              <w:t>号进行分配与排列，并且展示患者当前存在的风险情况；</w:t>
            </w:r>
          </w:p>
          <w:p w14:paraId="5CD2367C">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eastAsia="zh-CN"/>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以不同图形展示患者正在经历</w:t>
            </w:r>
            <w:r>
              <w:rPr>
                <w:rFonts w:hint="eastAsia" w:asciiTheme="minorEastAsia" w:hAnsiTheme="minorEastAsia" w:eastAsiaTheme="minorEastAsia" w:cstheme="minorEastAsia"/>
                <w:kern w:val="0"/>
                <w:sz w:val="20"/>
                <w:szCs w:val="20"/>
                <w:lang w:val="zh-TW"/>
              </w:rPr>
              <w:t>及历史</w:t>
            </w:r>
            <w:r>
              <w:rPr>
                <w:rFonts w:hint="eastAsia" w:asciiTheme="minorEastAsia" w:hAnsiTheme="minorEastAsia" w:eastAsiaTheme="minorEastAsia" w:cstheme="minorEastAsia"/>
                <w:kern w:val="0"/>
                <w:sz w:val="20"/>
                <w:szCs w:val="20"/>
                <w:lang w:val="zh-TW" w:eastAsia="zh-TW"/>
              </w:rPr>
              <w:t>风险情况，包括：本次住院已确认感染、正在</w:t>
            </w:r>
            <w:r>
              <w:rPr>
                <w:rFonts w:hint="eastAsia" w:asciiTheme="minorEastAsia" w:hAnsiTheme="minorEastAsia" w:eastAsiaTheme="minorEastAsia" w:cstheme="minorEastAsia"/>
                <w:kern w:val="0"/>
                <w:sz w:val="20"/>
                <w:szCs w:val="20"/>
                <w:lang w:val="zh-TW"/>
              </w:rPr>
              <w:t>使用三大插管、检出多重耐药菌、近三天发热（超过38℃）</w:t>
            </w:r>
            <w:r>
              <w:rPr>
                <w:rFonts w:hint="eastAsia" w:asciiTheme="minorEastAsia" w:hAnsiTheme="minorEastAsia" w:cstheme="minorEastAsia"/>
                <w:kern w:val="0"/>
                <w:sz w:val="20"/>
                <w:szCs w:val="20"/>
                <w:lang w:val="zh-TW" w:eastAsia="zh-CN"/>
              </w:rPr>
              <w:t>。</w:t>
            </w:r>
          </w:p>
        </w:tc>
      </w:tr>
      <w:tr w14:paraId="7F9A29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6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365FD5">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072993">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监测面板</w:t>
            </w:r>
          </w:p>
          <w:p w14:paraId="13D2B2EA">
            <w:pPr>
              <w:widowControl/>
              <w:spacing w:line="276" w:lineRule="auto"/>
              <w:jc w:val="center"/>
              <w:rPr>
                <w:rFonts w:hint="eastAsia" w:asciiTheme="minorEastAsia" w:hAnsiTheme="minorEastAsia" w:eastAsiaTheme="minorEastAsia" w:cstheme="minorEastAsia"/>
                <w:kern w:val="0"/>
                <w:sz w:val="20"/>
                <w:szCs w:val="20"/>
              </w:rPr>
            </w:pP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5267711">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提供友好的用户交互界面，能够集中展示全院概况、待处理事宜、重点指标监测；</w:t>
            </w:r>
          </w:p>
          <w:p w14:paraId="7FB27DE8">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全院概况，能够支持用户查看及穿透至对应页面，全院概况内容包括：在院患者人数、体温异常人数（体温</w:t>
            </w:r>
            <w:r>
              <w:rPr>
                <w:rFonts w:hint="eastAsia" w:asciiTheme="minorEastAsia" w:hAnsiTheme="minorEastAsia" w:eastAsiaTheme="minorEastAsia" w:cstheme="minorEastAsia"/>
                <w:kern w:val="0"/>
                <w:sz w:val="20"/>
                <w:szCs w:val="20"/>
              </w:rPr>
              <w:t>≥38℃</w:t>
            </w:r>
            <w:r>
              <w:rPr>
                <w:rFonts w:hint="eastAsia" w:asciiTheme="minorEastAsia" w:hAnsiTheme="minorEastAsia" w:eastAsiaTheme="minorEastAsia" w:cstheme="minorEastAsia"/>
                <w:kern w:val="0"/>
                <w:sz w:val="20"/>
                <w:szCs w:val="20"/>
                <w:lang w:val="zh-TW" w:eastAsia="zh-TW"/>
              </w:rPr>
              <w:t>）、三大插管人数、</w:t>
            </w:r>
            <w:r>
              <w:rPr>
                <w:rFonts w:hint="eastAsia" w:asciiTheme="minorEastAsia" w:hAnsiTheme="minorEastAsia" w:eastAsiaTheme="minorEastAsia" w:cstheme="minorEastAsia"/>
                <w:kern w:val="0"/>
                <w:sz w:val="20"/>
                <w:szCs w:val="20"/>
                <w:lang w:val="zh-TW"/>
              </w:rPr>
              <w:t>M</w:t>
            </w:r>
            <w:r>
              <w:rPr>
                <w:rFonts w:hint="eastAsia" w:asciiTheme="minorEastAsia" w:hAnsiTheme="minorEastAsia" w:eastAsiaTheme="minorEastAsia" w:cstheme="minorEastAsia"/>
                <w:kern w:val="0"/>
                <w:sz w:val="20"/>
                <w:szCs w:val="20"/>
                <w:lang w:val="zh-TW" w:eastAsia="zh-TW"/>
              </w:rPr>
              <w:t>DRO检出人数，重点菌检出人数；</w:t>
            </w:r>
          </w:p>
          <w:p w14:paraId="7D9534B6">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待办事宜，能够对</w:t>
            </w:r>
            <w:r>
              <w:rPr>
                <w:rFonts w:hint="eastAsia" w:asciiTheme="minorEastAsia" w:hAnsiTheme="minorEastAsia" w:eastAsiaTheme="minorEastAsia" w:cstheme="minorEastAsia"/>
                <w:kern w:val="0"/>
                <w:sz w:val="20"/>
                <w:szCs w:val="20"/>
              </w:rPr>
              <w:t>1</w:t>
            </w:r>
            <w:r>
              <w:rPr>
                <w:rFonts w:hint="eastAsia" w:asciiTheme="minorEastAsia" w:hAnsiTheme="minorEastAsia" w:eastAsiaTheme="minorEastAsia" w:cstheme="minorEastAsia"/>
                <w:kern w:val="0"/>
                <w:sz w:val="20"/>
                <w:szCs w:val="20"/>
                <w:lang w:val="zh-TW" w:eastAsia="zh-TW"/>
              </w:rPr>
              <w:t>个月内未处理的内容总数展示及穿透相应功能进行业务处理，待办事宜内容包括：暴发预警、感染预警、感染报卡、暴露上报，暴露复查，插管未评估，证照过期；</w:t>
            </w:r>
          </w:p>
          <w:p w14:paraId="60142346">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重点指标监测，能够对重点的指标进行监测及穿透查询相应统计分析，包括：感染部位构成（年度）、送检标本构成（年度）、检出重点菌构成（年度）、检出重点菌构成（年度）、职业暴露人员构成（年度）、全院发热患者趋势（近</w:t>
            </w:r>
            <w:r>
              <w:rPr>
                <w:rFonts w:hint="eastAsia" w:asciiTheme="minorEastAsia" w:hAnsiTheme="minorEastAsia" w:eastAsiaTheme="minorEastAsia" w:cstheme="minorEastAsia"/>
                <w:kern w:val="0"/>
                <w:sz w:val="20"/>
                <w:szCs w:val="20"/>
              </w:rPr>
              <w:t>7</w:t>
            </w:r>
            <w:r>
              <w:rPr>
                <w:rFonts w:hint="eastAsia" w:asciiTheme="minorEastAsia" w:hAnsiTheme="minorEastAsia" w:eastAsiaTheme="minorEastAsia" w:cstheme="minorEastAsia"/>
                <w:kern w:val="0"/>
                <w:sz w:val="20"/>
                <w:szCs w:val="20"/>
                <w:lang w:val="zh-TW" w:eastAsia="zh-TW"/>
              </w:rPr>
              <w:t>天</w:t>
            </w:r>
            <w:r>
              <w:rPr>
                <w:rFonts w:hint="eastAsia" w:asciiTheme="minorEastAsia" w:hAnsiTheme="minorEastAsia" w:eastAsiaTheme="minorEastAsia" w:cstheme="minorEastAsia"/>
                <w:kern w:val="0"/>
                <w:sz w:val="20"/>
                <w:szCs w:val="20"/>
                <w:lang w:val="zh-TW"/>
              </w:rPr>
              <w:t>、近30天</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MRSA</w:t>
            </w:r>
            <w:r>
              <w:rPr>
                <w:rFonts w:hint="eastAsia" w:asciiTheme="minorEastAsia" w:hAnsiTheme="minorEastAsia" w:eastAsiaTheme="minorEastAsia" w:cstheme="minorEastAsia"/>
                <w:kern w:val="0"/>
                <w:sz w:val="20"/>
                <w:szCs w:val="20"/>
                <w:lang w:val="zh-TW" w:eastAsia="zh-TW"/>
              </w:rPr>
              <w:t>相关血流感染（近</w:t>
            </w:r>
            <w:r>
              <w:rPr>
                <w:rFonts w:hint="eastAsia" w:asciiTheme="minorEastAsia" w:hAnsiTheme="minorEastAsia" w:eastAsiaTheme="minorEastAsia" w:cstheme="minorEastAsia"/>
                <w:kern w:val="0"/>
                <w:sz w:val="20"/>
                <w:szCs w:val="20"/>
              </w:rPr>
              <w:t>7</w:t>
            </w:r>
            <w:r>
              <w:rPr>
                <w:rFonts w:hint="eastAsia" w:asciiTheme="minorEastAsia" w:hAnsiTheme="minorEastAsia" w:eastAsiaTheme="minorEastAsia" w:cstheme="minorEastAsia"/>
                <w:kern w:val="0"/>
                <w:sz w:val="20"/>
                <w:szCs w:val="20"/>
                <w:lang w:val="zh-TW" w:eastAsia="zh-TW"/>
              </w:rPr>
              <w:t>天</w:t>
            </w:r>
            <w:r>
              <w:rPr>
                <w:rFonts w:hint="eastAsia" w:asciiTheme="minorEastAsia" w:hAnsiTheme="minorEastAsia" w:eastAsiaTheme="minorEastAsia" w:cstheme="minorEastAsia"/>
                <w:kern w:val="0"/>
                <w:sz w:val="20"/>
                <w:szCs w:val="20"/>
                <w:lang w:val="zh-TW"/>
              </w:rPr>
              <w:t>、近30天、近一年、近五年</w:t>
            </w:r>
            <w:r>
              <w:rPr>
                <w:rFonts w:hint="eastAsia" w:asciiTheme="minorEastAsia" w:hAnsiTheme="minorEastAsia" w:eastAsiaTheme="minorEastAsia" w:cstheme="minorEastAsia"/>
                <w:kern w:val="0"/>
                <w:sz w:val="20"/>
                <w:szCs w:val="20"/>
                <w:lang w:val="zh-TW" w:eastAsia="zh-TW"/>
              </w:rPr>
              <w:t>）、多重耐药菌检出率趋势（近</w:t>
            </w:r>
            <w:r>
              <w:rPr>
                <w:rFonts w:hint="eastAsia" w:asciiTheme="minorEastAsia" w:hAnsiTheme="minorEastAsia" w:eastAsiaTheme="minorEastAsia" w:cstheme="minorEastAsia"/>
                <w:kern w:val="0"/>
                <w:sz w:val="20"/>
                <w:szCs w:val="20"/>
              </w:rPr>
              <w:t>7</w:t>
            </w:r>
            <w:r>
              <w:rPr>
                <w:rFonts w:hint="eastAsia" w:asciiTheme="minorEastAsia" w:hAnsiTheme="minorEastAsia" w:eastAsiaTheme="minorEastAsia" w:cstheme="minorEastAsia"/>
                <w:kern w:val="0"/>
                <w:sz w:val="20"/>
                <w:szCs w:val="20"/>
                <w:lang w:val="zh-TW" w:eastAsia="zh-TW"/>
              </w:rPr>
              <w:t>天</w:t>
            </w:r>
            <w:r>
              <w:rPr>
                <w:rFonts w:hint="eastAsia" w:asciiTheme="minorEastAsia" w:hAnsiTheme="minorEastAsia" w:eastAsiaTheme="minorEastAsia" w:cstheme="minorEastAsia"/>
                <w:kern w:val="0"/>
                <w:sz w:val="20"/>
                <w:szCs w:val="20"/>
                <w:lang w:val="zh-TW"/>
              </w:rPr>
              <w:t>、近30天、近一年、近五年</w:t>
            </w:r>
            <w:r>
              <w:rPr>
                <w:rFonts w:hint="eastAsia" w:asciiTheme="minorEastAsia" w:hAnsiTheme="minorEastAsia" w:eastAsiaTheme="minorEastAsia" w:cstheme="minorEastAsia"/>
                <w:kern w:val="0"/>
                <w:sz w:val="20"/>
                <w:szCs w:val="20"/>
                <w:lang w:val="zh-TW" w:eastAsia="zh-TW"/>
              </w:rPr>
              <w:t>）、发病率趋势（近</w:t>
            </w:r>
            <w:r>
              <w:rPr>
                <w:rFonts w:hint="eastAsia" w:asciiTheme="minorEastAsia" w:hAnsiTheme="minorEastAsia" w:eastAsiaTheme="minorEastAsia" w:cstheme="minorEastAsia"/>
                <w:kern w:val="0"/>
                <w:sz w:val="20"/>
                <w:szCs w:val="20"/>
              </w:rPr>
              <w:t>12</w:t>
            </w:r>
            <w:r>
              <w:rPr>
                <w:rFonts w:hint="eastAsia" w:asciiTheme="minorEastAsia" w:hAnsiTheme="minorEastAsia" w:eastAsiaTheme="minorEastAsia" w:cstheme="minorEastAsia"/>
                <w:kern w:val="0"/>
                <w:sz w:val="20"/>
                <w:szCs w:val="20"/>
                <w:lang w:val="zh-TW" w:eastAsia="zh-TW"/>
              </w:rPr>
              <w:t>个月</w:t>
            </w:r>
            <w:r>
              <w:rPr>
                <w:rFonts w:hint="eastAsia" w:asciiTheme="minorEastAsia" w:hAnsiTheme="minorEastAsia" w:eastAsiaTheme="minorEastAsia" w:cstheme="minorEastAsia"/>
                <w:kern w:val="0"/>
                <w:sz w:val="20"/>
                <w:szCs w:val="20"/>
                <w:lang w:val="zh-TW"/>
              </w:rPr>
              <w:t>、近五年</w:t>
            </w:r>
            <w:r>
              <w:rPr>
                <w:rFonts w:hint="eastAsia" w:asciiTheme="minorEastAsia" w:hAnsiTheme="minorEastAsia" w:eastAsiaTheme="minorEastAsia" w:cstheme="minorEastAsia"/>
                <w:kern w:val="0"/>
                <w:sz w:val="20"/>
                <w:szCs w:val="20"/>
                <w:lang w:val="zh-TW" w:eastAsia="zh-TW"/>
              </w:rPr>
              <w:t>）。</w:t>
            </w:r>
          </w:p>
        </w:tc>
      </w:tr>
      <w:tr w14:paraId="4FC57F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6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3E4F67">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791608">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PDCA</w:t>
            </w:r>
            <w:r>
              <w:rPr>
                <w:rFonts w:hint="eastAsia" w:asciiTheme="minorEastAsia" w:hAnsiTheme="minorEastAsia" w:eastAsiaTheme="minorEastAsia" w:cstheme="minorEastAsia"/>
                <w:kern w:val="0"/>
                <w:sz w:val="20"/>
                <w:szCs w:val="20"/>
                <w:lang w:val="zh-TW" w:eastAsia="zh-TW"/>
              </w:rPr>
              <w:t>持续改进</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54F1529">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支持建立全院的</w:t>
            </w:r>
            <w:r>
              <w:rPr>
                <w:rFonts w:hint="eastAsia" w:asciiTheme="minorEastAsia" w:hAnsiTheme="minorEastAsia" w:eastAsiaTheme="minorEastAsia" w:cstheme="minorEastAsia"/>
                <w:kern w:val="0"/>
                <w:sz w:val="20"/>
                <w:szCs w:val="20"/>
              </w:rPr>
              <w:t>PDCA</w:t>
            </w:r>
            <w:r>
              <w:rPr>
                <w:rFonts w:hint="eastAsia" w:asciiTheme="minorEastAsia" w:hAnsiTheme="minorEastAsia" w:eastAsiaTheme="minorEastAsia" w:cstheme="minorEastAsia"/>
                <w:kern w:val="0"/>
                <w:sz w:val="20"/>
                <w:szCs w:val="20"/>
                <w:lang w:val="zh-TW" w:eastAsia="zh-TW"/>
              </w:rPr>
              <w:t>持续改进机制；</w:t>
            </w:r>
          </w:p>
          <w:p w14:paraId="25EBA116">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能够支持感控专职人员维护</w:t>
            </w:r>
            <w:r>
              <w:rPr>
                <w:rFonts w:hint="eastAsia" w:asciiTheme="minorEastAsia" w:hAnsiTheme="minorEastAsia" w:eastAsiaTheme="minorEastAsia" w:cstheme="minorEastAsia"/>
                <w:kern w:val="0"/>
                <w:sz w:val="20"/>
                <w:szCs w:val="20"/>
              </w:rPr>
              <w:t>PDCA</w:t>
            </w:r>
            <w:r>
              <w:rPr>
                <w:rFonts w:hint="eastAsia" w:asciiTheme="minorEastAsia" w:hAnsiTheme="minorEastAsia" w:eastAsiaTheme="minorEastAsia" w:cstheme="minorEastAsia"/>
                <w:kern w:val="0"/>
                <w:sz w:val="20"/>
                <w:szCs w:val="20"/>
                <w:lang w:val="zh-TW" w:eastAsia="zh-TW"/>
              </w:rPr>
              <w:t>流程模板中的模板名称、过程名称</w:t>
            </w:r>
            <w:r>
              <w:rPr>
                <w:rFonts w:hint="eastAsia" w:asciiTheme="minorEastAsia" w:hAnsiTheme="minorEastAsia" w:eastAsiaTheme="minorEastAsia" w:cstheme="minorEastAsia"/>
                <w:kern w:val="0"/>
                <w:sz w:val="20"/>
                <w:szCs w:val="20"/>
              </w:rPr>
              <w:t>；</w:t>
            </w:r>
          </w:p>
          <w:p w14:paraId="5B8F7EA4">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支持感控专职人员发起新增</w:t>
            </w:r>
            <w:r>
              <w:rPr>
                <w:rFonts w:hint="eastAsia" w:asciiTheme="minorEastAsia" w:hAnsiTheme="minorEastAsia" w:eastAsiaTheme="minorEastAsia" w:cstheme="minorEastAsia"/>
                <w:kern w:val="0"/>
                <w:sz w:val="20"/>
                <w:szCs w:val="20"/>
              </w:rPr>
              <w:t>PDCA</w:t>
            </w:r>
            <w:r>
              <w:rPr>
                <w:rFonts w:hint="eastAsia" w:asciiTheme="minorEastAsia" w:hAnsiTheme="minorEastAsia" w:eastAsiaTheme="minorEastAsia" w:cstheme="minorEastAsia"/>
                <w:kern w:val="0"/>
                <w:sz w:val="20"/>
                <w:szCs w:val="20"/>
                <w:lang w:val="zh-TW" w:eastAsia="zh-TW"/>
              </w:rPr>
              <w:t>持续改进，包括关联科室名称、监测项目、预期目标、资料来源、监测结果、问题叙述、原因分析、督导项目负责人、参与人员、上传图片</w:t>
            </w:r>
            <w:r>
              <w:rPr>
                <w:rFonts w:hint="eastAsia" w:asciiTheme="minorEastAsia" w:hAnsiTheme="minorEastAsia" w:eastAsiaTheme="minorEastAsia" w:cstheme="minorEastAsia"/>
                <w:kern w:val="0"/>
                <w:sz w:val="20"/>
                <w:szCs w:val="20"/>
                <w:lang w:val="zh-TW"/>
              </w:rPr>
              <w:t>；</w:t>
            </w:r>
          </w:p>
          <w:p w14:paraId="2AFA3584">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w:t>
            </w:r>
            <w:r>
              <w:rPr>
                <w:rFonts w:hint="eastAsia" w:asciiTheme="minorEastAsia" w:hAnsiTheme="minorEastAsia" w:eastAsiaTheme="minorEastAsia" w:cstheme="minorEastAsia"/>
                <w:kern w:val="0"/>
                <w:sz w:val="20"/>
                <w:szCs w:val="20"/>
              </w:rPr>
              <w:t>PDCA</w:t>
            </w:r>
            <w:r>
              <w:rPr>
                <w:rFonts w:hint="eastAsia" w:asciiTheme="minorEastAsia" w:hAnsiTheme="minorEastAsia" w:eastAsiaTheme="minorEastAsia" w:cstheme="minorEastAsia"/>
                <w:kern w:val="0"/>
                <w:sz w:val="20"/>
                <w:szCs w:val="20"/>
                <w:lang w:val="zh-TW" w:eastAsia="zh-TW"/>
              </w:rPr>
              <w:t>内容打印报告、另存为</w:t>
            </w:r>
            <w:r>
              <w:rPr>
                <w:rFonts w:hint="eastAsia" w:asciiTheme="minorEastAsia" w:hAnsiTheme="minorEastAsia" w:eastAsiaTheme="minorEastAsia" w:cstheme="minorEastAsia"/>
                <w:kern w:val="0"/>
                <w:sz w:val="20"/>
                <w:szCs w:val="20"/>
              </w:rPr>
              <w:t>PDCA</w:t>
            </w:r>
            <w:r>
              <w:rPr>
                <w:rFonts w:hint="eastAsia" w:asciiTheme="minorEastAsia" w:hAnsiTheme="minorEastAsia" w:eastAsiaTheme="minorEastAsia" w:cstheme="minorEastAsia"/>
                <w:kern w:val="0"/>
                <w:sz w:val="20"/>
                <w:szCs w:val="20"/>
                <w:lang w:val="zh-TW" w:eastAsia="zh-TW"/>
              </w:rPr>
              <w:t>改进模板；</w:t>
            </w:r>
          </w:p>
          <w:p w14:paraId="5BE3DDEC">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支持医院对</w:t>
            </w:r>
            <w:r>
              <w:rPr>
                <w:rFonts w:hint="eastAsia" w:asciiTheme="minorEastAsia" w:hAnsiTheme="minorEastAsia" w:eastAsiaTheme="minorEastAsia" w:cstheme="minorEastAsia"/>
                <w:kern w:val="0"/>
                <w:sz w:val="20"/>
                <w:szCs w:val="20"/>
              </w:rPr>
              <w:t>PDCA</w:t>
            </w:r>
            <w:r>
              <w:rPr>
                <w:rFonts w:hint="eastAsia" w:asciiTheme="minorEastAsia" w:hAnsiTheme="minorEastAsia" w:eastAsiaTheme="minorEastAsia" w:cstheme="minorEastAsia"/>
                <w:kern w:val="0"/>
                <w:sz w:val="20"/>
                <w:szCs w:val="20"/>
                <w:lang w:val="zh-TW" w:eastAsia="zh-TW"/>
              </w:rPr>
              <w:t>流程的自定义及顺序调整。</w:t>
            </w:r>
          </w:p>
        </w:tc>
      </w:tr>
      <w:tr w14:paraId="77D583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C59A5E">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BFE463">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干预会话</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DA97471">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支持与医院主业务系统消息对接，如</w:t>
            </w:r>
            <w:r>
              <w:rPr>
                <w:rFonts w:hint="eastAsia" w:asciiTheme="minorEastAsia" w:hAnsiTheme="minorEastAsia" w:eastAsiaTheme="minorEastAsia" w:cstheme="minorEastAsia"/>
                <w:kern w:val="0"/>
                <w:sz w:val="20"/>
                <w:szCs w:val="20"/>
              </w:rPr>
              <w:t>HIS</w:t>
            </w:r>
            <w:r>
              <w:rPr>
                <w:rFonts w:hint="eastAsia" w:asciiTheme="minorEastAsia" w:hAnsiTheme="minorEastAsia" w:eastAsiaTheme="minorEastAsia" w:cstheme="minorEastAsia"/>
                <w:kern w:val="0"/>
                <w:sz w:val="20"/>
                <w:szCs w:val="20"/>
                <w:lang w:val="zh-TW" w:eastAsia="zh-TW"/>
              </w:rPr>
              <w:t>系统、电子病历系统，对接后使消息接收和传送更加统一；</w:t>
            </w:r>
          </w:p>
          <w:p w14:paraId="18E50206">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支持一对一实时沟通，</w:t>
            </w:r>
            <w:r>
              <w:rPr>
                <w:rFonts w:hint="eastAsia" w:asciiTheme="minorEastAsia" w:hAnsiTheme="minorEastAsia" w:cstheme="minorEastAsia"/>
                <w:kern w:val="0"/>
                <w:sz w:val="20"/>
                <w:szCs w:val="20"/>
                <w:lang w:val="en-US" w:eastAsia="zh-CN"/>
              </w:rPr>
              <w:t>和</w:t>
            </w:r>
            <w:r>
              <w:rPr>
                <w:rFonts w:hint="eastAsia" w:asciiTheme="minorEastAsia" w:hAnsiTheme="minorEastAsia" w:eastAsiaTheme="minorEastAsia" w:cstheme="minorEastAsia"/>
                <w:kern w:val="0"/>
                <w:sz w:val="20"/>
                <w:szCs w:val="20"/>
                <w:lang w:val="zh-TW" w:eastAsia="zh-TW"/>
              </w:rPr>
              <w:t>一对多消息发送；</w:t>
            </w:r>
          </w:p>
          <w:p w14:paraId="248B541B">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看发送的消息接收人数和未读人数；</w:t>
            </w:r>
          </w:p>
          <w:p w14:paraId="102664EE">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支持对未读的消息一键已读操作，同时可查看全部消息；</w:t>
            </w:r>
          </w:p>
          <w:p w14:paraId="2BFABF20">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消息发送支持一对一方式、个人到科室的一对多方式；</w:t>
            </w:r>
          </w:p>
          <w:p w14:paraId="4D82FF19">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支持临床科室接收感控管理端的消息，包括：感染病例审核结果提醒、职业暴露复查提醒、干预消息提醒、即时通讯消息提醒、</w:t>
            </w:r>
            <w:r>
              <w:rPr>
                <w:rFonts w:hint="eastAsia" w:asciiTheme="minorEastAsia" w:hAnsiTheme="minorEastAsia" w:eastAsiaTheme="minorEastAsia" w:cstheme="minorEastAsia"/>
                <w:kern w:val="0"/>
                <w:sz w:val="20"/>
                <w:szCs w:val="20"/>
              </w:rPr>
              <w:t>SOP</w:t>
            </w:r>
            <w:r>
              <w:rPr>
                <w:rFonts w:hint="eastAsia" w:asciiTheme="minorEastAsia" w:hAnsiTheme="minorEastAsia" w:eastAsiaTheme="minorEastAsia" w:cstheme="minorEastAsia"/>
                <w:kern w:val="0"/>
                <w:sz w:val="20"/>
                <w:szCs w:val="20"/>
                <w:lang w:val="zh-TW" w:eastAsia="zh-TW"/>
              </w:rPr>
              <w:t>感控标准操作流程提醒；</w:t>
            </w:r>
          </w:p>
          <w:p w14:paraId="35813F12">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支持感控管理端接收临床科室的消息，包括：感染病例报卡提醒、职业暴露上报提醒、即时通讯消息提醒；</w:t>
            </w:r>
          </w:p>
          <w:p w14:paraId="3A5D58FA">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8</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不同的消息类型，点击后可进入不同的界面，进行查看、审核等业务操作，减少用户跳转操作；</w:t>
            </w:r>
          </w:p>
          <w:p w14:paraId="2A2B3495">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9</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支持以患者为中心，查看贯穿患者在院期间所有干预信息及即时消息内容。</w:t>
            </w:r>
          </w:p>
          <w:p w14:paraId="568CEFBA">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10</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不登陆院感系统，可在客户端自动弹出院感科发送的干预消息及其他消息</w:t>
            </w:r>
            <w:r>
              <w:rPr>
                <w:rFonts w:hint="eastAsia" w:asciiTheme="minorEastAsia" w:hAnsiTheme="minorEastAsia" w:eastAsiaTheme="minorEastAsia" w:cstheme="minorEastAsia"/>
                <w:kern w:val="0"/>
                <w:sz w:val="20"/>
                <w:szCs w:val="20"/>
                <w:lang w:val="zh-TW"/>
              </w:rPr>
              <w:t>。</w:t>
            </w:r>
          </w:p>
        </w:tc>
      </w:tr>
      <w:tr w14:paraId="06E2E8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59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30B88F">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2528C8">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感染监测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19A4A89">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支持对感染病例报卡的审核操作，报卡信息的补充及修改</w:t>
            </w:r>
            <w:r>
              <w:rPr>
                <w:rFonts w:hint="eastAsia" w:asciiTheme="minorEastAsia" w:hAnsiTheme="minorEastAsia" w:eastAsiaTheme="minorEastAsia" w:cstheme="minorEastAsia"/>
                <w:kern w:val="0"/>
                <w:sz w:val="20"/>
                <w:szCs w:val="20"/>
                <w:lang w:val="zh-TW"/>
              </w:rPr>
              <w:t>、报卡退回</w:t>
            </w:r>
            <w:r>
              <w:rPr>
                <w:rFonts w:hint="eastAsia" w:asciiTheme="minorEastAsia" w:hAnsiTheme="minorEastAsia" w:eastAsiaTheme="minorEastAsia" w:cstheme="minorEastAsia"/>
                <w:kern w:val="0"/>
                <w:sz w:val="20"/>
                <w:szCs w:val="20"/>
                <w:lang w:val="zh-TW" w:eastAsia="zh-TW"/>
              </w:rPr>
              <w:t>；</w:t>
            </w:r>
          </w:p>
          <w:p w14:paraId="072A475C">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支持对感染病例审核时，可查看患者历史报卡的记录概况；</w:t>
            </w:r>
          </w:p>
          <w:p w14:paraId="7C0042E0">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支持查看临床医生上报医院感染病例报卡时填写的医院感染诊断依据；</w:t>
            </w:r>
          </w:p>
          <w:p w14:paraId="31127CE5">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支持按不同筛选条件进行感染病例查询，如：日期类别、感染类别、感染诊断名称、导管相关性条件、致病菌名称；</w:t>
            </w:r>
            <w:r>
              <w:rPr>
                <w:rFonts w:hint="eastAsia" w:asciiTheme="minorEastAsia" w:hAnsiTheme="minorEastAsia" w:eastAsiaTheme="minorEastAsia" w:cstheme="minorEastAsia"/>
                <w:kern w:val="0"/>
                <w:sz w:val="20"/>
                <w:szCs w:val="20"/>
                <w:lang w:val="zh-TW"/>
              </w:rPr>
              <w:t xml:space="preserve"> </w:t>
            </w:r>
          </w:p>
          <w:p w14:paraId="2D4E17DD">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支持对感染病例进行感染终止日期修改、</w:t>
            </w:r>
            <w:r>
              <w:rPr>
                <w:rFonts w:hint="eastAsia" w:asciiTheme="minorEastAsia" w:hAnsiTheme="minorEastAsia" w:eastAsiaTheme="minorEastAsia" w:cstheme="minorEastAsia"/>
                <w:kern w:val="0"/>
                <w:sz w:val="20"/>
                <w:szCs w:val="20"/>
                <w:lang w:val="zh-TW"/>
              </w:rPr>
              <w:t>感染</w:t>
            </w:r>
            <w:r>
              <w:rPr>
                <w:rFonts w:hint="eastAsia" w:asciiTheme="minorEastAsia" w:hAnsiTheme="minorEastAsia" w:eastAsiaTheme="minorEastAsia" w:cstheme="minorEastAsia"/>
                <w:kern w:val="0"/>
                <w:sz w:val="20"/>
                <w:szCs w:val="20"/>
                <w:lang w:val="zh-TW" w:eastAsia="zh-TW"/>
              </w:rPr>
              <w:t>转归</w:t>
            </w:r>
            <w:r>
              <w:rPr>
                <w:rFonts w:hint="eastAsia" w:asciiTheme="minorEastAsia" w:hAnsiTheme="minorEastAsia" w:eastAsiaTheme="minorEastAsia" w:cstheme="minorEastAsia"/>
                <w:kern w:val="0"/>
                <w:sz w:val="20"/>
                <w:szCs w:val="20"/>
                <w:lang w:val="zh-TW"/>
              </w:rPr>
              <w:t>情况填写、感染与原发病关系填写</w:t>
            </w:r>
            <w:r>
              <w:rPr>
                <w:rFonts w:hint="eastAsia" w:asciiTheme="minorEastAsia" w:hAnsiTheme="minorEastAsia" w:eastAsiaTheme="minorEastAsia" w:cstheme="minorEastAsia"/>
                <w:kern w:val="0"/>
                <w:sz w:val="20"/>
                <w:szCs w:val="20"/>
                <w:lang w:val="zh-TW" w:eastAsia="zh-TW"/>
              </w:rPr>
              <w:t>；</w:t>
            </w:r>
          </w:p>
          <w:p w14:paraId="27F63561">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支持对已确认的感染病例报卡删除操作；</w:t>
            </w:r>
          </w:p>
          <w:p w14:paraId="2B6A97A4">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支持最新全国医院感染培训基地的现患率横断面个案调查表；</w:t>
            </w:r>
          </w:p>
          <w:p w14:paraId="33483A68">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8</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支持不限次数的现患率横断面调查；</w:t>
            </w:r>
          </w:p>
          <w:p w14:paraId="74F57AB9">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9</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支持一键自动生成调查日在院患者及出院患者现患数据，如：患者基本信息、所在科室，调查者可对调查表进行信息补充；</w:t>
            </w:r>
          </w:p>
          <w:p w14:paraId="08720E56">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10</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支持对完成的调查数据可直接上报至全国医院感染监控管理培训基地；</w:t>
            </w:r>
          </w:p>
          <w:p w14:paraId="1A9CA7ED">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支持查询在院患者及出院患者，并可按住院号、病案号、姓名模糊查询。</w:t>
            </w:r>
          </w:p>
        </w:tc>
      </w:tr>
      <w:tr w14:paraId="6AAC30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8857">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4E37">
            <w:pPr>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细菌监测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E85814C">
            <w:pPr>
              <w:pStyle w:val="14"/>
              <w:numPr>
                <w:ilvl w:val="0"/>
                <w:numId w:val="0"/>
              </w:numPr>
              <w:tabs>
                <w:tab w:val="left" w:pos="420"/>
              </w:tabs>
              <w:spacing w:line="360" w:lineRule="auto"/>
              <w:ind w:leftChars="0"/>
              <w:jc w:val="left"/>
              <w:rPr>
                <w:rFonts w:hint="eastAsia" w:asciiTheme="minorEastAsia" w:hAnsiTheme="minorEastAsia" w:eastAsiaTheme="minorEastAsia" w:cstheme="minorEastAsia"/>
                <w:color w:val="auto"/>
                <w:kern w:val="0"/>
                <w:sz w:val="20"/>
                <w:szCs w:val="20"/>
                <w:lang w:val="zh-TW"/>
              </w:rPr>
            </w:pPr>
            <w:r>
              <w:rPr>
                <w:rFonts w:hint="eastAsia" w:asciiTheme="minorEastAsia" w:hAnsiTheme="minorEastAsia" w:eastAsiaTheme="minorEastAsia" w:cstheme="minorEastAsia"/>
                <w:color w:val="auto"/>
                <w:kern w:val="0"/>
                <w:sz w:val="20"/>
                <w:szCs w:val="20"/>
                <w:lang w:val="zh-TW" w:eastAsia="zh-CN"/>
              </w:rPr>
              <w:t>（</w:t>
            </w:r>
            <w:r>
              <w:rPr>
                <w:rFonts w:hint="eastAsia" w:asciiTheme="minorEastAsia" w:hAnsiTheme="minorEastAsia" w:eastAsiaTheme="minorEastAsia" w:cstheme="minorEastAsia"/>
                <w:color w:val="auto"/>
                <w:kern w:val="0"/>
                <w:sz w:val="20"/>
                <w:szCs w:val="20"/>
                <w:lang w:val="en-US" w:eastAsia="zh-CN"/>
              </w:rPr>
              <w:t>1</w:t>
            </w:r>
            <w:r>
              <w:rPr>
                <w:rFonts w:hint="eastAsia" w:asciiTheme="minorEastAsia" w:hAnsiTheme="minorEastAsia" w:eastAsiaTheme="minorEastAsia" w:cstheme="minorEastAsia"/>
                <w:color w:val="auto"/>
                <w:kern w:val="0"/>
                <w:sz w:val="20"/>
                <w:szCs w:val="20"/>
                <w:lang w:val="zh-TW" w:eastAsia="zh-CN"/>
              </w:rPr>
              <w:t>）</w:t>
            </w:r>
            <w:r>
              <w:rPr>
                <w:rFonts w:hint="eastAsia" w:asciiTheme="minorEastAsia" w:hAnsiTheme="minorEastAsia" w:eastAsiaTheme="minorEastAsia" w:cstheme="minorEastAsia"/>
                <w:color w:val="auto"/>
                <w:kern w:val="0"/>
                <w:sz w:val="20"/>
                <w:szCs w:val="20"/>
                <w:lang w:val="zh-TW" w:eastAsia="zh-TW"/>
              </w:rPr>
              <w:t>自动对微生物数据进行加载，结合最新多耐定义标准《医疗机构耐药菌</w:t>
            </w:r>
            <w:r>
              <w:rPr>
                <w:rFonts w:hint="eastAsia" w:asciiTheme="minorEastAsia" w:hAnsiTheme="minorEastAsia" w:eastAsiaTheme="minorEastAsia" w:cstheme="minorEastAsia"/>
                <w:color w:val="auto"/>
                <w:kern w:val="0"/>
                <w:sz w:val="20"/>
                <w:szCs w:val="20"/>
              </w:rPr>
              <w:t>MDR</w:t>
            </w:r>
            <w:r>
              <w:rPr>
                <w:rFonts w:hint="eastAsia" w:asciiTheme="minorEastAsia" w:hAnsiTheme="minorEastAsia" w:eastAsiaTheme="minorEastAsia" w:cstheme="minorEastAsia"/>
                <w:color w:val="auto"/>
                <w:kern w:val="0"/>
                <w:sz w:val="20"/>
                <w:szCs w:val="20"/>
                <w:lang w:val="zh-TW" w:eastAsia="zh-TW"/>
              </w:rPr>
              <w:t>、</w:t>
            </w:r>
            <w:r>
              <w:rPr>
                <w:rFonts w:hint="eastAsia" w:asciiTheme="minorEastAsia" w:hAnsiTheme="minorEastAsia" w:eastAsiaTheme="minorEastAsia" w:cstheme="minorEastAsia"/>
                <w:color w:val="auto"/>
                <w:kern w:val="0"/>
                <w:sz w:val="20"/>
                <w:szCs w:val="20"/>
              </w:rPr>
              <w:t>XDR</w:t>
            </w:r>
            <w:r>
              <w:rPr>
                <w:rFonts w:hint="eastAsia" w:asciiTheme="minorEastAsia" w:hAnsiTheme="minorEastAsia" w:eastAsiaTheme="minorEastAsia" w:cstheme="minorEastAsia"/>
                <w:color w:val="auto"/>
                <w:kern w:val="0"/>
                <w:sz w:val="20"/>
                <w:szCs w:val="20"/>
                <w:lang w:val="zh-TW" w:eastAsia="zh-TW"/>
              </w:rPr>
              <w:t>、</w:t>
            </w:r>
            <w:r>
              <w:rPr>
                <w:rFonts w:hint="eastAsia" w:asciiTheme="minorEastAsia" w:hAnsiTheme="minorEastAsia" w:eastAsiaTheme="minorEastAsia" w:cstheme="minorEastAsia"/>
                <w:color w:val="auto"/>
                <w:kern w:val="0"/>
                <w:sz w:val="20"/>
                <w:szCs w:val="20"/>
              </w:rPr>
              <w:t>PDR</w:t>
            </w:r>
            <w:r>
              <w:rPr>
                <w:rFonts w:hint="eastAsia" w:asciiTheme="minorEastAsia" w:hAnsiTheme="minorEastAsia" w:eastAsiaTheme="minorEastAsia" w:cstheme="minorEastAsia"/>
                <w:color w:val="auto"/>
                <w:kern w:val="0"/>
                <w:sz w:val="20"/>
                <w:szCs w:val="20"/>
                <w:lang w:val="zh-TW" w:eastAsia="zh-TW"/>
              </w:rPr>
              <w:t>的定义专家建议（草案）》</w:t>
            </w:r>
            <w:r>
              <w:rPr>
                <w:rFonts w:hint="eastAsia" w:asciiTheme="minorEastAsia" w:hAnsiTheme="minorEastAsia" w:eastAsiaTheme="minorEastAsia" w:cstheme="minorEastAsia"/>
                <w:color w:val="auto"/>
                <w:kern w:val="0"/>
                <w:sz w:val="20"/>
                <w:szCs w:val="20"/>
              </w:rPr>
              <w:t>自动判断是否为MDR、XDR、PDR，对特殊耐药菌自动进行颜色醒目标识。对多重耐药</w:t>
            </w:r>
            <w:r>
              <w:rPr>
                <w:rFonts w:hint="eastAsia" w:asciiTheme="minorEastAsia" w:hAnsiTheme="minorEastAsia" w:eastAsiaTheme="minorEastAsia" w:cstheme="minorEastAsia"/>
                <w:color w:val="auto"/>
                <w:kern w:val="0"/>
                <w:sz w:val="20"/>
                <w:szCs w:val="20"/>
                <w:lang w:val="zh-TW" w:eastAsia="zh-TW"/>
              </w:rPr>
              <w:t>进行多耐分析</w:t>
            </w:r>
            <w:r>
              <w:rPr>
                <w:rFonts w:hint="eastAsia" w:asciiTheme="minorEastAsia" w:hAnsiTheme="minorEastAsia" w:eastAsiaTheme="minorEastAsia" w:cstheme="minorEastAsia"/>
                <w:color w:val="auto"/>
                <w:kern w:val="0"/>
                <w:sz w:val="20"/>
                <w:szCs w:val="20"/>
                <w:lang w:val="zh-TW"/>
              </w:rPr>
              <w:t>，</w:t>
            </w:r>
            <w:r>
              <w:rPr>
                <w:rFonts w:hint="eastAsia" w:asciiTheme="minorEastAsia" w:hAnsiTheme="minorEastAsia" w:eastAsiaTheme="minorEastAsia" w:cstheme="minorEastAsia"/>
                <w:color w:val="auto"/>
                <w:kern w:val="0"/>
                <w:sz w:val="20"/>
                <w:szCs w:val="20"/>
                <w:lang w:val="zh-TW" w:eastAsia="zh-TW"/>
              </w:rPr>
              <w:t>及时对临床科室和感控科预警提示</w:t>
            </w:r>
          </w:p>
          <w:p w14:paraId="12BE4157">
            <w:pPr>
              <w:pStyle w:val="14"/>
              <w:numPr>
                <w:ilvl w:val="0"/>
                <w:numId w:val="0"/>
              </w:numPr>
              <w:tabs>
                <w:tab w:val="left" w:pos="420"/>
              </w:tabs>
              <w:spacing w:line="360" w:lineRule="auto"/>
              <w:ind w:leftChars="0"/>
              <w:jc w:val="left"/>
              <w:rPr>
                <w:rFonts w:hint="eastAsia" w:asciiTheme="minorEastAsia" w:hAnsiTheme="minorEastAsia" w:eastAsiaTheme="minorEastAsia" w:cstheme="minorEastAsia"/>
                <w:color w:val="auto"/>
                <w:kern w:val="0"/>
                <w:sz w:val="20"/>
                <w:szCs w:val="20"/>
                <w:lang w:val="zh-TW"/>
              </w:rPr>
            </w:pPr>
            <w:r>
              <w:rPr>
                <w:rFonts w:hint="eastAsia" w:asciiTheme="minorEastAsia" w:hAnsiTheme="minorEastAsia" w:eastAsiaTheme="minorEastAsia" w:cstheme="minorEastAsia"/>
                <w:color w:val="auto"/>
                <w:kern w:val="0"/>
                <w:sz w:val="20"/>
                <w:szCs w:val="20"/>
                <w:lang w:eastAsia="zh-CN"/>
              </w:rPr>
              <w:t>（</w:t>
            </w:r>
            <w:r>
              <w:rPr>
                <w:rFonts w:hint="eastAsia" w:asciiTheme="minorEastAsia" w:hAnsiTheme="minorEastAsia" w:eastAsiaTheme="minorEastAsia" w:cstheme="minorEastAsia"/>
                <w:color w:val="auto"/>
                <w:kern w:val="0"/>
                <w:sz w:val="20"/>
                <w:szCs w:val="20"/>
                <w:lang w:val="en-US" w:eastAsia="zh-CN"/>
              </w:rPr>
              <w:t>2</w:t>
            </w:r>
            <w:r>
              <w:rPr>
                <w:rFonts w:hint="eastAsia" w:asciiTheme="minorEastAsia" w:hAnsiTheme="minorEastAsia" w:eastAsiaTheme="minorEastAsia" w:cstheme="minorEastAsia"/>
                <w:color w:val="auto"/>
                <w:kern w:val="0"/>
                <w:sz w:val="20"/>
                <w:szCs w:val="20"/>
                <w:lang w:eastAsia="zh-CN"/>
              </w:rPr>
              <w:t>）</w:t>
            </w:r>
            <w:r>
              <w:rPr>
                <w:rFonts w:hint="eastAsia" w:asciiTheme="minorEastAsia" w:hAnsiTheme="minorEastAsia" w:eastAsiaTheme="minorEastAsia" w:cstheme="minorEastAsia"/>
                <w:color w:val="auto"/>
                <w:kern w:val="0"/>
                <w:sz w:val="20"/>
                <w:szCs w:val="20"/>
              </w:rPr>
              <w:t>细菌监测界面列表显示多耐/特耐审核状态、多重耐药菌防控措施的督导情况、多重耐药菌感染病例上报情况、隔离状态、是否出院、评分、管床医生、感染部位、感染类型、是否落实、备注等信息。</w:t>
            </w:r>
          </w:p>
          <w:p w14:paraId="27DD5C7B">
            <w:pPr>
              <w:pStyle w:val="14"/>
              <w:numPr>
                <w:ilvl w:val="0"/>
                <w:numId w:val="0"/>
              </w:numPr>
              <w:tabs>
                <w:tab w:val="left" w:pos="420"/>
              </w:tabs>
              <w:spacing w:line="360" w:lineRule="auto"/>
              <w:ind w:leftChars="0"/>
              <w:jc w:val="left"/>
              <w:rPr>
                <w:rFonts w:hint="eastAsia" w:asciiTheme="minorEastAsia" w:hAnsiTheme="minorEastAsia" w:eastAsiaTheme="minorEastAsia" w:cstheme="minorEastAsia"/>
                <w:color w:val="auto"/>
                <w:kern w:val="0"/>
                <w:sz w:val="20"/>
                <w:szCs w:val="20"/>
                <w:lang w:val="zh-TW" w:eastAsia="zh-TW"/>
              </w:rPr>
            </w:pPr>
            <w:r>
              <w:rPr>
                <w:rFonts w:hint="eastAsia" w:asciiTheme="minorEastAsia" w:hAnsiTheme="minorEastAsia" w:eastAsiaTheme="minorEastAsia" w:cstheme="minorEastAsia"/>
                <w:color w:val="auto"/>
                <w:kern w:val="0"/>
                <w:sz w:val="20"/>
                <w:szCs w:val="20"/>
                <w:lang w:eastAsia="zh-CN"/>
              </w:rPr>
              <w:t>（</w:t>
            </w:r>
            <w:r>
              <w:rPr>
                <w:rFonts w:hint="eastAsia" w:asciiTheme="minorEastAsia" w:hAnsiTheme="minorEastAsia" w:eastAsiaTheme="minorEastAsia" w:cstheme="minorEastAsia"/>
                <w:color w:val="auto"/>
                <w:kern w:val="0"/>
                <w:sz w:val="20"/>
                <w:szCs w:val="20"/>
                <w:lang w:val="en-US" w:eastAsia="zh-CN"/>
              </w:rPr>
              <w:t>3</w:t>
            </w:r>
            <w:r>
              <w:rPr>
                <w:rFonts w:hint="eastAsia" w:asciiTheme="minorEastAsia" w:hAnsiTheme="minorEastAsia" w:eastAsiaTheme="minorEastAsia" w:cstheme="minorEastAsia"/>
                <w:color w:val="auto"/>
                <w:kern w:val="0"/>
                <w:sz w:val="20"/>
                <w:szCs w:val="20"/>
                <w:lang w:eastAsia="zh-CN"/>
              </w:rPr>
              <w:t>）</w:t>
            </w:r>
            <w:r>
              <w:rPr>
                <w:rFonts w:hint="eastAsia" w:asciiTheme="minorEastAsia" w:hAnsiTheme="minorEastAsia" w:eastAsiaTheme="minorEastAsia" w:cstheme="minorEastAsia"/>
                <w:color w:val="auto"/>
                <w:kern w:val="0"/>
                <w:sz w:val="20"/>
                <w:szCs w:val="20"/>
              </w:rPr>
              <w:t>对每种抗菌药物的药敏结果进行展示，</w:t>
            </w:r>
            <w:r>
              <w:rPr>
                <w:rFonts w:hint="eastAsia" w:asciiTheme="minorEastAsia" w:hAnsiTheme="minorEastAsia" w:eastAsiaTheme="minorEastAsia" w:cstheme="minorEastAsia"/>
                <w:color w:val="auto"/>
                <w:kern w:val="0"/>
                <w:sz w:val="20"/>
                <w:szCs w:val="20"/>
                <w:lang w:val="zh-TW" w:eastAsia="zh-TW"/>
              </w:rPr>
              <w:t>并按照药敏药物的药品类别分组显示</w:t>
            </w:r>
            <w:r>
              <w:rPr>
                <w:rFonts w:hint="eastAsia" w:asciiTheme="minorEastAsia" w:hAnsiTheme="minorEastAsia" w:eastAsiaTheme="minorEastAsia" w:cstheme="minorEastAsia"/>
                <w:color w:val="auto"/>
                <w:kern w:val="0"/>
                <w:sz w:val="20"/>
                <w:szCs w:val="20"/>
                <w:lang w:val="zh-TW"/>
              </w:rPr>
              <w:t>，</w:t>
            </w:r>
            <w:r>
              <w:rPr>
                <w:rFonts w:hint="eastAsia" w:asciiTheme="minorEastAsia" w:hAnsiTheme="minorEastAsia" w:eastAsiaTheme="minorEastAsia" w:cstheme="minorEastAsia"/>
                <w:color w:val="auto"/>
                <w:kern w:val="0"/>
                <w:sz w:val="20"/>
                <w:szCs w:val="20"/>
              </w:rPr>
              <w:t>包括：β-内酰胺与β-内酰胺酶抑制复合物、</w:t>
            </w:r>
            <w:r>
              <w:rPr>
                <w:rFonts w:hint="eastAsia" w:asciiTheme="minorEastAsia" w:hAnsiTheme="minorEastAsia" w:eastAsiaTheme="minorEastAsia" w:cstheme="minorEastAsia"/>
                <w:color w:val="auto"/>
                <w:kern w:val="0"/>
                <w:sz w:val="20"/>
                <w:szCs w:val="20"/>
                <w:lang w:val="zh-TW" w:eastAsia="zh-TW"/>
              </w:rPr>
              <w:t>氨基糖苷类</w:t>
            </w:r>
            <w:r>
              <w:rPr>
                <w:rFonts w:hint="eastAsia" w:asciiTheme="minorEastAsia" w:hAnsiTheme="minorEastAsia" w:eastAsiaTheme="minorEastAsia" w:cstheme="minorEastAsia"/>
                <w:color w:val="auto"/>
                <w:kern w:val="0"/>
                <w:sz w:val="20"/>
                <w:szCs w:val="20"/>
                <w:lang w:val="zh-TW"/>
              </w:rPr>
              <w:t>、</w:t>
            </w:r>
            <w:r>
              <w:rPr>
                <w:rFonts w:hint="eastAsia" w:asciiTheme="minorEastAsia" w:hAnsiTheme="minorEastAsia" w:eastAsiaTheme="minorEastAsia" w:cstheme="minorEastAsia"/>
                <w:color w:val="auto"/>
                <w:kern w:val="0"/>
                <w:sz w:val="20"/>
                <w:szCs w:val="20"/>
                <w:lang w:val="zh-TW" w:eastAsia="zh-TW"/>
              </w:rPr>
              <w:t>单环β-内酰胺类</w:t>
            </w:r>
            <w:r>
              <w:rPr>
                <w:rFonts w:hint="eastAsia" w:asciiTheme="minorEastAsia" w:hAnsiTheme="minorEastAsia" w:eastAsiaTheme="minorEastAsia" w:cstheme="minorEastAsia"/>
                <w:color w:val="auto"/>
                <w:kern w:val="0"/>
                <w:sz w:val="20"/>
                <w:szCs w:val="20"/>
                <w:lang w:val="zh-TW"/>
              </w:rPr>
              <w:t>、</w:t>
            </w:r>
            <w:r>
              <w:rPr>
                <w:rFonts w:hint="eastAsia" w:asciiTheme="minorEastAsia" w:hAnsiTheme="minorEastAsia" w:eastAsiaTheme="minorEastAsia" w:cstheme="minorEastAsia"/>
                <w:color w:val="auto"/>
                <w:kern w:val="0"/>
                <w:sz w:val="20"/>
                <w:szCs w:val="20"/>
                <w:lang w:val="zh-TW" w:eastAsia="zh-TW"/>
              </w:rPr>
              <w:t>青霉素类</w:t>
            </w:r>
            <w:r>
              <w:rPr>
                <w:rFonts w:hint="eastAsia" w:asciiTheme="minorEastAsia" w:hAnsiTheme="minorEastAsia" w:eastAsiaTheme="minorEastAsia" w:cstheme="minorEastAsia"/>
                <w:color w:val="auto"/>
                <w:kern w:val="0"/>
                <w:sz w:val="20"/>
                <w:szCs w:val="20"/>
                <w:lang w:val="zh-TW"/>
              </w:rPr>
              <w:t>、</w:t>
            </w:r>
            <w:r>
              <w:rPr>
                <w:rFonts w:hint="eastAsia" w:asciiTheme="minorEastAsia" w:hAnsiTheme="minorEastAsia" w:eastAsiaTheme="minorEastAsia" w:cstheme="minorEastAsia"/>
                <w:color w:val="auto"/>
                <w:kern w:val="0"/>
                <w:sz w:val="20"/>
                <w:szCs w:val="20"/>
                <w:lang w:val="zh-TW" w:eastAsia="zh-TW"/>
              </w:rPr>
              <w:t>碳青霉烯类</w:t>
            </w:r>
            <w:r>
              <w:rPr>
                <w:rFonts w:hint="eastAsia" w:asciiTheme="minorEastAsia" w:hAnsiTheme="minorEastAsia" w:eastAsiaTheme="minorEastAsia" w:cstheme="minorEastAsia"/>
                <w:color w:val="auto"/>
                <w:kern w:val="0"/>
                <w:sz w:val="20"/>
                <w:szCs w:val="20"/>
                <w:lang w:val="zh-TW"/>
              </w:rPr>
              <w:t>、</w:t>
            </w:r>
            <w:r>
              <w:rPr>
                <w:rFonts w:hint="eastAsia" w:asciiTheme="minorEastAsia" w:hAnsiTheme="minorEastAsia" w:eastAsiaTheme="minorEastAsia" w:cstheme="minorEastAsia"/>
                <w:color w:val="auto"/>
                <w:kern w:val="0"/>
                <w:sz w:val="20"/>
                <w:szCs w:val="20"/>
                <w:lang w:val="zh-TW" w:eastAsia="zh-TW"/>
              </w:rPr>
              <w:t>头孢类</w:t>
            </w:r>
            <w:r>
              <w:rPr>
                <w:rFonts w:hint="eastAsia" w:asciiTheme="minorEastAsia" w:hAnsiTheme="minorEastAsia" w:eastAsiaTheme="minorEastAsia" w:cstheme="minorEastAsia"/>
                <w:color w:val="auto"/>
                <w:kern w:val="0"/>
                <w:sz w:val="20"/>
                <w:szCs w:val="20"/>
                <w:lang w:val="zh-TW"/>
              </w:rPr>
              <w:t>、</w:t>
            </w:r>
            <w:r>
              <w:rPr>
                <w:rFonts w:hint="eastAsia" w:asciiTheme="minorEastAsia" w:hAnsiTheme="minorEastAsia" w:eastAsiaTheme="minorEastAsia" w:cstheme="minorEastAsia"/>
                <w:color w:val="auto"/>
                <w:kern w:val="0"/>
                <w:sz w:val="20"/>
                <w:szCs w:val="20"/>
                <w:lang w:val="zh-TW" w:eastAsia="zh-TW"/>
              </w:rPr>
              <w:t>硝基呋喃类</w:t>
            </w:r>
            <w:r>
              <w:rPr>
                <w:rFonts w:hint="eastAsia" w:asciiTheme="minorEastAsia" w:hAnsiTheme="minorEastAsia" w:eastAsiaTheme="minorEastAsia" w:cstheme="minorEastAsia"/>
                <w:color w:val="auto"/>
                <w:kern w:val="0"/>
                <w:sz w:val="20"/>
                <w:szCs w:val="20"/>
                <w:lang w:val="zh-TW"/>
              </w:rPr>
              <w:t>、</w:t>
            </w:r>
            <w:r>
              <w:rPr>
                <w:rFonts w:hint="eastAsia" w:asciiTheme="minorEastAsia" w:hAnsiTheme="minorEastAsia" w:eastAsiaTheme="minorEastAsia" w:cstheme="minorEastAsia"/>
                <w:color w:val="auto"/>
                <w:kern w:val="0"/>
                <w:sz w:val="20"/>
                <w:szCs w:val="20"/>
                <w:lang w:val="zh-TW" w:eastAsia="zh-TW"/>
              </w:rPr>
              <w:t>叶酸代谢途径抑制剂(磺胺类)</w:t>
            </w:r>
            <w:r>
              <w:rPr>
                <w:rFonts w:hint="eastAsia" w:asciiTheme="minorEastAsia" w:hAnsiTheme="minorEastAsia" w:eastAsiaTheme="minorEastAsia" w:cstheme="minorEastAsia"/>
                <w:color w:val="auto"/>
                <w:kern w:val="0"/>
                <w:sz w:val="20"/>
                <w:szCs w:val="20"/>
                <w:lang w:val="zh-TW"/>
              </w:rPr>
              <w:t>、</w:t>
            </w:r>
            <w:r>
              <w:rPr>
                <w:rFonts w:hint="eastAsia" w:asciiTheme="minorEastAsia" w:hAnsiTheme="minorEastAsia" w:eastAsiaTheme="minorEastAsia" w:cstheme="minorEastAsia"/>
                <w:color w:val="auto"/>
                <w:kern w:val="0"/>
                <w:sz w:val="20"/>
                <w:szCs w:val="20"/>
                <w:lang w:val="zh-TW" w:eastAsia="zh-TW"/>
              </w:rPr>
              <w:t>喹诺酮类</w:t>
            </w:r>
            <w:r>
              <w:rPr>
                <w:rFonts w:hint="eastAsia" w:asciiTheme="minorEastAsia" w:hAnsiTheme="minorEastAsia" w:eastAsiaTheme="minorEastAsia" w:cstheme="minorEastAsia"/>
                <w:color w:val="auto"/>
                <w:kern w:val="0"/>
                <w:sz w:val="20"/>
                <w:szCs w:val="20"/>
              </w:rPr>
              <w:t>等，</w:t>
            </w:r>
            <w:r>
              <w:rPr>
                <w:rFonts w:hint="eastAsia" w:asciiTheme="minorEastAsia" w:hAnsiTheme="minorEastAsia" w:eastAsiaTheme="minorEastAsia" w:cstheme="minorEastAsia"/>
                <w:color w:val="auto"/>
                <w:kern w:val="0"/>
                <w:sz w:val="20"/>
                <w:szCs w:val="20"/>
                <w:lang w:val="en-US" w:eastAsia="zh-CN"/>
              </w:rPr>
              <w:t>支持</w:t>
            </w:r>
            <w:r>
              <w:rPr>
                <w:rFonts w:hint="eastAsia" w:asciiTheme="minorEastAsia" w:hAnsiTheme="minorEastAsia" w:eastAsiaTheme="minorEastAsia" w:cstheme="minorEastAsia"/>
                <w:color w:val="auto"/>
                <w:kern w:val="0"/>
                <w:sz w:val="20"/>
                <w:szCs w:val="20"/>
                <w:lang w:val="zh-TW" w:eastAsia="zh-TW"/>
              </w:rPr>
              <w:t>天然耐药</w:t>
            </w:r>
            <w:r>
              <w:rPr>
                <w:rFonts w:hint="eastAsia" w:asciiTheme="minorEastAsia" w:hAnsiTheme="minorEastAsia" w:eastAsiaTheme="minorEastAsia" w:cstheme="minorEastAsia"/>
                <w:color w:val="auto"/>
                <w:kern w:val="0"/>
                <w:sz w:val="20"/>
                <w:szCs w:val="20"/>
              </w:rPr>
              <w:t>的抗菌药物</w:t>
            </w:r>
            <w:r>
              <w:rPr>
                <w:rFonts w:hint="eastAsia" w:asciiTheme="minorEastAsia" w:hAnsiTheme="minorEastAsia" w:eastAsiaTheme="minorEastAsia" w:cstheme="minorEastAsia"/>
                <w:color w:val="auto"/>
                <w:kern w:val="0"/>
                <w:sz w:val="20"/>
                <w:szCs w:val="20"/>
                <w:lang w:val="zh-TW" w:eastAsia="zh-TW"/>
              </w:rPr>
              <w:t>，有</w:t>
            </w:r>
            <w:r>
              <w:rPr>
                <w:rFonts w:hint="eastAsia" w:asciiTheme="minorEastAsia" w:hAnsiTheme="minorEastAsia" w:eastAsiaTheme="minorEastAsia" w:cstheme="minorEastAsia"/>
                <w:color w:val="auto"/>
                <w:kern w:val="0"/>
                <w:sz w:val="20"/>
                <w:szCs w:val="20"/>
              </w:rPr>
              <w:t>不同颜色区分的</w:t>
            </w:r>
            <w:r>
              <w:rPr>
                <w:rFonts w:hint="eastAsia" w:asciiTheme="minorEastAsia" w:hAnsiTheme="minorEastAsia" w:eastAsiaTheme="minorEastAsia" w:cstheme="minorEastAsia"/>
                <w:color w:val="auto"/>
                <w:kern w:val="0"/>
                <w:sz w:val="20"/>
                <w:szCs w:val="20"/>
                <w:lang w:val="zh-TW" w:eastAsia="zh-TW"/>
              </w:rPr>
              <w:t>显眼提示</w:t>
            </w:r>
            <w:r>
              <w:rPr>
                <w:rFonts w:hint="eastAsia" w:asciiTheme="minorEastAsia" w:hAnsiTheme="minorEastAsia" w:eastAsiaTheme="minorEastAsia" w:cstheme="minorEastAsia"/>
                <w:color w:val="auto"/>
                <w:kern w:val="0"/>
                <w:sz w:val="20"/>
                <w:szCs w:val="20"/>
                <w:lang w:val="zh-TW"/>
              </w:rPr>
              <w:t>。</w:t>
            </w:r>
          </w:p>
          <w:p w14:paraId="7231A529">
            <w:pPr>
              <w:pStyle w:val="14"/>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en-US" w:eastAsia="zh-CN"/>
              </w:rPr>
              <w:t>4</w:t>
            </w: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支持根据最新规范标准，自动区分出</w:t>
            </w:r>
            <w:r>
              <w:rPr>
                <w:rFonts w:hint="eastAsia" w:asciiTheme="minorEastAsia" w:hAnsiTheme="minorEastAsia" w:eastAsiaTheme="minorEastAsia" w:cstheme="minorEastAsia"/>
                <w:kern w:val="0"/>
                <w:sz w:val="20"/>
                <w:szCs w:val="20"/>
              </w:rPr>
              <w:t>MDR</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XDR</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PDR</w:t>
            </w:r>
            <w:r>
              <w:rPr>
                <w:rFonts w:hint="eastAsia" w:asciiTheme="minorEastAsia" w:hAnsiTheme="minorEastAsia" w:eastAsiaTheme="minorEastAsia" w:cstheme="minorEastAsia"/>
                <w:kern w:val="0"/>
                <w:sz w:val="20"/>
                <w:szCs w:val="20"/>
                <w:lang w:val="zh-TW" w:eastAsia="zh-TW"/>
              </w:rPr>
              <w:t>、特殊耐药菌、能够自动剔除天然耐药。</w:t>
            </w:r>
          </w:p>
          <w:p w14:paraId="759A04DC">
            <w:pPr>
              <w:pStyle w:val="14"/>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en-US" w:eastAsia="zh-CN"/>
              </w:rPr>
              <w:t>5</w:t>
            </w: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支持每日检出菌中按管辖科室或全院视角查看，自动优先展示未审核的重点菌内容，对聚焦重点菌的审核、干预；</w:t>
            </w:r>
          </w:p>
          <w:p w14:paraId="30B96C93">
            <w:pPr>
              <w:pStyle w:val="14"/>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en-US" w:eastAsia="zh-CN"/>
              </w:rPr>
              <w:t>6）</w:t>
            </w:r>
            <w:r>
              <w:rPr>
                <w:rFonts w:hint="eastAsia" w:asciiTheme="minorEastAsia" w:hAnsiTheme="minorEastAsia" w:eastAsiaTheme="minorEastAsia" w:cstheme="minorEastAsia"/>
                <w:kern w:val="0"/>
                <w:sz w:val="20"/>
                <w:szCs w:val="20"/>
                <w:lang w:val="zh-TW" w:eastAsia="zh-TW"/>
              </w:rPr>
              <w:t>支持自动关联感染的致病菌信息，包括：感染类型、感染时间、感染部位；</w:t>
            </w:r>
          </w:p>
          <w:p w14:paraId="54871898">
            <w:pPr>
              <w:pStyle w:val="14"/>
              <w:numPr>
                <w:ilvl w:val="0"/>
                <w:numId w:val="0"/>
              </w:numPr>
              <w:tabs>
                <w:tab w:val="left" w:pos="420"/>
              </w:tabs>
              <w:spacing w:line="360" w:lineRule="auto"/>
              <w:ind w:leftChars="0"/>
              <w:jc w:val="left"/>
              <w:rPr>
                <w:rFonts w:hint="eastAsia" w:asciiTheme="minorEastAsia" w:hAnsiTheme="minorEastAsia" w:eastAsiaTheme="minorEastAsia" w:cstheme="minorEastAsia"/>
                <w:color w:val="auto"/>
                <w:kern w:val="0"/>
                <w:sz w:val="20"/>
                <w:szCs w:val="20"/>
                <w:lang w:val="zh-TW"/>
              </w:rPr>
            </w:pPr>
            <w:r>
              <w:rPr>
                <w:rFonts w:hint="eastAsia" w:asciiTheme="minorEastAsia" w:hAnsiTheme="minorEastAsia" w:eastAsiaTheme="minorEastAsia" w:cstheme="minorEastAsia"/>
                <w:color w:val="auto"/>
                <w:kern w:val="0"/>
                <w:sz w:val="20"/>
                <w:szCs w:val="20"/>
                <w:lang w:eastAsia="zh-CN"/>
              </w:rPr>
              <w:t>（</w:t>
            </w:r>
            <w:r>
              <w:rPr>
                <w:rFonts w:hint="eastAsia" w:asciiTheme="minorEastAsia" w:hAnsiTheme="minorEastAsia" w:eastAsiaTheme="minorEastAsia" w:cstheme="minorEastAsia"/>
                <w:color w:val="auto"/>
                <w:kern w:val="0"/>
                <w:sz w:val="20"/>
                <w:szCs w:val="20"/>
                <w:lang w:val="en-US" w:eastAsia="zh-CN"/>
              </w:rPr>
              <w:t>7</w:t>
            </w:r>
            <w:r>
              <w:rPr>
                <w:rFonts w:hint="eastAsia" w:asciiTheme="minorEastAsia" w:hAnsiTheme="minorEastAsia" w:eastAsiaTheme="minorEastAsia" w:cstheme="minorEastAsia"/>
                <w:color w:val="auto"/>
                <w:kern w:val="0"/>
                <w:sz w:val="20"/>
                <w:szCs w:val="20"/>
                <w:lang w:eastAsia="zh-CN"/>
              </w:rPr>
              <w:t>）</w:t>
            </w:r>
            <w:r>
              <w:rPr>
                <w:rFonts w:hint="eastAsia" w:asciiTheme="minorEastAsia" w:hAnsiTheme="minorEastAsia" w:eastAsiaTheme="minorEastAsia" w:cstheme="minorEastAsia"/>
                <w:color w:val="auto"/>
                <w:kern w:val="0"/>
                <w:sz w:val="20"/>
                <w:szCs w:val="20"/>
              </w:rPr>
              <w:t>该界面</w:t>
            </w:r>
            <w:r>
              <w:rPr>
                <w:rFonts w:hint="eastAsia" w:asciiTheme="minorEastAsia" w:hAnsiTheme="minorEastAsia" w:eastAsiaTheme="minorEastAsia" w:cstheme="minorEastAsia"/>
                <w:color w:val="auto"/>
                <w:kern w:val="0"/>
                <w:sz w:val="20"/>
                <w:szCs w:val="20"/>
                <w:lang w:val="zh-TW" w:eastAsia="zh-TW"/>
              </w:rPr>
              <w:t>支持</w:t>
            </w:r>
            <w:r>
              <w:rPr>
                <w:rFonts w:hint="eastAsia" w:asciiTheme="minorEastAsia" w:hAnsiTheme="minorEastAsia" w:eastAsiaTheme="minorEastAsia" w:cstheme="minorEastAsia"/>
                <w:color w:val="auto"/>
                <w:kern w:val="0"/>
                <w:sz w:val="20"/>
                <w:szCs w:val="20"/>
              </w:rPr>
              <w:t>支持在该界面对多重耐药菌进行多耐、特耐审核；</w:t>
            </w:r>
            <w:r>
              <w:rPr>
                <w:rFonts w:hint="eastAsia" w:asciiTheme="minorEastAsia" w:hAnsiTheme="minorEastAsia" w:eastAsiaTheme="minorEastAsia" w:cstheme="minorEastAsia"/>
                <w:color w:val="auto"/>
                <w:kern w:val="0"/>
                <w:sz w:val="20"/>
                <w:szCs w:val="20"/>
                <w:lang w:val="zh-TW" w:eastAsia="zh-TW"/>
              </w:rPr>
              <w:t>对</w:t>
            </w:r>
            <w:r>
              <w:rPr>
                <w:rFonts w:hint="eastAsia" w:asciiTheme="minorEastAsia" w:hAnsiTheme="minorEastAsia" w:eastAsiaTheme="minorEastAsia" w:cstheme="minorEastAsia"/>
                <w:color w:val="auto"/>
                <w:kern w:val="0"/>
                <w:sz w:val="20"/>
                <w:szCs w:val="20"/>
              </w:rPr>
              <w:t>细菌</w:t>
            </w:r>
            <w:r>
              <w:rPr>
                <w:rFonts w:hint="eastAsia" w:asciiTheme="minorEastAsia" w:hAnsiTheme="minorEastAsia" w:eastAsiaTheme="minorEastAsia" w:cstheme="minorEastAsia"/>
                <w:color w:val="auto"/>
                <w:kern w:val="0"/>
                <w:sz w:val="20"/>
                <w:szCs w:val="20"/>
                <w:lang w:val="zh-TW" w:eastAsia="zh-TW"/>
              </w:rPr>
              <w:t>的感染类型</w:t>
            </w:r>
            <w:r>
              <w:rPr>
                <w:rFonts w:hint="eastAsia" w:asciiTheme="minorEastAsia" w:hAnsiTheme="minorEastAsia" w:eastAsiaTheme="minorEastAsia" w:cstheme="minorEastAsia"/>
                <w:color w:val="auto"/>
                <w:kern w:val="0"/>
                <w:sz w:val="20"/>
                <w:szCs w:val="20"/>
                <w:lang w:val="zh-TW"/>
              </w:rPr>
              <w:t>审核处理</w:t>
            </w:r>
            <w:r>
              <w:rPr>
                <w:rFonts w:hint="eastAsia" w:asciiTheme="minorEastAsia" w:hAnsiTheme="minorEastAsia" w:eastAsiaTheme="minorEastAsia" w:cstheme="minorEastAsia"/>
                <w:color w:val="auto"/>
                <w:kern w:val="0"/>
                <w:sz w:val="20"/>
                <w:szCs w:val="20"/>
                <w:lang w:val="zh-TW" w:eastAsia="zh-TW"/>
              </w:rPr>
              <w:t>，包括：院感、社感、定植、污染、不确定、未审核</w:t>
            </w:r>
            <w:r>
              <w:rPr>
                <w:rFonts w:hint="eastAsia" w:asciiTheme="minorEastAsia" w:hAnsiTheme="minorEastAsia" w:eastAsiaTheme="minorEastAsia" w:cstheme="minorEastAsia"/>
                <w:color w:val="auto"/>
                <w:kern w:val="0"/>
                <w:sz w:val="20"/>
                <w:szCs w:val="20"/>
              </w:rPr>
              <w:t>等操作；</w:t>
            </w:r>
            <w:r>
              <w:rPr>
                <w:rFonts w:hint="eastAsia" w:asciiTheme="minorEastAsia" w:hAnsiTheme="minorEastAsia" w:eastAsiaTheme="minorEastAsia" w:cstheme="minorEastAsia"/>
                <w:color w:val="auto"/>
                <w:kern w:val="0"/>
                <w:sz w:val="20"/>
                <w:szCs w:val="20"/>
                <w:lang w:val="zh-TW"/>
              </w:rPr>
              <w:t>审核为院感时，可优先干预到临床，要求临床先进行院感致病菌报告；</w:t>
            </w:r>
          </w:p>
          <w:p w14:paraId="5DC76D36">
            <w:pPr>
              <w:pStyle w:val="14"/>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en-US" w:eastAsia="zh-CN"/>
              </w:rPr>
              <w:t>8</w:t>
            </w: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支持根据患者医嘱情况，自动展示患者隔离</w:t>
            </w:r>
            <w:r>
              <w:rPr>
                <w:rFonts w:hint="eastAsia" w:asciiTheme="minorEastAsia" w:hAnsiTheme="minorEastAsia" w:eastAsiaTheme="minorEastAsia" w:cstheme="minorEastAsia"/>
                <w:kern w:val="0"/>
                <w:sz w:val="20"/>
                <w:szCs w:val="20"/>
                <w:lang w:val="zh-TW"/>
              </w:rPr>
              <w:t>标识</w:t>
            </w:r>
            <w:r>
              <w:rPr>
                <w:rFonts w:hint="eastAsia" w:asciiTheme="minorEastAsia" w:hAnsiTheme="minorEastAsia" w:eastAsiaTheme="minorEastAsia" w:cstheme="minorEastAsia"/>
                <w:kern w:val="0"/>
                <w:sz w:val="20"/>
                <w:szCs w:val="20"/>
                <w:lang w:val="zh-TW" w:eastAsia="zh-TW"/>
              </w:rPr>
              <w:t>，自动计算出患者开始隔离日期、解除隔离日期</w:t>
            </w:r>
            <w:r>
              <w:rPr>
                <w:rFonts w:hint="eastAsia" w:asciiTheme="minorEastAsia" w:hAnsiTheme="minorEastAsia" w:eastAsiaTheme="minorEastAsia" w:cstheme="minorEastAsia"/>
                <w:kern w:val="0"/>
                <w:sz w:val="20"/>
                <w:szCs w:val="20"/>
                <w:lang w:val="zh-TW"/>
              </w:rPr>
              <w:t>，可钻取隔离标识的医嘱明细</w:t>
            </w:r>
            <w:r>
              <w:rPr>
                <w:rFonts w:hint="eastAsia" w:asciiTheme="minorEastAsia" w:hAnsiTheme="minorEastAsia" w:eastAsiaTheme="minorEastAsia" w:cstheme="minorEastAsia"/>
                <w:kern w:val="0"/>
                <w:sz w:val="20"/>
                <w:szCs w:val="20"/>
                <w:lang w:val="zh-TW" w:eastAsia="zh-TW"/>
              </w:rPr>
              <w:t>；</w:t>
            </w:r>
          </w:p>
          <w:p w14:paraId="46B5A355">
            <w:pPr>
              <w:pStyle w:val="14"/>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en-US" w:eastAsia="zh-CN"/>
              </w:rPr>
              <w:t>9</w:t>
            </w: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支持对干预的检出菌患者，进行隔离干预消息操作，干预自动生成；</w:t>
            </w:r>
          </w:p>
          <w:p w14:paraId="4147D13D">
            <w:pPr>
              <w:pStyle w:val="14"/>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en-US" w:eastAsia="zh-CN"/>
              </w:rPr>
              <w:t>10</w:t>
            </w: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支持调阅查看多重耐药菌患者的感染防控评估表执行情况；</w:t>
            </w:r>
          </w:p>
          <w:p w14:paraId="7B32F76F">
            <w:pPr>
              <w:pStyle w:val="14"/>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en-US" w:eastAsia="zh-CN"/>
              </w:rPr>
              <w:t>11</w:t>
            </w: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支持按多条件查询检出菌明细，条件包括：时间类型（送检日期、检出日期），患者检索、科室类型、科室名称、重点菌和非重点菌、细菌名称、革兰氏</w:t>
            </w:r>
            <w:r>
              <w:rPr>
                <w:rFonts w:hint="eastAsia" w:asciiTheme="minorEastAsia" w:hAnsiTheme="minorEastAsia" w:eastAsiaTheme="minorEastAsia" w:cstheme="minorEastAsia"/>
                <w:kern w:val="0"/>
                <w:sz w:val="20"/>
                <w:szCs w:val="20"/>
              </w:rPr>
              <w:t>G+/G-</w:t>
            </w:r>
            <w:r>
              <w:rPr>
                <w:rFonts w:hint="eastAsia" w:asciiTheme="minorEastAsia" w:hAnsiTheme="minorEastAsia" w:eastAsiaTheme="minorEastAsia" w:cstheme="minorEastAsia"/>
                <w:kern w:val="0"/>
                <w:sz w:val="20"/>
                <w:szCs w:val="20"/>
                <w:lang w:val="zh-TW" w:eastAsia="zh-TW"/>
              </w:rPr>
              <w:t>、菌属分类、感染类型、隔离医嘱情况、管辖科室</w:t>
            </w:r>
            <w:r>
              <w:rPr>
                <w:rFonts w:hint="eastAsia" w:asciiTheme="minorEastAsia" w:hAnsiTheme="minorEastAsia" w:eastAsiaTheme="minorEastAsia" w:cstheme="minorEastAsia"/>
                <w:kern w:val="0"/>
                <w:sz w:val="20"/>
                <w:szCs w:val="20"/>
              </w:rPr>
              <w:t>/</w:t>
            </w:r>
            <w:r>
              <w:rPr>
                <w:rFonts w:hint="eastAsia" w:asciiTheme="minorEastAsia" w:hAnsiTheme="minorEastAsia" w:eastAsiaTheme="minorEastAsia" w:cstheme="minorEastAsia"/>
                <w:kern w:val="0"/>
                <w:sz w:val="20"/>
                <w:szCs w:val="20"/>
                <w:lang w:val="zh-TW" w:eastAsia="zh-TW"/>
              </w:rPr>
              <w:t>全院；</w:t>
            </w:r>
          </w:p>
          <w:p w14:paraId="6D4B5B34">
            <w:pPr>
              <w:pStyle w:val="14"/>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en-US" w:eastAsia="zh-CN"/>
              </w:rPr>
              <w:t>12</w:t>
            </w: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支持对查询的菌结果，可直接导出</w:t>
            </w:r>
            <w:r>
              <w:rPr>
                <w:rFonts w:hint="eastAsia" w:asciiTheme="minorEastAsia" w:hAnsiTheme="minorEastAsia" w:eastAsiaTheme="minorEastAsia" w:cstheme="minorEastAsia"/>
                <w:kern w:val="0"/>
                <w:sz w:val="20"/>
                <w:szCs w:val="20"/>
              </w:rPr>
              <w:t>XLS</w:t>
            </w:r>
            <w:r>
              <w:rPr>
                <w:rFonts w:hint="eastAsia" w:asciiTheme="minorEastAsia" w:hAnsiTheme="minorEastAsia" w:eastAsiaTheme="minorEastAsia" w:cstheme="minorEastAsia"/>
                <w:kern w:val="0"/>
                <w:sz w:val="20"/>
                <w:szCs w:val="20"/>
                <w:lang w:val="zh-TW" w:eastAsia="zh-TW"/>
              </w:rPr>
              <w:t>。</w:t>
            </w:r>
          </w:p>
          <w:p w14:paraId="7EF6B9B8">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支持可按多种条件进行查询统计，包括：时间类型（送检日期、检出日期）</w:t>
            </w:r>
            <w:r>
              <w:rPr>
                <w:rFonts w:hint="eastAsia" w:asciiTheme="minorEastAsia" w:hAnsiTheme="minorEastAsia" w:eastAsiaTheme="minorEastAsia" w:cstheme="minorEastAsia"/>
                <w:kern w:val="0"/>
                <w:sz w:val="20"/>
                <w:szCs w:val="20"/>
                <w:lang w:val="zh-TW"/>
              </w:rPr>
              <w:t>按月度、季度、年度、自定义时间段</w:t>
            </w:r>
            <w:r>
              <w:rPr>
                <w:rFonts w:hint="eastAsia" w:asciiTheme="minorEastAsia" w:hAnsiTheme="minorEastAsia" w:eastAsiaTheme="minorEastAsia" w:cstheme="minorEastAsia"/>
                <w:kern w:val="0"/>
                <w:sz w:val="20"/>
                <w:szCs w:val="20"/>
                <w:lang w:val="zh-TW" w:eastAsia="zh-TW"/>
              </w:rPr>
              <w:t>，科室类型、科室名称、细菌名称、标本名称、革兰氏</w:t>
            </w:r>
            <w:r>
              <w:rPr>
                <w:rFonts w:hint="eastAsia" w:asciiTheme="minorEastAsia" w:hAnsiTheme="minorEastAsia" w:eastAsiaTheme="minorEastAsia" w:cstheme="minorEastAsia"/>
                <w:kern w:val="0"/>
                <w:sz w:val="20"/>
                <w:szCs w:val="20"/>
              </w:rPr>
              <w:t>G+/G-</w:t>
            </w:r>
            <w:r>
              <w:rPr>
                <w:rFonts w:hint="eastAsia" w:asciiTheme="minorEastAsia" w:hAnsiTheme="minorEastAsia" w:eastAsiaTheme="minorEastAsia" w:cstheme="minorEastAsia"/>
                <w:kern w:val="0"/>
                <w:sz w:val="20"/>
                <w:szCs w:val="20"/>
                <w:lang w:val="zh-TW" w:eastAsia="zh-TW"/>
              </w:rPr>
              <w:t>、菌属分类、感染类型、管辖科室</w:t>
            </w:r>
            <w:r>
              <w:rPr>
                <w:rFonts w:hint="eastAsia" w:asciiTheme="minorEastAsia" w:hAnsiTheme="minorEastAsia" w:eastAsiaTheme="minorEastAsia" w:cstheme="minorEastAsia"/>
                <w:kern w:val="0"/>
                <w:sz w:val="20"/>
                <w:szCs w:val="20"/>
              </w:rPr>
              <w:t>/</w:t>
            </w:r>
            <w:r>
              <w:rPr>
                <w:rFonts w:hint="eastAsia" w:asciiTheme="minorEastAsia" w:hAnsiTheme="minorEastAsia" w:eastAsiaTheme="minorEastAsia" w:cstheme="minorEastAsia"/>
                <w:kern w:val="0"/>
                <w:sz w:val="20"/>
                <w:szCs w:val="20"/>
                <w:lang w:val="zh-TW" w:eastAsia="zh-TW"/>
              </w:rPr>
              <w:t>全院维度，自动剔除重复</w:t>
            </w:r>
            <w:r>
              <w:rPr>
                <w:rFonts w:hint="eastAsia" w:asciiTheme="minorEastAsia" w:hAnsiTheme="minorEastAsia" w:eastAsiaTheme="minorEastAsia" w:cstheme="minorEastAsia"/>
                <w:kern w:val="0"/>
                <w:sz w:val="20"/>
                <w:szCs w:val="20"/>
                <w:lang w:val="zh-TW"/>
              </w:rPr>
              <w:t>；</w:t>
            </w:r>
          </w:p>
          <w:p w14:paraId="5A3FD455">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指标包括：</w:t>
            </w:r>
            <w:r>
              <w:rPr>
                <w:rFonts w:hint="eastAsia" w:asciiTheme="minorEastAsia" w:hAnsiTheme="minorEastAsia" w:eastAsiaTheme="minorEastAsia" w:cstheme="minorEastAsia"/>
                <w:kern w:val="0"/>
                <w:sz w:val="20"/>
                <w:szCs w:val="20"/>
                <w:lang w:val="zh-TW" w:eastAsia="zh-TW"/>
              </w:rPr>
              <w:t>送检阳性率（科室）</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送检多耐率（科室）</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检出菌耐药率统计</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按耐药率程度颜色标记</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检出菌标本分布</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检出菌科室分布</w:t>
            </w:r>
            <w:r>
              <w:rPr>
                <w:rFonts w:hint="eastAsia" w:asciiTheme="minorEastAsia" w:hAnsiTheme="minorEastAsia" w:eastAsiaTheme="minorEastAsia" w:cstheme="minorEastAsia"/>
                <w:kern w:val="0"/>
                <w:sz w:val="20"/>
                <w:szCs w:val="20"/>
                <w:lang w:val="zh-TW"/>
              </w:rPr>
              <w:t>、感染类型分布、多重耐药菌感染人（例次）数、多重耐药菌感染发生（例次）率、多重耐药菌千日感染（例次）率、重点菌感染次数、检出菌标本分布、标本检出菌分布、体温异常血培养送检率；</w:t>
            </w:r>
          </w:p>
          <w:p w14:paraId="5DC1B0E5">
            <w:pPr>
              <w:pStyle w:val="14"/>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en-US" w:eastAsia="zh-CN"/>
              </w:rPr>
              <w:t>15</w:t>
            </w: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按月度、季度、年度的环比分析检出率趋势、多耐率趋势、菌的耐药率趋势。</w:t>
            </w:r>
          </w:p>
        </w:tc>
      </w:tr>
      <w:tr w14:paraId="411A0C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96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4EFA">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BD36">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多重耐药菌防控措施评估</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D9CAC24">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w:t>
            </w:r>
            <w:r>
              <w:rPr>
                <w:rFonts w:hint="eastAsia" w:asciiTheme="minorEastAsia" w:hAnsiTheme="minorEastAsia" w:eastAsiaTheme="minorEastAsia" w:cstheme="minorEastAsia"/>
                <w:kern w:val="0"/>
                <w:sz w:val="20"/>
                <w:szCs w:val="20"/>
              </w:rPr>
              <w:t>多种耐药菌的防控措施进行评估及督导，对于检出的多重耐药菌，系统自动预警并发送防控措施表至管床医生、护士，院感科医生下到临床进行防控措施的督导，临床的防控措施记录，以及院感科的督导评价将全部记录在系统，可溯源。可对防控记录和督导表进行打印</w:t>
            </w:r>
          </w:p>
          <w:p w14:paraId="6E84ADA7">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支持</w:t>
            </w:r>
            <w:r>
              <w:rPr>
                <w:rFonts w:hint="eastAsia" w:asciiTheme="minorEastAsia" w:hAnsiTheme="minorEastAsia" w:eastAsiaTheme="minorEastAsia" w:cstheme="minorEastAsia"/>
                <w:kern w:val="0"/>
                <w:sz w:val="20"/>
                <w:szCs w:val="20"/>
                <w:lang w:val="zh-TW" w:eastAsia="zh-TW"/>
              </w:rPr>
              <w:t>对</w:t>
            </w:r>
            <w:r>
              <w:rPr>
                <w:rFonts w:hint="eastAsia" w:asciiTheme="minorEastAsia" w:hAnsiTheme="minorEastAsia" w:eastAsiaTheme="minorEastAsia" w:cstheme="minorEastAsia"/>
                <w:kern w:val="0"/>
                <w:sz w:val="20"/>
                <w:szCs w:val="20"/>
                <w:lang w:val="zh-TW"/>
              </w:rPr>
              <w:t>防控措施评估表进行医院个性化的配置与设定；</w:t>
            </w:r>
          </w:p>
          <w:p w14:paraId="7306D1EE">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支持评估项的不限定项目数的新增；</w:t>
            </w:r>
          </w:p>
          <w:p w14:paraId="67B097D0">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支持对评估项的分值设定；</w:t>
            </w:r>
          </w:p>
          <w:p w14:paraId="7CBCE63E">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支持对防控措施评估表的开启、暂停的设置；</w:t>
            </w:r>
          </w:p>
          <w:p w14:paraId="75D9D700">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支持临床医生与护士对多重耐药菌患者的防控措施评估表的填报，评估结果直接同步至感控管理端。</w:t>
            </w:r>
          </w:p>
        </w:tc>
      </w:tr>
      <w:tr w14:paraId="32967C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47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538581">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357270">
            <w:pPr>
              <w:widowControl/>
              <w:spacing w:line="276" w:lineRule="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ICU</w:t>
            </w:r>
            <w:r>
              <w:rPr>
                <w:rFonts w:hint="eastAsia" w:asciiTheme="minorEastAsia" w:hAnsiTheme="minorEastAsia" w:eastAsiaTheme="minorEastAsia" w:cstheme="minorEastAsia"/>
                <w:kern w:val="0"/>
                <w:sz w:val="20"/>
                <w:szCs w:val="20"/>
                <w:lang w:val="zh-TW" w:eastAsia="zh-TW"/>
              </w:rPr>
              <w:t>监测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7424F4">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支持对全院</w:t>
            </w:r>
            <w:r>
              <w:rPr>
                <w:rFonts w:hint="eastAsia" w:asciiTheme="minorEastAsia" w:hAnsiTheme="minorEastAsia" w:eastAsiaTheme="minorEastAsia" w:cstheme="minorEastAsia"/>
                <w:kern w:val="0"/>
                <w:sz w:val="20"/>
                <w:szCs w:val="20"/>
              </w:rPr>
              <w:t>ICU</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PICU</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CCU</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MICU</w:t>
            </w:r>
            <w:r>
              <w:rPr>
                <w:rFonts w:hint="eastAsia" w:asciiTheme="minorEastAsia" w:hAnsiTheme="minorEastAsia" w:eastAsiaTheme="minorEastAsia" w:cstheme="minorEastAsia"/>
                <w:kern w:val="0"/>
                <w:sz w:val="20"/>
                <w:szCs w:val="20"/>
                <w:lang w:val="zh-TW" w:eastAsia="zh-TW"/>
              </w:rPr>
              <w:t>等</w:t>
            </w:r>
            <w:r>
              <w:rPr>
                <w:rFonts w:hint="eastAsia" w:asciiTheme="minorEastAsia" w:hAnsiTheme="minorEastAsia" w:eastAsiaTheme="minorEastAsia" w:cstheme="minorEastAsia"/>
                <w:kern w:val="0"/>
                <w:sz w:val="20"/>
                <w:szCs w:val="20"/>
              </w:rPr>
              <w:t>ICU</w:t>
            </w:r>
            <w:r>
              <w:rPr>
                <w:rFonts w:hint="eastAsia" w:asciiTheme="minorEastAsia" w:hAnsiTheme="minorEastAsia" w:eastAsiaTheme="minorEastAsia" w:cstheme="minorEastAsia"/>
                <w:kern w:val="0"/>
                <w:sz w:val="20"/>
                <w:szCs w:val="20"/>
                <w:lang w:val="zh-TW" w:eastAsia="zh-TW"/>
              </w:rPr>
              <w:t>病房监测；</w:t>
            </w:r>
          </w:p>
          <w:p w14:paraId="7DBA7E8D">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支持自动生成新住进患者数、住在患者数、留置导尿管使用患者数、中心静脉插管使用患者数、呼吸机使用患者数；</w:t>
            </w:r>
          </w:p>
          <w:p w14:paraId="7695E639">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支持对监测月报中的患者数列表穿透，可查看插管使用开始时间、结束时间、使用天数</w:t>
            </w:r>
            <w:r>
              <w:rPr>
                <w:rFonts w:hint="eastAsia" w:asciiTheme="minorEastAsia" w:hAnsiTheme="minorEastAsia" w:eastAsiaTheme="minorEastAsia" w:cstheme="minorEastAsia"/>
                <w:kern w:val="0"/>
                <w:sz w:val="20"/>
                <w:szCs w:val="20"/>
                <w:lang w:val="zh-TW"/>
              </w:rPr>
              <w:t>、插管评估概况</w:t>
            </w:r>
            <w:r>
              <w:rPr>
                <w:rFonts w:hint="eastAsia" w:asciiTheme="minorEastAsia" w:hAnsiTheme="minorEastAsia" w:eastAsiaTheme="minorEastAsia" w:cstheme="minorEastAsia"/>
                <w:kern w:val="0"/>
                <w:sz w:val="20"/>
                <w:szCs w:val="20"/>
                <w:lang w:val="zh-TW" w:eastAsia="zh-TW"/>
              </w:rPr>
              <w:t>；</w:t>
            </w:r>
          </w:p>
          <w:p w14:paraId="6FAE1469">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w:t>
            </w:r>
            <w:r>
              <w:rPr>
                <w:rFonts w:hint="eastAsia" w:asciiTheme="minorEastAsia" w:hAnsiTheme="minorEastAsia" w:eastAsiaTheme="minorEastAsia" w:cstheme="minorEastAsia"/>
                <w:kern w:val="0"/>
                <w:sz w:val="20"/>
                <w:szCs w:val="20"/>
                <w:lang w:val="zh-TW"/>
              </w:rPr>
              <w:t>高危新生儿</w:t>
            </w:r>
            <w:r>
              <w:rPr>
                <w:rFonts w:hint="eastAsia" w:asciiTheme="minorEastAsia" w:hAnsiTheme="minorEastAsia" w:eastAsiaTheme="minorEastAsia" w:cstheme="minorEastAsia"/>
                <w:kern w:val="0"/>
                <w:sz w:val="20"/>
                <w:szCs w:val="20"/>
                <w:lang w:val="zh-TW" w:eastAsia="zh-TW"/>
              </w:rPr>
              <w:t>病房监测；</w:t>
            </w:r>
          </w:p>
          <w:p w14:paraId="0451FC28">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能够自动生成监测月报按（</w:t>
            </w:r>
            <w:r>
              <w:rPr>
                <w:rFonts w:hint="eastAsia" w:asciiTheme="minorEastAsia" w:hAnsiTheme="minorEastAsia" w:eastAsiaTheme="minorEastAsia" w:cstheme="minorEastAsia"/>
                <w:kern w:val="0"/>
                <w:sz w:val="20"/>
                <w:szCs w:val="20"/>
              </w:rPr>
              <w:t>≤1000g</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1001-1500</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g</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1501-2500</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g</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≥2500g</w:t>
            </w:r>
            <w:r>
              <w:rPr>
                <w:rFonts w:hint="eastAsia" w:asciiTheme="minorEastAsia" w:hAnsiTheme="minorEastAsia" w:eastAsiaTheme="minorEastAsia" w:cstheme="minorEastAsia"/>
                <w:kern w:val="0"/>
                <w:sz w:val="20"/>
                <w:szCs w:val="20"/>
                <w:lang w:val="zh-TW" w:eastAsia="zh-TW"/>
              </w:rPr>
              <w:t>）进行分组</w:t>
            </w:r>
            <w:r>
              <w:rPr>
                <w:rFonts w:hint="eastAsia" w:asciiTheme="minorEastAsia" w:hAnsiTheme="minorEastAsia" w:eastAsiaTheme="minorEastAsia" w:cstheme="minorEastAsia"/>
                <w:kern w:val="0"/>
                <w:sz w:val="20"/>
                <w:szCs w:val="20"/>
                <w:lang w:val="zh-TW"/>
              </w:rPr>
              <w:t>的新生儿监测月报</w:t>
            </w:r>
            <w:r>
              <w:rPr>
                <w:rFonts w:hint="eastAsia" w:asciiTheme="minorEastAsia" w:hAnsiTheme="minorEastAsia" w:eastAsiaTheme="minorEastAsia" w:cstheme="minorEastAsia"/>
                <w:kern w:val="0"/>
                <w:sz w:val="20"/>
                <w:szCs w:val="20"/>
              </w:rPr>
              <w:t>,</w:t>
            </w:r>
            <w:r>
              <w:rPr>
                <w:rFonts w:hint="eastAsia" w:asciiTheme="minorEastAsia" w:hAnsiTheme="minorEastAsia" w:eastAsiaTheme="minorEastAsia" w:cstheme="minorEastAsia"/>
                <w:kern w:val="0"/>
                <w:sz w:val="20"/>
                <w:szCs w:val="20"/>
                <w:lang w:val="zh-TW" w:eastAsia="zh-TW"/>
              </w:rPr>
              <w:t>同时也分组（</w:t>
            </w:r>
            <w:r>
              <w:rPr>
                <w:rFonts w:hint="eastAsia" w:asciiTheme="minorEastAsia" w:hAnsiTheme="minorEastAsia" w:eastAsiaTheme="minorEastAsia" w:cstheme="minorEastAsia"/>
                <w:kern w:val="0"/>
                <w:sz w:val="20"/>
                <w:szCs w:val="20"/>
              </w:rPr>
              <w:t>≤751g</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751-1000</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g</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1001-1500</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g</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1501-2500</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g</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≥2500g</w:t>
            </w:r>
            <w:r>
              <w:rPr>
                <w:rFonts w:hint="eastAsia" w:asciiTheme="minorEastAsia" w:hAnsiTheme="minorEastAsia" w:eastAsiaTheme="minorEastAsia" w:cstheme="minorEastAsia"/>
                <w:kern w:val="0"/>
                <w:sz w:val="20"/>
                <w:szCs w:val="20"/>
                <w:lang w:val="zh-TW" w:eastAsia="zh-TW"/>
              </w:rPr>
              <w:t>）；分组的新住进患者数、住在患者数、脐</w:t>
            </w:r>
            <w:r>
              <w:rPr>
                <w:rFonts w:hint="eastAsia" w:asciiTheme="minorEastAsia" w:hAnsiTheme="minorEastAsia" w:eastAsiaTheme="minorEastAsia" w:cstheme="minorEastAsia"/>
                <w:kern w:val="0"/>
                <w:sz w:val="20"/>
                <w:szCs w:val="20"/>
              </w:rPr>
              <w:t>/</w:t>
            </w:r>
            <w:r>
              <w:rPr>
                <w:rFonts w:hint="eastAsia" w:asciiTheme="minorEastAsia" w:hAnsiTheme="minorEastAsia" w:eastAsiaTheme="minorEastAsia" w:cstheme="minorEastAsia"/>
                <w:kern w:val="0"/>
                <w:sz w:val="20"/>
                <w:szCs w:val="20"/>
                <w:lang w:val="zh-TW" w:eastAsia="zh-TW"/>
              </w:rPr>
              <w:t>中心静脉插管使用患者数、呼吸机使用患者数；</w:t>
            </w:r>
          </w:p>
          <w:p w14:paraId="58432F52">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支持对未填写体重的新生儿提供维护窗口；</w:t>
            </w:r>
          </w:p>
          <w:p w14:paraId="247B3DC0">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支持对监测月报中的患儿数列表穿透，可查看插管使用开始时间、结束时间、使用天数</w:t>
            </w:r>
            <w:r>
              <w:rPr>
                <w:rFonts w:hint="eastAsia" w:asciiTheme="minorEastAsia" w:hAnsiTheme="minorEastAsia" w:eastAsiaTheme="minorEastAsia" w:cstheme="minorEastAsia"/>
                <w:kern w:val="0"/>
                <w:sz w:val="20"/>
                <w:szCs w:val="20"/>
                <w:lang w:val="zh-TW"/>
              </w:rPr>
              <w:t>、插管评估概况</w:t>
            </w:r>
            <w:r>
              <w:rPr>
                <w:rFonts w:hint="eastAsia" w:asciiTheme="minorEastAsia" w:hAnsiTheme="minorEastAsia" w:eastAsiaTheme="minorEastAsia" w:cstheme="minorEastAsia"/>
                <w:kern w:val="0"/>
                <w:sz w:val="20"/>
                <w:szCs w:val="20"/>
                <w:lang w:val="zh-TW" w:eastAsia="zh-TW"/>
              </w:rPr>
              <w:t>；</w:t>
            </w:r>
          </w:p>
          <w:p w14:paraId="26FCA3E0">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8</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支持临床病情等级评分功能，医生根据患者病情，对患者病情进行评分操作，一周内选定</w:t>
            </w:r>
            <w:r>
              <w:rPr>
                <w:rFonts w:hint="eastAsia" w:asciiTheme="minorEastAsia" w:hAnsiTheme="minorEastAsia" w:eastAsiaTheme="minorEastAsia" w:cstheme="minorEastAsia"/>
                <w:kern w:val="0"/>
                <w:sz w:val="20"/>
                <w:szCs w:val="20"/>
                <w:lang w:val="zh-TW"/>
              </w:rPr>
              <w:t>任意</w:t>
            </w:r>
            <w:r>
              <w:rPr>
                <w:rFonts w:hint="eastAsia" w:asciiTheme="minorEastAsia" w:hAnsiTheme="minorEastAsia" w:eastAsiaTheme="minorEastAsia" w:cstheme="minorEastAsia"/>
                <w:kern w:val="0"/>
                <w:sz w:val="20"/>
                <w:szCs w:val="20"/>
                <w:lang w:val="zh-TW" w:eastAsia="zh-TW"/>
              </w:rPr>
              <w:t>一日进行病情等级评定；</w:t>
            </w:r>
          </w:p>
          <w:p w14:paraId="452799E6">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9</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支持临床病情等级未评分人归纳</w:t>
            </w:r>
            <w:r>
              <w:rPr>
                <w:rFonts w:hint="eastAsia" w:asciiTheme="minorEastAsia" w:hAnsiTheme="minorEastAsia" w:cstheme="minorEastAsia"/>
                <w:kern w:val="0"/>
                <w:sz w:val="20"/>
                <w:szCs w:val="20"/>
                <w:lang w:val="en-US" w:eastAsia="zh-CN"/>
              </w:rPr>
              <w:t>管理</w:t>
            </w:r>
            <w:r>
              <w:rPr>
                <w:rFonts w:hint="eastAsia" w:asciiTheme="minorEastAsia" w:hAnsiTheme="minorEastAsia" w:eastAsiaTheme="minorEastAsia" w:cstheme="minorEastAsia"/>
                <w:kern w:val="0"/>
                <w:sz w:val="20"/>
                <w:szCs w:val="20"/>
                <w:lang w:val="zh-TW"/>
              </w:rPr>
              <w:t>；</w:t>
            </w:r>
          </w:p>
          <w:p w14:paraId="1B47D803">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10</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支持对普通病房的ICU床位进行ICU级别监测。</w:t>
            </w:r>
          </w:p>
          <w:p w14:paraId="2E369B32">
            <w:pPr>
              <w:pStyle w:val="10"/>
              <w:numPr>
                <w:ilvl w:val="0"/>
                <w:numId w:val="0"/>
              </w:numPr>
              <w:spacing w:line="360" w:lineRule="auto"/>
              <w:ind w:leftChars="0"/>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CN"/>
              </w:rPr>
              <w:t>（</w:t>
            </w:r>
            <w:r>
              <w:rPr>
                <w:rFonts w:hint="eastAsia" w:asciiTheme="minorEastAsia" w:hAnsiTheme="minorEastAsia" w:cstheme="minorEastAsia"/>
                <w:kern w:val="0"/>
                <w:sz w:val="20"/>
                <w:szCs w:val="20"/>
                <w:lang w:val="en-US" w:eastAsia="zh-CN"/>
              </w:rPr>
              <w:t>11</w:t>
            </w:r>
            <w:r>
              <w:rPr>
                <w:rFonts w:hint="eastAsia" w:asciiTheme="minorEastAsia" w:hAnsiTheme="minorEastAsia" w:cstheme="minorEastAsia"/>
                <w:kern w:val="0"/>
                <w:sz w:val="20"/>
                <w:szCs w:val="20"/>
                <w:lang w:val="zh-CN"/>
              </w:rPr>
              <w:t>）</w:t>
            </w:r>
            <w:r>
              <w:rPr>
                <w:rFonts w:hint="eastAsia" w:asciiTheme="minorEastAsia" w:hAnsiTheme="minorEastAsia" w:eastAsiaTheme="minorEastAsia" w:cstheme="minorEastAsia"/>
                <w:kern w:val="0"/>
                <w:sz w:val="20"/>
                <w:szCs w:val="20"/>
                <w:lang w:val="zh-CN"/>
              </w:rPr>
              <w:t>支持按照住院患者人数的时间段查询，</w:t>
            </w:r>
            <w:r>
              <w:rPr>
                <w:rFonts w:hint="eastAsia" w:asciiTheme="minorEastAsia" w:hAnsiTheme="minorEastAsia" w:eastAsiaTheme="minorEastAsia" w:cstheme="minorEastAsia"/>
                <w:kern w:val="0"/>
                <w:sz w:val="20"/>
                <w:szCs w:val="20"/>
                <w:lang w:val="zh-TW" w:eastAsia="zh-TW"/>
              </w:rPr>
              <w:t>科室感染率（</w:t>
            </w:r>
            <w:r>
              <w:rPr>
                <w:rFonts w:hint="eastAsia" w:asciiTheme="minorEastAsia" w:hAnsiTheme="minorEastAsia" w:eastAsiaTheme="minorEastAsia" w:cstheme="minorEastAsia"/>
                <w:kern w:val="0"/>
                <w:sz w:val="20"/>
                <w:szCs w:val="20"/>
              </w:rPr>
              <w:t>%</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科室感染例次率（</w:t>
            </w:r>
            <w:r>
              <w:rPr>
                <w:rFonts w:hint="eastAsia" w:asciiTheme="minorEastAsia" w:hAnsiTheme="minorEastAsia" w:eastAsiaTheme="minorEastAsia" w:cstheme="minorEastAsia"/>
                <w:kern w:val="0"/>
                <w:sz w:val="20"/>
                <w:szCs w:val="20"/>
              </w:rPr>
              <w:t>%</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日感染率（</w:t>
            </w:r>
            <w:r>
              <w:rPr>
                <w:rFonts w:hint="eastAsia" w:asciiTheme="minorEastAsia" w:hAnsiTheme="minorEastAsia" w:eastAsiaTheme="minorEastAsia" w:cstheme="minorEastAsia"/>
                <w:kern w:val="0"/>
                <w:sz w:val="20"/>
                <w:szCs w:val="20"/>
              </w:rPr>
              <w:t>‰</w:t>
            </w:r>
            <w:r>
              <w:rPr>
                <w:rFonts w:hint="eastAsia" w:asciiTheme="minorEastAsia" w:hAnsiTheme="minorEastAsia" w:eastAsiaTheme="minorEastAsia" w:cstheme="minorEastAsia"/>
                <w:kern w:val="0"/>
                <w:sz w:val="20"/>
                <w:szCs w:val="20"/>
                <w:lang w:val="zh-TW" w:eastAsia="zh-TW"/>
              </w:rPr>
              <w:t>）调整感染率（</w:t>
            </w:r>
            <w:r>
              <w:rPr>
                <w:rFonts w:hint="eastAsia" w:asciiTheme="minorEastAsia" w:hAnsiTheme="minorEastAsia" w:eastAsiaTheme="minorEastAsia" w:cstheme="minorEastAsia"/>
                <w:kern w:val="0"/>
                <w:sz w:val="20"/>
                <w:szCs w:val="20"/>
              </w:rPr>
              <w:t>%</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调整日感染率（</w:t>
            </w:r>
            <w:r>
              <w:rPr>
                <w:rFonts w:hint="eastAsia" w:asciiTheme="minorEastAsia" w:hAnsiTheme="minorEastAsia" w:eastAsiaTheme="minorEastAsia" w:cstheme="minorEastAsia"/>
                <w:kern w:val="0"/>
                <w:sz w:val="20"/>
                <w:szCs w:val="20"/>
              </w:rPr>
              <w:t>‰</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中心静脉插管使用率（</w:t>
            </w:r>
            <w:r>
              <w:rPr>
                <w:rFonts w:hint="eastAsia" w:asciiTheme="minorEastAsia" w:hAnsiTheme="minorEastAsia" w:eastAsiaTheme="minorEastAsia" w:cstheme="minorEastAsia"/>
                <w:kern w:val="0"/>
                <w:sz w:val="20"/>
                <w:szCs w:val="20"/>
              </w:rPr>
              <w:t>%</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呼吸机使用率（</w:t>
            </w:r>
            <w:r>
              <w:rPr>
                <w:rFonts w:hint="eastAsia" w:asciiTheme="minorEastAsia" w:hAnsiTheme="minorEastAsia" w:eastAsiaTheme="minorEastAsia" w:cstheme="minorEastAsia"/>
                <w:kern w:val="0"/>
                <w:sz w:val="20"/>
                <w:szCs w:val="20"/>
              </w:rPr>
              <w:t>%</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总器械使用率（</w:t>
            </w:r>
            <w:r>
              <w:rPr>
                <w:rFonts w:hint="eastAsia" w:asciiTheme="minorEastAsia" w:hAnsiTheme="minorEastAsia" w:eastAsiaTheme="minorEastAsia" w:cstheme="minorEastAsia"/>
                <w:kern w:val="0"/>
                <w:sz w:val="20"/>
                <w:szCs w:val="20"/>
              </w:rPr>
              <w:t>%</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lang w:val="zh-TW"/>
              </w:rPr>
              <w:t>；</w:t>
            </w:r>
          </w:p>
          <w:p w14:paraId="7FEC982A">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12</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支持统计高危新生儿，按照体重进行分组的感染率（%）、感染例次率（%）、患儿日感染率（‰）、调整日感染率（‰）、脐/中心静脉插管使用率（%）、呼吸机使用率（%）、总器械使用率（%）、脐/中心静脉插管血流感染发病率（‰）、呼吸机相关肺炎发病率（‰）。</w:t>
            </w:r>
          </w:p>
        </w:tc>
      </w:tr>
      <w:tr w14:paraId="5AAD8D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4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38834F">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23E78">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抗菌药物监测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FF37A75">
            <w:pPr>
              <w:tabs>
                <w:tab w:val="left" w:pos="420"/>
              </w:tabs>
              <w:spacing w:line="360" w:lineRule="auto"/>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支持可按多种条件进行查询统计，包括：</w:t>
            </w:r>
            <w:r>
              <w:rPr>
                <w:rFonts w:hint="eastAsia" w:asciiTheme="minorEastAsia" w:hAnsiTheme="minorEastAsia" w:eastAsiaTheme="minorEastAsia" w:cstheme="minorEastAsia"/>
                <w:kern w:val="0"/>
                <w:sz w:val="20"/>
                <w:szCs w:val="20"/>
                <w:lang w:val="zh-TW"/>
              </w:rPr>
              <w:t>出院患者抗菌药物使用率、住院患者抗菌药物使用率、抗菌药物预防使用构成比、抗菌药物治疗使用构成比、出院患者人均使用抗菌药物品种数、出院患者人均使用抗菌药物天数、出院患者使用抗菌药物病原学送检率、出院患者治疗性使用抗菌药物病原学送检率、住院患者抗菌药物治疗前病原学送检率、住院患者限制使用级抗菌药物治疗前病原学送检率、住院患者特殊使用级抗菌药物治疗前病原学送检率、住院患者限制使用级抗菌药物治疗前血培养送检率、住院患者特殊使用级抗菌药物治疗前血培养送检率、住院患者使用抗菌药物治疗前指向性病原学送检率、住院患者使用抗菌药物治疗前非指向性病原学送检率。标本采集时间、抗菌药物使用时间、送检时间等细节时间点查看。</w:t>
            </w:r>
          </w:p>
        </w:tc>
      </w:tr>
      <w:tr w14:paraId="738236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8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1888C3">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4370B6">
            <w:pPr>
              <w:widowControl/>
              <w:spacing w:line="276" w:lineRule="auto"/>
              <w:jc w:val="center"/>
              <w:rPr>
                <w:rFonts w:hint="eastAsia" w:asciiTheme="minorEastAsia" w:hAnsiTheme="minorEastAsia" w:eastAsiaTheme="minorEastAsia" w:cstheme="minorEastAsia"/>
                <w:kern w:val="0"/>
                <w:sz w:val="20"/>
                <w:szCs w:val="20"/>
                <w:lang w:val="zh-TW" w:eastAsia="zh-TW"/>
              </w:rPr>
            </w:pPr>
            <w:r>
              <w:rPr>
                <w:rFonts w:hint="eastAsia" w:asciiTheme="minorEastAsia" w:hAnsiTheme="minorEastAsia" w:eastAsiaTheme="minorEastAsia" w:cstheme="minorEastAsia"/>
                <w:kern w:val="0"/>
                <w:sz w:val="20"/>
                <w:szCs w:val="20"/>
                <w:lang w:val="zh-TW"/>
              </w:rPr>
              <w:t>手术感染监测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547E815">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支持与医院</w:t>
            </w:r>
            <w:r>
              <w:rPr>
                <w:rFonts w:hint="eastAsia" w:asciiTheme="minorEastAsia" w:hAnsiTheme="minorEastAsia" w:eastAsiaTheme="minorEastAsia" w:cstheme="minorEastAsia"/>
                <w:kern w:val="0"/>
                <w:sz w:val="20"/>
                <w:szCs w:val="20"/>
              </w:rPr>
              <w:t xml:space="preserve">HIS </w:t>
            </w:r>
            <w:r>
              <w:rPr>
                <w:rFonts w:hint="eastAsia" w:asciiTheme="minorEastAsia" w:hAnsiTheme="minorEastAsia" w:eastAsiaTheme="minorEastAsia" w:cstheme="minorEastAsia"/>
                <w:kern w:val="0"/>
                <w:sz w:val="20"/>
                <w:szCs w:val="20"/>
                <w:lang w:val="zh-TW" w:eastAsia="zh-TW"/>
              </w:rPr>
              <w:t>手术记录单、手术麻醉系统自动匹配手术监测相关数据；</w:t>
            </w:r>
          </w:p>
          <w:p w14:paraId="129F521C">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支持优先进行重点手术监测，重点监测手术可根据医院开展情况进行手术目录调整；</w:t>
            </w:r>
          </w:p>
          <w:p w14:paraId="051DC5E8">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支持手术与已上报的手术切口感染诊断自动关联；</w:t>
            </w:r>
          </w:p>
          <w:p w14:paraId="623DFE91">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支持手术信息登记表信息修改补充，标红且优先显示影响统计分析的重要信息；</w:t>
            </w:r>
          </w:p>
          <w:p w14:paraId="7F5BDDBC">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支持手术信息登记表归档功能，可进行归档和撤销归档操作；</w:t>
            </w:r>
          </w:p>
          <w:p w14:paraId="02566611">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支持对手术用药自动匹配设定规则，选定手术后，直接一键自动匹配；</w:t>
            </w:r>
          </w:p>
          <w:p w14:paraId="47965BE3">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支持外科手术监测多条件查询，包括：手术日期、患者姓名、申请科室、重点手术、手术操作类别、手术部位、切口等级、</w:t>
            </w:r>
            <w:r>
              <w:rPr>
                <w:rFonts w:hint="eastAsia" w:asciiTheme="minorEastAsia" w:hAnsiTheme="minorEastAsia" w:eastAsiaTheme="minorEastAsia" w:cstheme="minorEastAsia"/>
                <w:kern w:val="0"/>
                <w:sz w:val="20"/>
                <w:szCs w:val="20"/>
                <w:lang w:val="zh-TW"/>
              </w:rPr>
              <w:t>ASA评分、</w:t>
            </w:r>
            <w:r>
              <w:rPr>
                <w:rFonts w:hint="eastAsia" w:asciiTheme="minorEastAsia" w:hAnsiTheme="minorEastAsia" w:eastAsiaTheme="minorEastAsia" w:cstheme="minorEastAsia"/>
                <w:kern w:val="0"/>
                <w:sz w:val="20"/>
                <w:szCs w:val="20"/>
                <w:lang w:val="zh-TW" w:eastAsia="zh-TW"/>
              </w:rPr>
              <w:t>手术名称、手术医生、手术间、手术时长；</w:t>
            </w:r>
          </w:p>
          <w:p w14:paraId="6E4FF8C5">
            <w:pPr>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eastAsia="zh-TW"/>
              </w:rPr>
            </w:pP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en-US" w:eastAsia="zh-CN"/>
              </w:rPr>
              <w:t>8</w:t>
            </w: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能够根据手术搜索条件进行多条件搜索，并查询的结果导出为</w:t>
            </w:r>
            <w:r>
              <w:rPr>
                <w:rFonts w:hint="eastAsia" w:asciiTheme="minorEastAsia" w:hAnsiTheme="minorEastAsia" w:eastAsiaTheme="minorEastAsia" w:cstheme="minorEastAsia"/>
                <w:kern w:val="0"/>
                <w:sz w:val="20"/>
                <w:szCs w:val="20"/>
              </w:rPr>
              <w:t>xls</w:t>
            </w:r>
            <w:r>
              <w:rPr>
                <w:rFonts w:hint="eastAsia" w:asciiTheme="minorEastAsia" w:hAnsiTheme="minorEastAsia" w:eastAsiaTheme="minorEastAsia" w:cstheme="minorEastAsia"/>
                <w:kern w:val="0"/>
                <w:sz w:val="20"/>
                <w:szCs w:val="20"/>
                <w:lang w:val="zh-TW" w:eastAsia="zh-TW"/>
              </w:rPr>
              <w:t>。</w:t>
            </w:r>
          </w:p>
          <w:p w14:paraId="0D077E3A">
            <w:pPr>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en-US" w:eastAsia="zh-CN"/>
              </w:rPr>
              <w:t>9</w:t>
            </w: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可按多种条件进行查询</w:t>
            </w:r>
            <w:r>
              <w:rPr>
                <w:rFonts w:hint="eastAsia" w:asciiTheme="minorEastAsia" w:hAnsiTheme="minorEastAsia" w:eastAsiaTheme="minorEastAsia" w:cstheme="minorEastAsia"/>
                <w:kern w:val="0"/>
                <w:sz w:val="20"/>
                <w:szCs w:val="20"/>
                <w:lang w:val="zh-TW"/>
              </w:rPr>
              <w:t>月度、季度、年度、自定义时间、其他条件（</w:t>
            </w:r>
            <w:r>
              <w:rPr>
                <w:rFonts w:hint="eastAsia" w:asciiTheme="minorEastAsia" w:hAnsiTheme="minorEastAsia" w:eastAsiaTheme="minorEastAsia" w:cstheme="minorEastAsia"/>
                <w:kern w:val="0"/>
                <w:sz w:val="20"/>
                <w:szCs w:val="20"/>
                <w:lang w:val="zh-TW" w:eastAsia="zh-TW"/>
              </w:rPr>
              <w:t>住院患者、切口等级、愈合等级、麻醉方式、手术间、感染名称、重点手术、手术操作分类、手术部位分类</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统计</w:t>
            </w:r>
            <w:r>
              <w:rPr>
                <w:rFonts w:hint="eastAsia" w:asciiTheme="minorEastAsia" w:hAnsiTheme="minorEastAsia" w:eastAsiaTheme="minorEastAsia" w:cstheme="minorEastAsia"/>
                <w:kern w:val="0"/>
                <w:sz w:val="20"/>
                <w:szCs w:val="20"/>
                <w:lang w:val="zh-TW"/>
              </w:rPr>
              <w:t>手术相关指标</w:t>
            </w:r>
            <w:r>
              <w:rPr>
                <w:rFonts w:hint="eastAsia" w:asciiTheme="minorEastAsia" w:hAnsiTheme="minorEastAsia" w:eastAsiaTheme="minorEastAsia" w:cstheme="minorEastAsia"/>
                <w:kern w:val="0"/>
                <w:sz w:val="20"/>
                <w:szCs w:val="20"/>
                <w:lang w:val="zh-TW" w:eastAsia="zh-TW"/>
              </w:rPr>
              <w:t>，包括：与手术相关医院感染发生率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手术部位感染发生率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手术患者肺部感染发生率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择期手术术后相关感染发生率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择期手术术后相关感染发生率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择期手术患者肺部感染发生率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急诊手术相关感染发生率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急诊手术患者肺部感染发生率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rPr>
              <w:t>NNIS</w:t>
            </w:r>
            <w:r>
              <w:rPr>
                <w:rFonts w:hint="eastAsia" w:asciiTheme="minorEastAsia" w:hAnsiTheme="minorEastAsia" w:eastAsiaTheme="minorEastAsia" w:cstheme="minorEastAsia"/>
                <w:kern w:val="0"/>
                <w:sz w:val="20"/>
                <w:szCs w:val="20"/>
                <w:lang w:val="zh-TW" w:eastAsia="zh-TW"/>
              </w:rPr>
              <w:t>分级手术部位感染率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外科医生感染率（科室）</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外科医生感染率（医生）</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术前预防用药使用率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术中预防用药使用率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术前</w:t>
            </w:r>
            <w:r>
              <w:rPr>
                <w:rFonts w:hint="eastAsia" w:asciiTheme="minorEastAsia" w:hAnsiTheme="minorEastAsia" w:eastAsiaTheme="minorEastAsia" w:cstheme="minorEastAsia"/>
                <w:kern w:val="0"/>
                <w:sz w:val="20"/>
                <w:szCs w:val="20"/>
              </w:rPr>
              <w:t>0.5-2</w:t>
            </w:r>
            <w:r>
              <w:rPr>
                <w:rFonts w:hint="eastAsia" w:asciiTheme="minorEastAsia" w:hAnsiTheme="minorEastAsia" w:eastAsiaTheme="minorEastAsia" w:cstheme="minorEastAsia"/>
                <w:kern w:val="0"/>
                <w:sz w:val="20"/>
                <w:szCs w:val="20"/>
                <w:lang w:val="zh-TW" w:eastAsia="zh-TW"/>
              </w:rPr>
              <w:t>小时预防用药使用率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术前</w:t>
            </w:r>
            <w:r>
              <w:rPr>
                <w:rFonts w:hint="eastAsia" w:asciiTheme="minorEastAsia" w:hAnsiTheme="minorEastAsia" w:eastAsiaTheme="minorEastAsia" w:cstheme="minorEastAsia"/>
                <w:kern w:val="0"/>
                <w:sz w:val="20"/>
                <w:szCs w:val="20"/>
              </w:rPr>
              <w:t>0.5-1</w:t>
            </w:r>
            <w:r>
              <w:rPr>
                <w:rFonts w:hint="eastAsia" w:asciiTheme="minorEastAsia" w:hAnsiTheme="minorEastAsia" w:eastAsiaTheme="minorEastAsia" w:cstheme="minorEastAsia"/>
                <w:kern w:val="0"/>
                <w:sz w:val="20"/>
                <w:szCs w:val="20"/>
                <w:lang w:val="zh-TW" w:eastAsia="zh-TW"/>
              </w:rPr>
              <w:t>小时预防用药使用率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术后用药使用率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术后</w:t>
            </w:r>
            <w:r>
              <w:rPr>
                <w:rFonts w:hint="eastAsia" w:asciiTheme="minorEastAsia" w:hAnsiTheme="minorEastAsia" w:eastAsiaTheme="minorEastAsia" w:cstheme="minorEastAsia"/>
                <w:kern w:val="0"/>
                <w:sz w:val="20"/>
                <w:szCs w:val="20"/>
              </w:rPr>
              <w:t>24</w:t>
            </w:r>
            <w:r>
              <w:rPr>
                <w:rFonts w:hint="eastAsia" w:asciiTheme="minorEastAsia" w:hAnsiTheme="minorEastAsia" w:eastAsiaTheme="minorEastAsia" w:cstheme="minorEastAsia"/>
                <w:kern w:val="0"/>
                <w:sz w:val="20"/>
                <w:szCs w:val="20"/>
                <w:lang w:val="zh-TW" w:eastAsia="zh-TW"/>
              </w:rPr>
              <w:t>小时内停药率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术后</w:t>
            </w:r>
            <w:r>
              <w:rPr>
                <w:rFonts w:hint="eastAsia" w:asciiTheme="minorEastAsia" w:hAnsiTheme="minorEastAsia" w:eastAsiaTheme="minorEastAsia" w:cstheme="minorEastAsia"/>
                <w:kern w:val="0"/>
                <w:sz w:val="20"/>
                <w:szCs w:val="20"/>
              </w:rPr>
              <w:t>48</w:t>
            </w:r>
            <w:r>
              <w:rPr>
                <w:rFonts w:hint="eastAsia" w:asciiTheme="minorEastAsia" w:hAnsiTheme="minorEastAsia" w:eastAsiaTheme="minorEastAsia" w:cstheme="minorEastAsia"/>
                <w:kern w:val="0"/>
                <w:sz w:val="20"/>
                <w:szCs w:val="20"/>
                <w:lang w:val="zh-TW" w:eastAsia="zh-TW"/>
              </w:rPr>
              <w:t>小时内停药率</w:t>
            </w:r>
            <w:r>
              <w:rPr>
                <w:rFonts w:hint="eastAsia" w:asciiTheme="minorEastAsia" w:hAnsiTheme="minorEastAsia" w:eastAsiaTheme="minorEastAsia" w:cstheme="minorEastAsia"/>
                <w:kern w:val="0"/>
                <w:sz w:val="20"/>
                <w:szCs w:val="20"/>
                <w:lang w:val="zh-TW"/>
              </w:rPr>
              <w:t>。</w:t>
            </w:r>
          </w:p>
        </w:tc>
      </w:tr>
      <w:tr w14:paraId="55E292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66"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7E7952">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012704">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全院三管监测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7429155">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支持进行全院各科室的侵入性操作监测日志；</w:t>
            </w:r>
          </w:p>
          <w:p w14:paraId="1FCE2B4B">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支持进行全院各科室的侵入性操作监测月报；</w:t>
            </w:r>
          </w:p>
          <w:p w14:paraId="435FA5AD">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eastAsiaTheme="minorEastAsia" w:cstheme="minorEastAsia"/>
                <w:kern w:val="0"/>
                <w:sz w:val="20"/>
                <w:szCs w:val="20"/>
                <w:lang w:val="zh-TW" w:eastAsia="zh-TW"/>
              </w:rPr>
              <w:t>支持自动生成新住进患者数、住在患者数、发热人数、留置导尿管使用患者数、中心静脉插管使用患者数、呼吸机使用患者数；</w:t>
            </w:r>
          </w:p>
          <w:p w14:paraId="4763B7FC">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支持穿透监测日志中的患者数列表，可查看插管使用开始时间、结束时间、使用天数；</w:t>
            </w:r>
          </w:p>
          <w:p w14:paraId="57962C17">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提供三大插管匹配医嘱的维护界面；</w:t>
            </w:r>
          </w:p>
          <w:p w14:paraId="37265DA0">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eastAsia="zh-CN"/>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支持查看患者三管督导措施评估情况明细内容</w:t>
            </w:r>
            <w:r>
              <w:rPr>
                <w:rFonts w:hint="eastAsia" w:asciiTheme="minorEastAsia" w:hAnsiTheme="minorEastAsia" w:cstheme="minorEastAsia"/>
                <w:kern w:val="0"/>
                <w:sz w:val="20"/>
                <w:szCs w:val="20"/>
                <w:lang w:val="zh-TW" w:eastAsia="zh-CN"/>
              </w:rPr>
              <w:t>。</w:t>
            </w:r>
          </w:p>
        </w:tc>
      </w:tr>
      <w:tr w14:paraId="58AE3A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71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2872DC">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CB4E91">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插管风险评估</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491F933">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w:t>
            </w:r>
            <w:r>
              <w:rPr>
                <w:rFonts w:hint="eastAsia" w:asciiTheme="minorEastAsia" w:hAnsiTheme="minorEastAsia" w:eastAsiaTheme="minorEastAsia" w:cstheme="minorEastAsia"/>
                <w:kern w:val="0"/>
                <w:sz w:val="20"/>
                <w:szCs w:val="20"/>
                <w:lang w:val="zh-TW"/>
              </w:rPr>
              <w:t>感控管理端以及临床科室打开</w:t>
            </w:r>
            <w:r>
              <w:rPr>
                <w:rFonts w:hint="eastAsia" w:asciiTheme="minorEastAsia" w:hAnsiTheme="minorEastAsia" w:eastAsiaTheme="minorEastAsia" w:cstheme="minorEastAsia"/>
                <w:kern w:val="0"/>
                <w:sz w:val="20"/>
                <w:szCs w:val="20"/>
                <w:lang w:val="zh-TW" w:eastAsia="zh-TW"/>
              </w:rPr>
              <w:t>系统便可看到插管未评估患者人数，点击进行未评估的具体科室与人员清单；</w:t>
            </w:r>
          </w:p>
          <w:p w14:paraId="2F120247">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支持点击插管患者后，直观展示患者的插管自然日历表，分析的结果来自患者三管的医嘱执行情况；</w:t>
            </w:r>
          </w:p>
          <w:p w14:paraId="60EE3515">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插管日历表以红底白字表示患者插管但未评估，以白底</w:t>
            </w:r>
            <w:r>
              <w:rPr>
                <w:rFonts w:hint="eastAsia" w:asciiTheme="minorEastAsia" w:hAnsiTheme="minorEastAsia" w:eastAsiaTheme="minorEastAsia" w:cstheme="minorEastAsia"/>
                <w:kern w:val="0"/>
                <w:sz w:val="20"/>
                <w:szCs w:val="20"/>
              </w:rPr>
              <w:t>蓝</w:t>
            </w:r>
            <w:r>
              <w:rPr>
                <w:rFonts w:hint="eastAsia" w:asciiTheme="minorEastAsia" w:hAnsiTheme="minorEastAsia" w:eastAsiaTheme="minorEastAsia" w:cstheme="minorEastAsia"/>
                <w:kern w:val="0"/>
                <w:sz w:val="20"/>
                <w:szCs w:val="20"/>
                <w:lang w:val="zh-TW" w:eastAsia="zh-TW"/>
              </w:rPr>
              <w:t>字表示患者插管已评估；</w:t>
            </w:r>
          </w:p>
          <w:p w14:paraId="2D7757EC">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插管指征评估操作可由临床人员进行每日评估，系统不限定具体评估的人员角色；</w:t>
            </w:r>
          </w:p>
          <w:p w14:paraId="5674C4C9">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eastAsia="zh-CN"/>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插管指征评估表可随医院具体开展评估内容自由灵活设定，设定后立即生效</w:t>
            </w:r>
            <w:r>
              <w:rPr>
                <w:rFonts w:hint="eastAsia" w:asciiTheme="minorEastAsia" w:hAnsiTheme="minorEastAsia" w:cstheme="minorEastAsia"/>
                <w:kern w:val="0"/>
                <w:sz w:val="20"/>
                <w:szCs w:val="20"/>
                <w:lang w:val="zh-TW" w:eastAsia="zh-CN"/>
              </w:rPr>
              <w:t>。</w:t>
            </w:r>
          </w:p>
        </w:tc>
      </w:tr>
      <w:tr w14:paraId="09FF09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36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154D69">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478B29">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消毒灭菌</w:t>
            </w:r>
            <w:r>
              <w:rPr>
                <w:rFonts w:hint="eastAsia" w:asciiTheme="minorEastAsia" w:hAnsiTheme="minorEastAsia" w:eastAsiaTheme="minorEastAsia" w:cstheme="minorEastAsia"/>
                <w:kern w:val="0"/>
                <w:sz w:val="20"/>
                <w:szCs w:val="20"/>
              </w:rPr>
              <w:t>、环境卫生学监测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6B291D0">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支持对空气、物表、手卫生、医疗器械、消毒物品、灭菌物品、一次性物品、污水等项目监测单申请，并支持全院联网查看监测项目和监测结果</w:t>
            </w:r>
            <w:r>
              <w:rPr>
                <w:rFonts w:hint="eastAsia" w:asciiTheme="minorEastAsia" w:hAnsiTheme="minorEastAsia" w:eastAsiaTheme="minorEastAsia" w:cstheme="minorEastAsia"/>
                <w:kern w:val="0"/>
                <w:sz w:val="20"/>
                <w:szCs w:val="20"/>
                <w:lang w:val="zh-TW"/>
              </w:rPr>
              <w:t>；</w:t>
            </w:r>
          </w:p>
          <w:p w14:paraId="1B90C450">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支持临床科室监测项目自查与感控科抽查工作，可根据医院监测流程进行配置；</w:t>
            </w:r>
          </w:p>
          <w:p w14:paraId="1BC7EC2F">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监测单据直接查看送检科室、监测项目、监测类型、采样场所、采样标本、采样点数、采样点位、采样方法、采样人、采样日期、检验日期、检验人、检验结果、是否需要复查；</w:t>
            </w:r>
          </w:p>
          <w:p w14:paraId="5FBC869D">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支持对常用监测内容保存为常用模板，方便后续使用，常用模板支持科室级、全院级；</w:t>
            </w:r>
          </w:p>
          <w:p w14:paraId="5E851012">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支持监测结果报告单支持全院联网打印，以及在线查看监测结果报告；</w:t>
            </w:r>
          </w:p>
          <w:p w14:paraId="31C676FB">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具有独立的监测授权管理模块，灵活设定单个用户管辖多科室、监测项目授权等，与系统基础用户授权不冲突；</w:t>
            </w:r>
          </w:p>
          <w:p w14:paraId="25CF3900">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可根据医院情况，在标准上修改、增加环境卫生消毒灭菌监测项目、监测标准、采样场所、采样标本、采样方法、采样点等相关的字典数据；</w:t>
            </w:r>
          </w:p>
          <w:p w14:paraId="19CA8939">
            <w:pPr>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eastAsia="zh-TW"/>
              </w:rPr>
            </w:pP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en-US" w:eastAsia="zh-CN"/>
              </w:rPr>
              <w:t>8</w:t>
            </w:r>
            <w:r>
              <w:rPr>
                <w:rFonts w:hint="eastAsia" w:asciiTheme="minorEastAsia" w:hAnsiTheme="minorEastAsia" w:eastAsia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支持自动按照监测项目类别、监测科室统计分析监测数目数、合格数、合格率、不合格数、不合格率。</w:t>
            </w:r>
          </w:p>
        </w:tc>
      </w:tr>
      <w:tr w14:paraId="2C39C6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40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1B68E3">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937E97">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职业暴露</w:t>
            </w:r>
            <w:r>
              <w:rPr>
                <w:rFonts w:hint="eastAsia" w:asciiTheme="minorEastAsia" w:hAnsiTheme="minorEastAsia" w:eastAsiaTheme="minorEastAsia" w:cstheme="minorEastAsia"/>
                <w:kern w:val="0"/>
                <w:sz w:val="20"/>
                <w:szCs w:val="20"/>
              </w:rPr>
              <w:t>监测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B6C548D">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支持医务人员及护工进行职业暴露内容的信息登记填写</w:t>
            </w:r>
            <w:r>
              <w:rPr>
                <w:rFonts w:hint="eastAsia" w:asciiTheme="minorEastAsia" w:hAnsiTheme="minorEastAsia" w:eastAsiaTheme="minorEastAsia" w:cstheme="minorEastAsia"/>
                <w:kern w:val="0"/>
                <w:sz w:val="20"/>
                <w:szCs w:val="20"/>
                <w:lang w:val="zh-TW"/>
              </w:rPr>
              <w:t>；</w:t>
            </w:r>
          </w:p>
          <w:p w14:paraId="75F47C10">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支持《WS/T 312-2023医院感染监测规范》要求的医院工作人员感染性疾病职业暴露登记表填写上报</w:t>
            </w:r>
          </w:p>
          <w:p w14:paraId="3F485FA8">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支持暴露填报前告知《职业暴露的标准处置流程》及《职业暴露的处置制度》，要求暴露填报人员在线掌握了解，告知内容可随医院定制性调整；</w:t>
            </w:r>
          </w:p>
          <w:p w14:paraId="568A94F5">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支持填报职业暴露登记表后，在感控管理端上实时提示新暴露填报消息；</w:t>
            </w:r>
          </w:p>
          <w:p w14:paraId="1D816E8C">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支持职业暴露信息登记、评估预防、临床观察、临床诊断完整随访闭环，感染性疾病科医生可对评估预防操作，支持跨部门联网的评估跟踪；</w:t>
            </w:r>
          </w:p>
          <w:p w14:paraId="097AA7C9">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支持对检验复查项目多时间点设定，</w:t>
            </w:r>
            <w:r>
              <w:rPr>
                <w:rFonts w:hint="eastAsia" w:asciiTheme="minorEastAsia" w:hAnsiTheme="minorEastAsia" w:eastAsiaTheme="minorEastAsia" w:cstheme="minorEastAsia"/>
                <w:kern w:val="0"/>
                <w:sz w:val="20"/>
                <w:szCs w:val="20"/>
                <w:lang w:val="zh-TW"/>
              </w:rPr>
              <w:t>在监测面板首页显示当前暴露需进行复查人员提醒，钻取后展示需复查人员姓名、发生科室、暴露人员所属科室、暴露时间、检查项目、复查时间、上次复查时间</w:t>
            </w:r>
            <w:r>
              <w:rPr>
                <w:rFonts w:hint="eastAsia" w:asciiTheme="minorEastAsia" w:hAnsiTheme="minorEastAsia" w:eastAsiaTheme="minorEastAsia" w:cstheme="minorEastAsia"/>
                <w:kern w:val="0"/>
                <w:sz w:val="20"/>
                <w:szCs w:val="20"/>
                <w:lang w:val="zh-TW" w:eastAsia="zh-TW"/>
              </w:rPr>
              <w:t>；</w:t>
            </w:r>
          </w:p>
          <w:p w14:paraId="418382F7">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支持按照科室统计职业暴露情况，并计算科室构成比；</w:t>
            </w:r>
          </w:p>
          <w:p w14:paraId="6D44195E">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8</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支持按工别、年龄、性别等内容计算科室构成比</w:t>
            </w:r>
            <w:r>
              <w:rPr>
                <w:rFonts w:hint="eastAsia" w:asciiTheme="minorEastAsia" w:hAnsiTheme="minorEastAsia" w:eastAsiaTheme="minorEastAsia" w:cstheme="minorEastAsia"/>
                <w:kern w:val="0"/>
                <w:sz w:val="20"/>
                <w:szCs w:val="20"/>
                <w:lang w:val="zh-TW"/>
              </w:rPr>
              <w:t>；</w:t>
            </w:r>
          </w:p>
          <w:p w14:paraId="688E0A9B">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9</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支持自动统计职业暴露感染率、职业暴露（例次）率。</w:t>
            </w:r>
          </w:p>
        </w:tc>
      </w:tr>
      <w:tr w14:paraId="57B10A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4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6F060F">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484F88">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手卫生监测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E1FE554">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en-US" w:eastAsia="zh-CN"/>
              </w:rPr>
              <w:t>（1）支持</w:t>
            </w:r>
            <w:r>
              <w:rPr>
                <w:rFonts w:hint="eastAsia" w:asciiTheme="minorEastAsia" w:hAnsiTheme="minorEastAsia" w:eastAsiaTheme="minorEastAsia" w:cstheme="minorEastAsia"/>
                <w:kern w:val="0"/>
                <w:sz w:val="20"/>
                <w:szCs w:val="20"/>
                <w:lang w:val="zh-TW" w:eastAsia="zh-TW"/>
              </w:rPr>
              <w:t>全院各科室手卫生用品消耗量情况</w:t>
            </w:r>
            <w:r>
              <w:rPr>
                <w:rFonts w:hint="eastAsia" w:asciiTheme="minorEastAsia" w:hAnsiTheme="minorEastAsia" w:cstheme="minorEastAsia"/>
                <w:kern w:val="0"/>
                <w:sz w:val="20"/>
                <w:szCs w:val="20"/>
                <w:lang w:val="en-US" w:eastAsia="zh-CN"/>
              </w:rPr>
              <w:t>管理</w:t>
            </w:r>
            <w:r>
              <w:rPr>
                <w:rFonts w:hint="eastAsia" w:asciiTheme="minorEastAsia" w:hAnsiTheme="minorEastAsia" w:eastAsiaTheme="minorEastAsia" w:cstheme="minorEastAsia"/>
                <w:kern w:val="0"/>
                <w:sz w:val="20"/>
                <w:szCs w:val="20"/>
                <w:lang w:val="zh-TW" w:eastAsia="zh-TW"/>
              </w:rPr>
              <w:t>；</w:t>
            </w:r>
          </w:p>
          <w:p w14:paraId="58ADA7F2">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支持临床感控兼职人员进行本科科室用品本月领取量和库存量的在线录入；</w:t>
            </w:r>
          </w:p>
          <w:p w14:paraId="1910E66D">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支持在线完成手卫生依从性调查，包括被调查人员类型、时机、指征、手卫生行为、正确性；</w:t>
            </w:r>
          </w:p>
          <w:p w14:paraId="3864B293">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支持设定临床自查手卫生依从性的开放数据录入时间段；</w:t>
            </w:r>
          </w:p>
          <w:p w14:paraId="0A23761D">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支持维护设定特定科室的手卫生依从性调查指征，如：外科手卫生依从性调查监测设定单独的调查指征与手卫生行为；</w:t>
            </w:r>
          </w:p>
          <w:p w14:paraId="0D76FFAB">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支持调查完成后，对本次调查结果进行回顾性分析，如医护人员手卫生意识低等内容；</w:t>
            </w:r>
          </w:p>
          <w:p w14:paraId="293B0163">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支持按科室、人员类型、指征、时机多类型进行统计分析</w:t>
            </w:r>
            <w:r>
              <w:rPr>
                <w:rFonts w:hint="eastAsia" w:asciiTheme="minorEastAsia" w:hAnsiTheme="minorEastAsia" w:eastAsiaTheme="minorEastAsia" w:cstheme="minorEastAsia"/>
                <w:kern w:val="0"/>
                <w:sz w:val="20"/>
                <w:szCs w:val="20"/>
                <w:lang w:val="zh-TW"/>
              </w:rPr>
              <w:t>。</w:t>
            </w:r>
          </w:p>
        </w:tc>
      </w:tr>
      <w:tr w14:paraId="62774D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7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F1B042">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03B1C9">
            <w:pPr>
              <w:widowControl/>
              <w:spacing w:line="276" w:lineRule="auto"/>
              <w:jc w:val="center"/>
              <w:rPr>
                <w:rFonts w:hint="eastAsia" w:asciiTheme="minorEastAsia" w:hAnsiTheme="minorEastAsia" w:eastAsiaTheme="minorEastAsia" w:cstheme="minorEastAsia"/>
                <w:kern w:val="0"/>
                <w:sz w:val="20"/>
                <w:szCs w:val="20"/>
                <w:lang w:val="zh-TW" w:eastAsia="zh-TW"/>
              </w:rPr>
            </w:pPr>
            <w:r>
              <w:rPr>
                <w:rFonts w:hint="eastAsia" w:asciiTheme="minorEastAsia" w:hAnsiTheme="minorEastAsia" w:eastAsiaTheme="minorEastAsia" w:cstheme="minorEastAsia"/>
                <w:kern w:val="0"/>
                <w:sz w:val="20"/>
                <w:szCs w:val="20"/>
                <w:lang w:val="zh-TW" w:eastAsia="zh-TW"/>
              </w:rPr>
              <w:t>血透监测</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4C855BF">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eastAsia="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血透患者感染监测信息登记及上报，信息包括：患者基本信息、血透频率（曾经在几所医院接受过血透、当前每周几次血透、感染时血透机号、透析日期、累计透析次数）、透析前检查项目及时间、透析中复查项目及时间、感染日期、感染部位、相关病原学检查、相关抗菌药物使用情况；</w:t>
            </w:r>
          </w:p>
          <w:p w14:paraId="048E3F41">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血液透析室血透日志的登记，登记信息包括：新入血液透析人次数、已在血液透析人次数、透析路径内瘘人次数、长期置管人数、临时置管人数、相关导管相关血流感染性操作人次数、乙肝丙肝等病毒感染人次数、其他医院感染人次数。</w:t>
            </w:r>
          </w:p>
          <w:p w14:paraId="601D634C">
            <w:pPr>
              <w:pStyle w:val="10"/>
              <w:widowControl/>
              <w:numPr>
                <w:ilvl w:val="0"/>
                <w:numId w:val="0"/>
              </w:numPr>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支持对依据国家卫生健康委员会发布的《医院感染监测标准》(WS/T 312-2023)，要求医疗机构监测血液透析感染事件发生情况，包括使用抗菌药物（包括口服、肌注和静脉使用所有抗细菌药物和抗真菌药物）、血培养阳性和血管通路部位出现脓液、发红或肿胀加剧 3 类。血液透析患者血源性病原体感染监测，血液透析患者血源性病原体感染情况筛查、复查，监测病原体包括 HBV、HCV、HIV、梅毒螺旋体，统计四类传染病标志物检验完成率及阳转率。</w:t>
            </w:r>
          </w:p>
        </w:tc>
      </w:tr>
      <w:tr w14:paraId="20A149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04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EF85BD">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21</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EA7137">
            <w:pPr>
              <w:widowControl/>
              <w:spacing w:line="276" w:lineRule="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网络直报</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D05FE61">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color w:val="FF0000"/>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支持医院感染监测过程化数据直报全国医疗机构感染监测网（CMIISS）。</w:t>
            </w:r>
          </w:p>
          <w:p w14:paraId="49FCC04E">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支持自动分析出已上报记录数、总未上报记录数；</w:t>
            </w:r>
          </w:p>
          <w:p w14:paraId="006A4DDA">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支持数据单项上报，也支持全选项上报，能够进行断点续传功能，多线程上报技术，上传速度快，不影响其他业务模块的操作；</w:t>
            </w:r>
          </w:p>
          <w:p w14:paraId="09394BB0">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支持数据上报数据包括：感染病例监测（感染数、出院记录数）、现患率调查（实查数、应监测记录数）、外科手术感染监测、职业暴露监测、</w:t>
            </w:r>
            <w:r>
              <w:rPr>
                <w:rFonts w:hint="eastAsia" w:asciiTheme="minorEastAsia" w:hAnsiTheme="minorEastAsia" w:eastAsiaTheme="minorEastAsia" w:cstheme="minorEastAsia"/>
                <w:kern w:val="0"/>
                <w:sz w:val="20"/>
                <w:szCs w:val="20"/>
              </w:rPr>
              <w:t>ICU</w:t>
            </w:r>
            <w:r>
              <w:rPr>
                <w:rFonts w:hint="eastAsia" w:asciiTheme="minorEastAsia" w:hAnsiTheme="minorEastAsia" w:eastAsiaTheme="minorEastAsia" w:cstheme="minorEastAsia"/>
                <w:kern w:val="0"/>
                <w:sz w:val="20"/>
                <w:szCs w:val="20"/>
                <w:lang w:val="zh-TW" w:eastAsia="zh-TW"/>
              </w:rPr>
              <w:t>病人感染监测（感染数、监测日志记录数）、高危新生儿监测（感染数、日志记录数）、抗菌药物监测、环境卫生消毒药械监测、一次性用品监测、污水监测；</w:t>
            </w:r>
          </w:p>
          <w:p w14:paraId="761947D9">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支持数据上报结果的日志查看及保存；</w:t>
            </w:r>
          </w:p>
          <w:p w14:paraId="42E63BEB">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支持医院感染监测过程化数据直报国家医院感染管理专业质控中心哨点医院信息上报系统；</w:t>
            </w:r>
          </w:p>
          <w:p w14:paraId="15956DC8">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eastAsia="zh-CN"/>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支持医院感染监测过程化\结果化数据直报各省市医院感染质控中心监测平台</w:t>
            </w:r>
            <w:r>
              <w:rPr>
                <w:rFonts w:hint="eastAsia" w:asciiTheme="minorEastAsia" w:hAnsiTheme="minorEastAsia" w:cstheme="minorEastAsia"/>
                <w:kern w:val="0"/>
                <w:sz w:val="20"/>
                <w:szCs w:val="20"/>
                <w:lang w:val="zh-TW" w:eastAsia="zh-CN"/>
              </w:rPr>
              <w:t>。</w:t>
            </w:r>
          </w:p>
        </w:tc>
      </w:tr>
      <w:tr w14:paraId="6B5B04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9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7E542B">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6FDAC7">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医院感染管理质量控制十三项指标（2015年版）</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928C003">
            <w:pPr>
              <w:tabs>
                <w:tab w:val="left" w:pos="420"/>
              </w:tabs>
              <w:spacing w:line="360" w:lineRule="auto"/>
              <w:jc w:val="left"/>
              <w:rPr>
                <w:rFonts w:hint="eastAsia" w:asciiTheme="minorEastAsia" w:hAnsiTheme="minorEastAsia" w:eastAsiaTheme="minorEastAsia" w:cstheme="minorEastAsia"/>
                <w:kern w:val="0"/>
                <w:sz w:val="20"/>
                <w:szCs w:val="20"/>
                <w:lang w:val="zh-TW" w:eastAsia="zh-CN"/>
              </w:rPr>
            </w:pPr>
            <w:r>
              <w:rPr>
                <w:rFonts w:hint="eastAsia" w:asciiTheme="minorEastAsia" w:hAnsiTheme="minorEastAsia" w:eastAsiaTheme="minorEastAsia" w:cstheme="minorEastAsia"/>
                <w:kern w:val="0"/>
                <w:sz w:val="20"/>
                <w:szCs w:val="20"/>
                <w:lang w:val="zh-TW" w:eastAsia="zh-TW"/>
              </w:rPr>
              <w:t>支持按住院患者</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时间段</w:t>
            </w:r>
            <w:r>
              <w:rPr>
                <w:rFonts w:hint="eastAsia" w:asciiTheme="minorEastAsia" w:hAnsiTheme="minorEastAsia" w:eastAsiaTheme="minorEastAsia" w:cstheme="minorEastAsia"/>
                <w:kern w:val="0"/>
                <w:sz w:val="20"/>
                <w:szCs w:val="20"/>
              </w:rPr>
              <w:t>进行</w:t>
            </w:r>
            <w:r>
              <w:rPr>
                <w:rFonts w:hint="eastAsia" w:asciiTheme="minorEastAsia" w:hAnsiTheme="minorEastAsia" w:eastAsiaTheme="minorEastAsia" w:cstheme="minorEastAsia"/>
                <w:kern w:val="0"/>
                <w:sz w:val="20"/>
                <w:szCs w:val="20"/>
                <w:lang w:val="zh-TW" w:eastAsia="zh-TW"/>
              </w:rPr>
              <w:t>查询统计：医院感染发病（例次）率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医院感染现患（例次）率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医院感染病例漏报率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多重耐药菌感染发现率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多重耐药菌检出率</w:t>
            </w:r>
            <w:r>
              <w:rPr>
                <w:rFonts w:hint="eastAsia" w:asciiTheme="minorEastAsia" w:hAnsiTheme="minorEastAsia" w:eastAsiaTheme="minorEastAsia" w:cstheme="minorEastAsia"/>
                <w:kern w:val="0"/>
                <w:sz w:val="20"/>
                <w:szCs w:val="20"/>
                <w:lang w:val="zh-TW"/>
              </w:rPr>
              <w:t>、医务人员手卫生依从率、</w:t>
            </w:r>
            <w:r>
              <w:rPr>
                <w:rFonts w:hint="eastAsia" w:asciiTheme="minorEastAsia" w:hAnsiTheme="minorEastAsia" w:eastAsiaTheme="minorEastAsia" w:cstheme="minorEastAsia"/>
                <w:kern w:val="0"/>
                <w:sz w:val="20"/>
                <w:szCs w:val="20"/>
                <w:lang w:val="zh-TW" w:eastAsia="zh-TW"/>
              </w:rPr>
              <w:t>住院患者抗菌药物使用率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抗菌药物治疗前病原学送检率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rPr>
              <w:t>Ⅰ</w:t>
            </w:r>
            <w:r>
              <w:rPr>
                <w:rFonts w:hint="eastAsia" w:asciiTheme="minorEastAsia" w:hAnsiTheme="minorEastAsia" w:eastAsiaTheme="minorEastAsia" w:cstheme="minorEastAsia"/>
                <w:kern w:val="0"/>
                <w:sz w:val="20"/>
                <w:szCs w:val="20"/>
                <w:lang w:val="zh-TW" w:eastAsia="zh-TW"/>
              </w:rPr>
              <w:t>类切口手术部位感染率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rPr>
              <w:t>Ⅰ</w:t>
            </w:r>
            <w:r>
              <w:rPr>
                <w:rFonts w:hint="eastAsia" w:asciiTheme="minorEastAsia" w:hAnsiTheme="minorEastAsia" w:eastAsiaTheme="minorEastAsia" w:cstheme="minorEastAsia"/>
                <w:kern w:val="0"/>
                <w:sz w:val="20"/>
                <w:szCs w:val="20"/>
                <w:lang w:val="zh-TW" w:eastAsia="zh-TW"/>
              </w:rPr>
              <w:t>类切口手术抗菌药物预防使用率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血管内导管相关血流感染发病率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呼吸机相关肺炎发病率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导尿管相关泌尿系统感染发病率</w:t>
            </w:r>
            <w:r>
              <w:rPr>
                <w:rFonts w:hint="eastAsia" w:asciiTheme="minorEastAsia" w:hAnsiTheme="minorEastAsia" w:eastAsiaTheme="minorEastAsia" w:cstheme="minorEastAsia"/>
                <w:kern w:val="0"/>
                <w:sz w:val="20"/>
                <w:szCs w:val="20"/>
                <w:lang w:val="zh-TW" w:eastAsia="zh-CN"/>
              </w:rPr>
              <w:t>。</w:t>
            </w:r>
          </w:p>
        </w:tc>
      </w:tr>
      <w:tr w14:paraId="261FEB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31"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B5C786">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430D3">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医院感染管理医疗质量控制十二项指标（2024年版）</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8C203FD">
            <w:pPr>
              <w:tabs>
                <w:tab w:val="left" w:pos="420"/>
              </w:tabs>
              <w:spacing w:line="360" w:lineRule="auto"/>
              <w:jc w:val="left"/>
              <w:rPr>
                <w:rFonts w:hint="eastAsia" w:asciiTheme="minorEastAsia" w:hAnsiTheme="minorEastAsia" w:eastAsiaTheme="minorEastAsia" w:cstheme="minorEastAsia"/>
                <w:kern w:val="0"/>
                <w:sz w:val="20"/>
                <w:szCs w:val="20"/>
                <w:lang w:val="zh-TW" w:eastAsia="zh-CN"/>
              </w:rPr>
            </w:pPr>
            <w:r>
              <w:rPr>
                <w:rFonts w:hint="eastAsia" w:asciiTheme="minorEastAsia" w:hAnsiTheme="minorEastAsia" w:eastAsiaTheme="minorEastAsia" w:cstheme="minorEastAsia"/>
                <w:kern w:val="0"/>
                <w:sz w:val="20"/>
                <w:szCs w:val="20"/>
                <w:lang w:val="zh-TW" w:eastAsia="zh-TW"/>
              </w:rPr>
              <w:t>支持按住院患者、时间段进行查询统计：感控专职人员床位比、医疗机构工作人员手卫生依从率、千日医院感染例次发病率、新生儿千日医院感染例次发病率、千日特定多重耐药菌医院感染例次发病率、住院患者联合使用重点抗菌药物治疗前病原学送检率、住院患者Ⅰ类切口手术抗菌药物预防使用率、住院患者Ⅰ类切口手术部位感染率、血管导管相关血流感染发病率、呼吸机相关肺炎发病率、导尿管相关尿路感染发病率、血液透析相关感染发生率</w:t>
            </w:r>
            <w:r>
              <w:rPr>
                <w:rFonts w:hint="eastAsia" w:asciiTheme="minorEastAsia" w:hAnsiTheme="minorEastAsia" w:eastAsiaTheme="minorEastAsia" w:cstheme="minorEastAsia"/>
                <w:kern w:val="0"/>
                <w:sz w:val="20"/>
                <w:szCs w:val="20"/>
                <w:lang w:val="zh-TW" w:eastAsia="zh-CN"/>
              </w:rPr>
              <w:t>。</w:t>
            </w:r>
          </w:p>
        </w:tc>
      </w:tr>
      <w:tr w14:paraId="3DDAA4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33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ACEBAE">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DA307A">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提升抗菌药物治疗前病原学送检率哨点医院专项行动指标统计</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A828FFD">
            <w:pPr>
              <w:tabs>
                <w:tab w:val="left" w:pos="420"/>
              </w:tabs>
              <w:spacing w:line="360" w:lineRule="auto"/>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统计分析抗菌药物（分级）治疗前病原学送检率、联合使用重点药物前病原学送检率、医院感染诊断相关病原学送检率。可按照不同条件进行筛选，如是否包含降钙素原、PRC、白介素、G试验、显微镜检查、免疫学检测、分子快速判断、相关标志物等。并且通过红色标志数字显示警戒线。</w:t>
            </w:r>
          </w:p>
        </w:tc>
      </w:tr>
      <w:tr w14:paraId="78DBCC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371"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DE953D">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100886">
            <w:pP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全国医疗机构感染监测网指标统计</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F23BB78">
            <w:pPr>
              <w:tabs>
                <w:tab w:val="left" w:pos="420"/>
              </w:tabs>
              <w:spacing w:line="360" w:lineRule="auto"/>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zh-TW" w:eastAsia="zh-TW"/>
              </w:rPr>
              <w:t>支持按住院患者</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时间段</w:t>
            </w:r>
            <w:r>
              <w:rPr>
                <w:rFonts w:hint="eastAsia" w:asciiTheme="minorEastAsia" w:hAnsiTheme="minorEastAsia" w:eastAsiaTheme="minorEastAsia" w:cstheme="minorEastAsia"/>
                <w:kern w:val="0"/>
                <w:sz w:val="20"/>
                <w:szCs w:val="20"/>
              </w:rPr>
              <w:t>进行</w:t>
            </w:r>
            <w:r>
              <w:rPr>
                <w:rFonts w:hint="eastAsia" w:asciiTheme="minorEastAsia" w:hAnsiTheme="minorEastAsia" w:eastAsiaTheme="minorEastAsia" w:cstheme="minorEastAsia"/>
                <w:kern w:val="0"/>
                <w:sz w:val="20"/>
                <w:szCs w:val="20"/>
                <w:lang w:val="zh-TW" w:eastAsia="zh-TW"/>
              </w:rPr>
              <w:t>查询统计：医院感染日发病率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医院感染日发病例次率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特定多重耐药菌医院感染发生率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特定多重耐药菌检出率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特定多重耐药菌患者隔离医嘱开具率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住院患者抗菌药物使用率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抗菌药物治疗前病原学送检率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I 类切口手术部位感染率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I 类切口手术抗菌药物预防使用率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血管导管相关血流感染发病率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呼吸机相关肺炎发病率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导尿管相关尿路感染发病率</w:t>
            </w:r>
            <w:r>
              <w:rPr>
                <w:rFonts w:hint="eastAsia" w:asciiTheme="minorEastAsia" w:hAnsiTheme="minorEastAsia" w:eastAsiaTheme="minorEastAsia" w:cstheme="minorEastAsia"/>
                <w:kern w:val="0"/>
                <w:sz w:val="20"/>
                <w:szCs w:val="20"/>
                <w:lang w:val="zh-TW" w:eastAsia="zh-CN"/>
              </w:rPr>
              <w:t>。</w:t>
            </w:r>
          </w:p>
        </w:tc>
      </w:tr>
      <w:tr w14:paraId="252739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58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47E53C">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32074A">
            <w:pP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“感术”行动监测指标统计</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24E6937">
            <w:pPr>
              <w:tabs>
                <w:tab w:val="left" w:pos="420"/>
              </w:tabs>
              <w:spacing w:line="360" w:lineRule="auto"/>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eastAsiaTheme="minorEastAsia" w:cstheme="minorEastAsia"/>
                <w:kern w:val="0"/>
                <w:sz w:val="20"/>
                <w:szCs w:val="20"/>
                <w:lang w:val="zh-TW" w:eastAsia="zh-TW"/>
              </w:rPr>
              <w:t>支持按住院患者、时间段进行查询统计：术前皮肤准备合格率、手术部位感染率、I 类切口手术部位感染率、术后肺炎发生率、预防性使用抗菌药物术前 0.5~1 小时给药率、I 类切口手术预防性用药24小时内抗菌药物停药率。支持按重点手术分类统计数据，如：髋关节置换术、膝关节置换术、冠状动脉旁路移植术等；支持排除感染病例用药数据统计；支持术前用药排除万古霉素和氟喹诺酮类用药统计；支持以全身性用药途径进行数据筛选统计。</w:t>
            </w:r>
          </w:p>
        </w:tc>
      </w:tr>
      <w:tr w14:paraId="68F6AD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7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E21B22">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37CC22">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感染统计</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C9EF3AB">
            <w:pPr>
              <w:tabs>
                <w:tab w:val="left" w:pos="420"/>
              </w:tabs>
              <w:spacing w:line="360" w:lineRule="auto"/>
              <w:jc w:val="left"/>
              <w:rPr>
                <w:rFonts w:hint="eastAsia" w:asciiTheme="minorEastAsia" w:hAnsiTheme="minorEastAsia" w:eastAsiaTheme="minorEastAsia" w:cstheme="minorEastAsia"/>
                <w:kern w:val="0"/>
                <w:sz w:val="20"/>
                <w:szCs w:val="20"/>
                <w:lang w:val="zh-TW" w:eastAsia="zh-CN"/>
              </w:rPr>
            </w:pPr>
            <w:r>
              <w:rPr>
                <w:rFonts w:hint="eastAsia" w:asciiTheme="minorEastAsia" w:hAnsiTheme="minorEastAsia" w:eastAsiaTheme="minorEastAsia" w:cstheme="minorEastAsia"/>
                <w:kern w:val="0"/>
                <w:sz w:val="20"/>
                <w:szCs w:val="20"/>
              </w:rPr>
              <w:t>可按照时间段、患者科室等维度统计分析：</w:t>
            </w:r>
            <w:r>
              <w:rPr>
                <w:rFonts w:hint="eastAsia" w:asciiTheme="minorEastAsia" w:hAnsiTheme="minorEastAsia" w:eastAsiaTheme="minorEastAsia" w:cstheme="minorEastAsia"/>
                <w:kern w:val="0"/>
                <w:sz w:val="20"/>
                <w:szCs w:val="20"/>
                <w:lang w:val="zh-TW" w:eastAsia="zh-TW"/>
              </w:rPr>
              <w:t>医院感染率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社区感染率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医院感染日感染率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医院感染部位分布</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社区感染部位分布</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医院感染病原体部位分布</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社区感染病原体部位分布</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易感因素</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rPr>
              <w:t>CLABSI</w:t>
            </w:r>
            <w:r>
              <w:rPr>
                <w:rFonts w:hint="eastAsia" w:asciiTheme="minorEastAsia" w:hAnsiTheme="minorEastAsia" w:eastAsiaTheme="minorEastAsia" w:cstheme="minorEastAsia"/>
                <w:kern w:val="0"/>
                <w:sz w:val="20"/>
                <w:szCs w:val="20"/>
                <w:lang w:val="zh-TW" w:eastAsia="zh-TW"/>
              </w:rPr>
              <w:t>（血管内导管相关血流感染发病率）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rPr>
              <w:t>VAP</w:t>
            </w:r>
            <w:r>
              <w:rPr>
                <w:rFonts w:hint="eastAsia" w:asciiTheme="minorEastAsia" w:hAnsiTheme="minorEastAsia" w:eastAsiaTheme="minorEastAsia" w:cstheme="minorEastAsia"/>
                <w:kern w:val="0"/>
                <w:sz w:val="20"/>
                <w:szCs w:val="20"/>
                <w:lang w:val="zh-TW" w:eastAsia="zh-TW"/>
              </w:rPr>
              <w:t>（呼吸机相关肺炎发病率）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rPr>
              <w:t>CAUTI</w:t>
            </w:r>
            <w:r>
              <w:rPr>
                <w:rFonts w:hint="eastAsia" w:asciiTheme="minorEastAsia" w:hAnsiTheme="minorEastAsia" w:eastAsiaTheme="minorEastAsia" w:cstheme="minorEastAsia"/>
                <w:kern w:val="0"/>
                <w:sz w:val="20"/>
                <w:szCs w:val="20"/>
                <w:lang w:val="zh-TW" w:eastAsia="zh-TW"/>
              </w:rPr>
              <w:t>（导尿管相关泌尿系统感染发病率）</w:t>
            </w:r>
            <w:r>
              <w:rPr>
                <w:rFonts w:hint="eastAsia" w:asciiTheme="minorEastAsia" w:hAnsiTheme="minorEastAsia" w:eastAsiaTheme="minorEastAsia" w:cstheme="minorEastAsia"/>
                <w:kern w:val="0"/>
                <w:sz w:val="20"/>
                <w:szCs w:val="20"/>
                <w:lang w:val="zh-TW" w:eastAsia="zh-CN"/>
              </w:rPr>
              <w:t>。</w:t>
            </w:r>
          </w:p>
        </w:tc>
      </w:tr>
      <w:tr w14:paraId="73ED8F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81"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61710D">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3AE2C7">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感染率趋势分析</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1ACB13">
            <w:pPr>
              <w:tabs>
                <w:tab w:val="left" w:pos="420"/>
              </w:tabs>
              <w:spacing w:line="360" w:lineRule="auto"/>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eastAsiaTheme="minorEastAsia" w:cstheme="minorEastAsia"/>
                <w:kern w:val="0"/>
                <w:sz w:val="20"/>
                <w:szCs w:val="20"/>
                <w:lang w:val="zh-TW" w:eastAsia="zh-TW"/>
              </w:rPr>
              <w:t>医院感染率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社区感染率</w:t>
            </w:r>
            <w:r>
              <w:rPr>
                <w:rFonts w:hint="eastAsia" w:asciiTheme="minorEastAsia" w:hAnsiTheme="minorEastAsia" w:eastAsiaTheme="minorEastAsia" w:cstheme="minorEastAsia"/>
                <w:kern w:val="0"/>
                <w:sz w:val="20"/>
                <w:szCs w:val="20"/>
                <w:lang w:val="zh-TW"/>
              </w:rPr>
              <w:t>、医院感染日感染率、</w:t>
            </w:r>
            <w:r>
              <w:rPr>
                <w:rFonts w:hint="eastAsia" w:asciiTheme="minorEastAsia" w:hAnsiTheme="minorEastAsia" w:eastAsiaTheme="minorEastAsia" w:cstheme="minorEastAsia"/>
                <w:kern w:val="0"/>
                <w:sz w:val="20"/>
                <w:szCs w:val="20"/>
              </w:rPr>
              <w:t>CLABSI</w:t>
            </w:r>
            <w:r>
              <w:rPr>
                <w:rFonts w:hint="eastAsia" w:asciiTheme="minorEastAsia" w:hAnsiTheme="minorEastAsia" w:eastAsiaTheme="minorEastAsia" w:cstheme="minorEastAsia"/>
                <w:kern w:val="0"/>
                <w:sz w:val="20"/>
                <w:szCs w:val="20"/>
                <w:lang w:val="zh-TW" w:eastAsia="zh-TW"/>
              </w:rPr>
              <w:t>（血管内导管相关血流感染发病率）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rPr>
              <w:t>VAP</w:t>
            </w:r>
            <w:r>
              <w:rPr>
                <w:rFonts w:hint="eastAsia" w:asciiTheme="minorEastAsia" w:hAnsiTheme="minorEastAsia" w:eastAsiaTheme="minorEastAsia" w:cstheme="minorEastAsia"/>
                <w:kern w:val="0"/>
                <w:sz w:val="20"/>
                <w:szCs w:val="20"/>
                <w:lang w:val="zh-TW" w:eastAsia="zh-TW"/>
              </w:rPr>
              <w:t>（呼吸机相关肺炎发病率）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rPr>
              <w:t>CAUTI</w:t>
            </w:r>
            <w:r>
              <w:rPr>
                <w:rFonts w:hint="eastAsia" w:asciiTheme="minorEastAsia" w:hAnsiTheme="minorEastAsia" w:eastAsiaTheme="minorEastAsia" w:cstheme="minorEastAsia"/>
                <w:kern w:val="0"/>
                <w:sz w:val="20"/>
                <w:szCs w:val="20"/>
                <w:lang w:val="zh-TW" w:eastAsia="zh-TW"/>
              </w:rPr>
              <w:t>（导尿管相关泌尿系统感染发病率）</w:t>
            </w:r>
            <w:r>
              <w:rPr>
                <w:rFonts w:hint="eastAsia" w:asciiTheme="minorEastAsia" w:hAnsiTheme="minorEastAsia" w:eastAsiaTheme="minorEastAsia" w:cstheme="minorEastAsia"/>
                <w:kern w:val="0"/>
                <w:sz w:val="20"/>
                <w:szCs w:val="20"/>
                <w:lang w:val="zh-TW"/>
              </w:rPr>
              <w:t>。</w:t>
            </w:r>
          </w:p>
        </w:tc>
      </w:tr>
      <w:tr w14:paraId="6A68E4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99"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A68459">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28</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3057B9">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现患率统计</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FA224C1">
            <w:pPr>
              <w:tabs>
                <w:tab w:val="left" w:pos="420"/>
              </w:tabs>
              <w:spacing w:line="360" w:lineRule="auto"/>
              <w:jc w:val="left"/>
              <w:rPr>
                <w:rFonts w:hint="eastAsia" w:asciiTheme="minorEastAsia" w:hAnsiTheme="minorEastAsia" w:eastAsiaTheme="minorEastAsia" w:cstheme="minorEastAsia"/>
                <w:kern w:val="0"/>
                <w:sz w:val="20"/>
                <w:szCs w:val="20"/>
                <w:lang w:val="zh-TW" w:eastAsia="zh-CN"/>
              </w:rPr>
            </w:pPr>
            <w:r>
              <w:rPr>
                <w:rFonts w:hint="eastAsia" w:asciiTheme="minorEastAsia" w:hAnsiTheme="minorEastAsia" w:eastAsiaTheme="minorEastAsia" w:cstheme="minorEastAsia"/>
                <w:kern w:val="0"/>
                <w:sz w:val="20"/>
                <w:szCs w:val="20"/>
                <w:lang w:val="zh-TW" w:eastAsia="zh-TW"/>
              </w:rPr>
              <w:t>根据</w:t>
            </w:r>
            <w:r>
              <w:rPr>
                <w:rFonts w:hint="eastAsia" w:asciiTheme="minorEastAsia" w:hAnsiTheme="minorEastAsia" w:eastAsiaTheme="minorEastAsia" w:cstheme="minorEastAsia"/>
                <w:kern w:val="0"/>
                <w:sz w:val="20"/>
                <w:szCs w:val="20"/>
                <w:lang w:val="zh-TW"/>
              </w:rPr>
              <w:t>横断面调查</w:t>
            </w:r>
            <w:r>
              <w:rPr>
                <w:rFonts w:hint="eastAsia" w:asciiTheme="minorEastAsia" w:hAnsiTheme="minorEastAsia" w:eastAsiaTheme="minorEastAsia" w:cstheme="minorEastAsia"/>
                <w:kern w:val="0"/>
                <w:sz w:val="20"/>
                <w:szCs w:val="20"/>
                <w:lang w:val="zh-TW" w:eastAsia="zh-TW"/>
              </w:rPr>
              <w:t>进行现患统计；医院感染率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社区感染率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医院感染病原体部位分布</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抗菌药物使用情况</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医院感染率现患趋势分析</w:t>
            </w:r>
            <w:r>
              <w:rPr>
                <w:rFonts w:hint="eastAsia" w:asciiTheme="minorEastAsia" w:hAnsiTheme="minorEastAsia" w:eastAsiaTheme="minorEastAsia" w:cstheme="minorEastAsia"/>
                <w:kern w:val="0"/>
                <w:sz w:val="20"/>
                <w:szCs w:val="20"/>
                <w:lang w:val="zh-TW" w:eastAsia="zh-CN"/>
              </w:rPr>
              <w:t>。</w:t>
            </w:r>
          </w:p>
        </w:tc>
      </w:tr>
      <w:tr w14:paraId="46F0FD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586"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0245DA">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29</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EA8B1">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院感通讯简报</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5DA68BE">
            <w:pPr>
              <w:spacing w:line="360" w:lineRule="auto"/>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eastAsiaTheme="minorEastAsia" w:cstheme="minorEastAsia"/>
                <w:kern w:val="0"/>
                <w:sz w:val="20"/>
                <w:szCs w:val="20"/>
                <w:lang w:val="zh-TW" w:eastAsia="zh-TW"/>
              </w:rPr>
              <w:t>支持根据院内监测数据自动生成院感通讯简报，进行多样化的指标数据统计。支持表格、曲线图、折线图等展现形式生成图文并茂的简报内容，</w:t>
            </w:r>
            <w:r>
              <w:rPr>
                <w:rFonts w:hint="eastAsia" w:asciiTheme="minorEastAsia" w:hAnsiTheme="minorEastAsia" w:eastAsiaTheme="minorEastAsia" w:cstheme="minorEastAsia"/>
                <w:kern w:val="0"/>
                <w:sz w:val="20"/>
                <w:szCs w:val="20"/>
                <w:lang w:val="zh-TW"/>
              </w:rPr>
              <w:t>提供</w:t>
            </w:r>
            <w:r>
              <w:rPr>
                <w:rFonts w:hint="eastAsia" w:asciiTheme="minorEastAsia" w:hAnsiTheme="minorEastAsia" w:eastAsiaTheme="minorEastAsia" w:cstheme="minorEastAsia"/>
                <w:kern w:val="0"/>
                <w:sz w:val="20"/>
                <w:szCs w:val="20"/>
                <w:lang w:val="zh-TW" w:eastAsia="zh-TW"/>
              </w:rPr>
              <w:t>统一模板库和各类标准统计指标</w:t>
            </w:r>
            <w:r>
              <w:rPr>
                <w:rFonts w:hint="eastAsia" w:asciiTheme="minorEastAsia" w:hAnsiTheme="minorEastAsia" w:eastAsiaTheme="minorEastAsia" w:cstheme="minorEastAsia"/>
                <w:kern w:val="0"/>
                <w:sz w:val="20"/>
                <w:szCs w:val="20"/>
                <w:lang w:val="zh-TW"/>
              </w:rPr>
              <w:t>。</w:t>
            </w:r>
            <w:r>
              <w:rPr>
                <w:rFonts w:hint="eastAsia" w:asciiTheme="minorEastAsia" w:hAnsiTheme="minorEastAsia" w:eastAsiaTheme="minorEastAsia" w:cstheme="minorEastAsia"/>
                <w:kern w:val="0"/>
                <w:sz w:val="20"/>
                <w:szCs w:val="20"/>
                <w:lang w:val="zh-TW" w:eastAsia="zh-TW"/>
              </w:rPr>
              <w:t>支持简报名称、格式、内容自定义；简报一键生成，支持导出word格式，自行调整简报内容。</w:t>
            </w:r>
          </w:p>
        </w:tc>
      </w:tr>
      <w:tr w14:paraId="68F10B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09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3444">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DBE5ED">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患者诊疗信息</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3108B0B">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支持查看患者历次本院住院诊疗信息</w:t>
            </w:r>
            <w:r>
              <w:rPr>
                <w:rFonts w:hint="eastAsia" w:asciiTheme="minorEastAsia" w:hAnsiTheme="minorEastAsia" w:eastAsiaTheme="minorEastAsia" w:cstheme="minorEastAsia"/>
                <w:kern w:val="0"/>
                <w:sz w:val="20"/>
                <w:szCs w:val="20"/>
                <w:lang w:val="zh-TW"/>
              </w:rPr>
              <w:t>，包括住院号、入院科室、入院时间、出院科室、出院时间、入院诊断、住院次数</w:t>
            </w:r>
            <w:r>
              <w:rPr>
                <w:rFonts w:hint="eastAsia" w:asciiTheme="minorEastAsia" w:hAnsiTheme="minorEastAsia" w:eastAsiaTheme="minorEastAsia" w:cstheme="minorEastAsia"/>
                <w:kern w:val="0"/>
                <w:sz w:val="20"/>
                <w:szCs w:val="20"/>
                <w:lang w:val="zh-TW" w:eastAsia="zh-TW"/>
              </w:rPr>
              <w:t>；</w:t>
            </w:r>
          </w:p>
          <w:p w14:paraId="7CB2E595">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支持查看患者基本信息，包括住院号、病案号、姓名、性别、年龄、住院次数、体重</w:t>
            </w:r>
            <w:r>
              <w:rPr>
                <w:rFonts w:hint="eastAsia" w:asciiTheme="minorEastAsia" w:hAnsiTheme="minorEastAsia" w:eastAsiaTheme="minorEastAsia" w:cstheme="minorEastAsia"/>
                <w:kern w:val="0"/>
                <w:sz w:val="20"/>
                <w:szCs w:val="20"/>
                <w:lang w:val="zh-TW"/>
              </w:rPr>
              <w:t>、入院诊断、当前科室</w:t>
            </w:r>
            <w:r>
              <w:rPr>
                <w:rFonts w:hint="eastAsia" w:asciiTheme="minorEastAsia" w:hAnsiTheme="minorEastAsia" w:eastAsiaTheme="minorEastAsia" w:cstheme="minorEastAsia"/>
                <w:kern w:val="0"/>
                <w:sz w:val="20"/>
                <w:szCs w:val="20"/>
                <w:lang w:val="zh-TW" w:eastAsia="zh-TW"/>
              </w:rPr>
              <w:t>信息；</w:t>
            </w:r>
          </w:p>
          <w:p w14:paraId="761E74FE">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支持查看患者住院综合图示重要关注因素的时序图，包括三大插管、三大常规、</w:t>
            </w:r>
            <w:r>
              <w:rPr>
                <w:rFonts w:hint="eastAsia" w:asciiTheme="minorEastAsia" w:hAnsiTheme="minorEastAsia" w:eastAsiaTheme="minorEastAsia" w:cstheme="minorEastAsia"/>
                <w:kern w:val="0"/>
                <w:sz w:val="20"/>
                <w:szCs w:val="20"/>
              </w:rPr>
              <w:t>C</w:t>
            </w:r>
            <w:r>
              <w:rPr>
                <w:rFonts w:hint="eastAsia" w:asciiTheme="minorEastAsia" w:hAnsiTheme="minorEastAsia" w:eastAsiaTheme="minorEastAsia" w:cstheme="minorEastAsia"/>
                <w:kern w:val="0"/>
                <w:sz w:val="20"/>
                <w:szCs w:val="20"/>
                <w:lang w:val="zh-TW" w:eastAsia="zh-TW"/>
              </w:rPr>
              <w:t>反应蛋白、降钙素原、检出菌、隔离标识；</w:t>
            </w:r>
          </w:p>
          <w:p w14:paraId="097B3BD3">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支持在综合图示中，可查看三大常规、</w:t>
            </w:r>
            <w:r>
              <w:rPr>
                <w:rFonts w:hint="eastAsia" w:asciiTheme="minorEastAsia" w:hAnsiTheme="minorEastAsia" w:eastAsiaTheme="minorEastAsia" w:cstheme="minorEastAsia"/>
                <w:kern w:val="0"/>
                <w:sz w:val="20"/>
                <w:szCs w:val="20"/>
              </w:rPr>
              <w:t>C</w:t>
            </w:r>
            <w:r>
              <w:rPr>
                <w:rFonts w:hint="eastAsia" w:asciiTheme="minorEastAsia" w:hAnsiTheme="minorEastAsia" w:eastAsiaTheme="minorEastAsia" w:cstheme="minorEastAsia"/>
                <w:kern w:val="0"/>
                <w:sz w:val="20"/>
                <w:szCs w:val="20"/>
                <w:lang w:val="zh-TW" w:eastAsia="zh-TW"/>
              </w:rPr>
              <w:t>反应蛋白的历次送检信息及检验结果的趋势走向；</w:t>
            </w:r>
          </w:p>
          <w:p w14:paraId="57B2B164">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支持查看住院综合图示重要风险因素明细，包括：抗菌药物使用、侵入性操作、检出菌、手术、体温异常；</w:t>
            </w:r>
          </w:p>
          <w:p w14:paraId="7D4C3BD1">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支持查看医嘱信息，侵入性操作、抗菌药物优先置顶，并可进行关键词搜索医嘱；</w:t>
            </w:r>
          </w:p>
          <w:p w14:paraId="709FAFBE">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eastAsiaTheme="minorEastAsia" w:cstheme="minorEastAsia"/>
                <w:kern w:val="0"/>
                <w:sz w:val="20"/>
                <w:szCs w:val="20"/>
                <w:lang w:val="zh-TW" w:eastAsia="zh-TW"/>
              </w:rPr>
              <w:t>支持查看检验信息，对存在异常检验项目，标记红点显目提示，异常检验结果优先置顶；</w:t>
            </w:r>
          </w:p>
          <w:p w14:paraId="3925FEBD">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8</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支持查看菌培养信息，优先置顶，药敏结果为耐药标红显示；</w:t>
            </w:r>
          </w:p>
          <w:p w14:paraId="01AA761A">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9</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支持查看手术信息，可穿透查看手术登记表；</w:t>
            </w:r>
          </w:p>
          <w:p w14:paraId="038163F8">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10</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支持查看体温信息，时间段内体温走向，超过</w:t>
            </w:r>
            <w:r>
              <w:rPr>
                <w:rFonts w:hint="eastAsia" w:asciiTheme="minorEastAsia" w:hAnsiTheme="minorEastAsia" w:eastAsiaTheme="minorEastAsia" w:cstheme="minorEastAsia"/>
                <w:kern w:val="0"/>
                <w:sz w:val="20"/>
                <w:szCs w:val="20"/>
              </w:rPr>
              <w:t>38℃</w:t>
            </w:r>
            <w:r>
              <w:rPr>
                <w:rFonts w:hint="eastAsia" w:asciiTheme="minorEastAsia" w:hAnsiTheme="minorEastAsia" w:eastAsiaTheme="minorEastAsia" w:cstheme="minorEastAsia"/>
                <w:kern w:val="0"/>
                <w:sz w:val="20"/>
                <w:szCs w:val="20"/>
                <w:lang w:val="zh-TW" w:eastAsia="zh-TW"/>
              </w:rPr>
              <w:t>显目提示；</w:t>
            </w:r>
          </w:p>
          <w:p w14:paraId="15E4CE22">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支持查看病历信息，对存在感染因素的标记显示，分别展示分析后病历和原文病历，分析后病历中关键词按颜色区分否定式、阳性词；</w:t>
            </w:r>
          </w:p>
          <w:p w14:paraId="05C498D5">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支持查看影像信息，对存在感染因素的标记显示，分析后影像报告中关键词按颜色区分否定式、阳性词；</w:t>
            </w:r>
          </w:p>
          <w:p w14:paraId="6227C73B">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支持查看诊断信息，包括入院诊断、出院诊断、其他诊断；</w:t>
            </w:r>
          </w:p>
          <w:p w14:paraId="2B130C32">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支持查看在院期间出入科记录；</w:t>
            </w:r>
          </w:p>
          <w:p w14:paraId="14C7AF96">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支持查看当前患者干预历史情况，并支持干预会话发起；</w:t>
            </w:r>
          </w:p>
          <w:p w14:paraId="4BA7C3AA">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支持查看当前患者疑似感染信息，并可直接进行干预、排除、确认操作；</w:t>
            </w:r>
          </w:p>
          <w:p w14:paraId="74CFA8B3">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17</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支持查看当前患者感染病例历史上报情况</w:t>
            </w:r>
            <w:r>
              <w:rPr>
                <w:rFonts w:hint="eastAsia" w:asciiTheme="minorEastAsia" w:hAnsiTheme="minorEastAsia" w:cstheme="minorEastAsia"/>
                <w:kern w:val="0"/>
                <w:sz w:val="20"/>
                <w:szCs w:val="20"/>
                <w:lang w:val="zh-TW" w:eastAsia="zh-CN"/>
              </w:rPr>
              <w:t>。</w:t>
            </w:r>
          </w:p>
        </w:tc>
      </w:tr>
      <w:tr w14:paraId="1B22BA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29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5907D3">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31</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978D1F">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患者数据数据采集</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F0DCD3C">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支持与医院现有系统的数据对接，自动完成</w:t>
            </w:r>
            <w:r>
              <w:rPr>
                <w:rFonts w:hint="eastAsia" w:asciiTheme="minorEastAsia" w:hAnsiTheme="minorEastAsia" w:eastAsiaTheme="minorEastAsia" w:cstheme="minorEastAsia"/>
                <w:kern w:val="0"/>
                <w:sz w:val="20"/>
                <w:szCs w:val="20"/>
              </w:rPr>
              <w:t>HIS</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LIS</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PACS</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EMR(</w:t>
            </w:r>
            <w:r>
              <w:rPr>
                <w:rFonts w:hint="eastAsia" w:asciiTheme="minorEastAsia" w:hAnsiTheme="minorEastAsia" w:eastAsiaTheme="minorEastAsia" w:cstheme="minorEastAsia"/>
                <w:kern w:val="0"/>
                <w:sz w:val="20"/>
                <w:szCs w:val="20"/>
                <w:lang w:val="zh-TW" w:eastAsia="zh-TW"/>
              </w:rPr>
              <w:t>电子病历</w:t>
            </w:r>
            <w:r>
              <w:rPr>
                <w:rFonts w:hint="eastAsia" w:asciiTheme="minorEastAsia" w:hAnsiTheme="minorEastAsia" w:eastAsiaTheme="minorEastAsia" w:cstheme="minorEastAsia"/>
                <w:kern w:val="0"/>
                <w:sz w:val="20"/>
                <w:szCs w:val="20"/>
              </w:rPr>
              <w:t>)</w:t>
            </w:r>
            <w:r>
              <w:rPr>
                <w:rFonts w:hint="eastAsia" w:asciiTheme="minorEastAsia" w:hAnsiTheme="minorEastAsia" w:eastAsiaTheme="minorEastAsia" w:cstheme="minorEastAsia"/>
                <w:kern w:val="0"/>
                <w:sz w:val="20"/>
                <w:szCs w:val="20"/>
                <w:lang w:val="zh-TW" w:eastAsia="zh-TW"/>
              </w:rPr>
              <w:t>、手术麻醉、护理系统系统的数据加载，并自动完成各项院感数据匹配工作</w:t>
            </w:r>
            <w:r>
              <w:rPr>
                <w:rFonts w:hint="eastAsia" w:asciiTheme="minorEastAsia" w:hAnsiTheme="minorEastAsia" w:eastAsiaTheme="minorEastAsia" w:cstheme="minorEastAsia"/>
                <w:kern w:val="0"/>
                <w:sz w:val="20"/>
                <w:szCs w:val="20"/>
                <w:lang w:val="zh-TW"/>
              </w:rPr>
              <w:t>；</w:t>
            </w:r>
          </w:p>
          <w:p w14:paraId="1F872AA6">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支持对接</w:t>
            </w:r>
            <w:r>
              <w:rPr>
                <w:rFonts w:hint="eastAsia" w:asciiTheme="minorEastAsia" w:hAnsiTheme="minorEastAsia" w:eastAsiaTheme="minorEastAsia" w:cstheme="minorEastAsia"/>
                <w:kern w:val="0"/>
                <w:sz w:val="20"/>
                <w:szCs w:val="20"/>
              </w:rPr>
              <w:t>Sqlserver</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Mysql</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Cache</w:t>
            </w:r>
            <w:r>
              <w:rPr>
                <w:rFonts w:hint="eastAsia" w:asciiTheme="minorEastAsia" w:hAnsiTheme="minorEastAsia" w:cstheme="minorEastAsia"/>
                <w:kern w:val="0"/>
                <w:sz w:val="20"/>
                <w:szCs w:val="20"/>
                <w:lang w:val="en-US" w:eastAsia="zh-CN"/>
              </w:rPr>
              <w:t>等</w:t>
            </w:r>
            <w:r>
              <w:rPr>
                <w:rFonts w:hint="eastAsia" w:asciiTheme="minorEastAsia" w:hAnsiTheme="minorEastAsia" w:eastAsiaTheme="minorEastAsia" w:cstheme="minorEastAsia"/>
                <w:kern w:val="0"/>
                <w:sz w:val="20"/>
                <w:szCs w:val="20"/>
                <w:lang w:val="zh-TW" w:eastAsia="zh-TW"/>
              </w:rPr>
              <w:t>数据库；</w:t>
            </w:r>
          </w:p>
          <w:p w14:paraId="1F7BF075">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支持完成自动加载患者基本信息；</w:t>
            </w:r>
          </w:p>
          <w:p w14:paraId="70C47D49">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支持完成自动加载患者出入院信息，包括出入院日期、科室、床位、住院总费用信息；</w:t>
            </w:r>
          </w:p>
          <w:p w14:paraId="3D074FFB">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支持完成自动加载患者转科信息</w:t>
            </w:r>
            <w:r>
              <w:rPr>
                <w:rFonts w:hint="eastAsia" w:asciiTheme="minorEastAsia" w:hAnsiTheme="minorEastAsia" w:eastAsiaTheme="minorEastAsia" w:cstheme="minorEastAsia"/>
                <w:kern w:val="0"/>
                <w:sz w:val="20"/>
                <w:szCs w:val="20"/>
                <w:lang w:val="zh-TW"/>
              </w:rPr>
              <w:t>；</w:t>
            </w:r>
          </w:p>
          <w:p w14:paraId="5C9430C4">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支持完成自动加载患者诊断信息，入院诊断、疾病诊断、出院诊断；</w:t>
            </w:r>
          </w:p>
          <w:p w14:paraId="3C1FAE36">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支持完成自动加载患者电子体温信息及大便次数信息；</w:t>
            </w:r>
          </w:p>
          <w:p w14:paraId="266B33BF">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8</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支持完成自动加载患者手术申请、安排，详细的手术情况，如麻醉类型、手术时间等；</w:t>
            </w:r>
          </w:p>
          <w:p w14:paraId="79ACEFF7">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9</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支持完成自动加载患者医嘱信息，包括检验检查项目、用药情况等；</w:t>
            </w:r>
          </w:p>
          <w:p w14:paraId="7A7EBECD">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10</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支持完成自动加载患者检验信息，包括常规检验、细菌培养、检验结果等；</w:t>
            </w:r>
          </w:p>
          <w:p w14:paraId="6B6ACA36">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支持完成自动加载患者微生物培养情况（包括送检信息、病原体检出情况、药敏试验情况等）</w:t>
            </w:r>
            <w:r>
              <w:rPr>
                <w:rFonts w:hint="eastAsia" w:asciiTheme="minorEastAsia" w:hAnsiTheme="minorEastAsia" w:eastAsiaTheme="minorEastAsia" w:cstheme="minorEastAsia"/>
                <w:kern w:val="0"/>
                <w:sz w:val="20"/>
                <w:szCs w:val="20"/>
                <w:lang w:val="zh-TW"/>
              </w:rPr>
              <w:t>；</w:t>
            </w:r>
          </w:p>
          <w:p w14:paraId="7ADC70AD">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支持完成自动加载患者抗菌药物使用情况；</w:t>
            </w:r>
          </w:p>
          <w:p w14:paraId="75DB8ED0">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支持完成自动加载患者影像诊断信息；</w:t>
            </w:r>
          </w:p>
          <w:p w14:paraId="0302A60C">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支持完成自动加载患者病历记录；</w:t>
            </w:r>
          </w:p>
          <w:p w14:paraId="17A8BDCE">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科室信息、医生信息（包括职称）、药品信息等基础资料</w:t>
            </w:r>
            <w:r>
              <w:rPr>
                <w:rFonts w:hint="eastAsia" w:asciiTheme="minorEastAsia" w:hAnsiTheme="minorEastAsia" w:eastAsiaTheme="minorEastAsia" w:cstheme="minorEastAsia"/>
                <w:kern w:val="0"/>
                <w:sz w:val="20"/>
                <w:szCs w:val="20"/>
                <w:lang w:val="zh-TW"/>
              </w:rPr>
              <w:t>；</w:t>
            </w:r>
          </w:p>
          <w:p w14:paraId="3F863818">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rPr>
              <w:t>支持ETL接口数据自动监控，异常接口数据弹窗提醒，可查看异常接口事件详情与错误记录明细。</w:t>
            </w:r>
          </w:p>
        </w:tc>
      </w:tr>
      <w:tr w14:paraId="5E8357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51DDB0">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32</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B267E1">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重点监测细菌</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847EC64">
            <w:pPr>
              <w:pStyle w:val="10"/>
              <w:numPr>
                <w:ilvl w:val="0"/>
                <w:numId w:val="0"/>
              </w:numPr>
              <w:spacing w:line="360" w:lineRule="auto"/>
              <w:ind w:leftChars="0"/>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支持对国家卫计委要求的重点监测菌的维护，重点监测菌包括：耐甲氧西林金黄色葡萄球菌（MRSA）、</w:t>
            </w:r>
            <w:r>
              <w:rPr>
                <w:rFonts w:hint="eastAsia" w:asciiTheme="minorEastAsia" w:hAnsiTheme="minorEastAsia" w:eastAsiaTheme="minorEastAsia" w:cstheme="minorEastAsia"/>
                <w:kern w:val="0"/>
                <w:sz w:val="20"/>
                <w:szCs w:val="20"/>
                <w:lang w:val="zh-TW"/>
              </w:rPr>
              <w:t>耐碳青</w:t>
            </w:r>
            <w:r>
              <w:rPr>
                <w:rFonts w:hint="eastAsia" w:asciiTheme="minorEastAsia" w:hAnsiTheme="minorEastAsia" w:eastAsiaTheme="minorEastAsia" w:cstheme="minorEastAsia"/>
                <w:kern w:val="0"/>
                <w:sz w:val="20"/>
                <w:szCs w:val="20"/>
                <w:lang w:val="zh-TW" w:eastAsia="zh-TW"/>
              </w:rPr>
              <w:t>霉烯类抗菌药物铜绿假单胞菌（CR-PA）、</w:t>
            </w:r>
            <w:r>
              <w:rPr>
                <w:rFonts w:hint="eastAsia" w:asciiTheme="minorEastAsia" w:hAnsiTheme="minorEastAsia" w:eastAsiaTheme="minorEastAsia" w:cstheme="minorEastAsia"/>
                <w:kern w:val="0"/>
                <w:sz w:val="20"/>
                <w:szCs w:val="20"/>
              </w:rPr>
              <w:t>耐碳青霉烯类抗菌药物肠杆菌科细菌(CRE)、耐碳青霉烯类抗菌药物鲍曼不动杆菌(CR-AB)、耐万古霉素肠球菌(VRE)、耐万古霉素金黄色葡萄球菌(VRSA)、产超广谱β-内酰胺酶疑似菌株（ESBLs）；</w:t>
            </w:r>
          </w:p>
          <w:p w14:paraId="2A44A760">
            <w:pPr>
              <w:pStyle w:val="10"/>
              <w:numPr>
                <w:ilvl w:val="0"/>
                <w:numId w:val="0"/>
              </w:numPr>
              <w:spacing w:line="360" w:lineRule="auto"/>
              <w:ind w:leftChars="0"/>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提供重点监测细菌可定制化操作界面，通过简单的点与选可完成对重点监测细菌的增加、修改、停用的操作；</w:t>
            </w:r>
          </w:p>
          <w:p w14:paraId="26D5C8B2">
            <w:pPr>
              <w:pStyle w:val="10"/>
              <w:numPr>
                <w:ilvl w:val="0"/>
                <w:numId w:val="0"/>
              </w:numPr>
              <w:spacing w:line="360" w:lineRule="auto"/>
              <w:ind w:leftChars="0"/>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重点监测细菌内容可随医院细菌监测业务的变化随之调整，如对金黄色葡萄球菌作为重点菌，则增加成功后；或增加大肠埃希菌对碳青霉烯类中亚胺培南、美罗培南、厄他培南任一耐药（CR-CEO），增加成功后，立即生效；</w:t>
            </w:r>
          </w:p>
          <w:p w14:paraId="72811EB1">
            <w:pPr>
              <w:pStyle w:val="10"/>
              <w:numPr>
                <w:ilvl w:val="0"/>
                <w:numId w:val="0"/>
              </w:numPr>
              <w:spacing w:line="360" w:lineRule="auto"/>
              <w:ind w:leftChars="0"/>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重点监测菌的菌对药物药敏结果可以设定耐药或耐药+中介，两种方式，设定规则独立；</w:t>
            </w:r>
          </w:p>
        </w:tc>
      </w:tr>
      <w:tr w14:paraId="753398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0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CD064D">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33</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77B135">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临床</w:t>
            </w:r>
            <w:r>
              <w:rPr>
                <w:rFonts w:hint="eastAsia" w:asciiTheme="minorEastAsia" w:hAnsiTheme="minorEastAsia" w:eastAsiaTheme="minorEastAsia" w:cstheme="minorEastAsia"/>
                <w:kern w:val="0"/>
                <w:sz w:val="20"/>
                <w:szCs w:val="20"/>
                <w:lang w:val="zh-TW"/>
              </w:rPr>
              <w:t>感控</w:t>
            </w:r>
            <w:r>
              <w:rPr>
                <w:rFonts w:hint="eastAsia" w:asciiTheme="minorEastAsia" w:hAnsiTheme="minorEastAsia" w:eastAsiaTheme="minorEastAsia" w:cstheme="minorEastAsia"/>
                <w:kern w:val="0"/>
                <w:sz w:val="20"/>
                <w:szCs w:val="20"/>
                <w:lang w:val="zh-TW" w:eastAsia="zh-TW"/>
              </w:rPr>
              <w:t>工作站</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5D61433">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支持单个用户管辖多科室时，提供临床用户进行科室切换的操作；</w:t>
            </w:r>
          </w:p>
          <w:p w14:paraId="70D1A91D">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支持打开工作站直接查看当前科室的疑似感染病例，并可对疑似并进行上报或排除操作；</w:t>
            </w:r>
          </w:p>
          <w:p w14:paraId="3651AD67">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支持按管床医生视角查看所管患者的疑似感染病例；</w:t>
            </w:r>
          </w:p>
          <w:p w14:paraId="76762999">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支持查看患者历史上报感染病例报卡合计数，并可穿透感染病例报卡明细内容；</w:t>
            </w:r>
          </w:p>
          <w:p w14:paraId="2E26C2FA">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支持对患者主动感染病例的上报，自动获取患者基本信息，完善感染病例信息、医院感染诊断依据、易感因素、插管相关性、致病菌信息，对既往已报过同类感染诊断友好提示，并可穿透查看此病例；</w:t>
            </w:r>
          </w:p>
          <w:p w14:paraId="2012B5FB">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支持对曾转科至本科室及从本科室出院的患者搜索，并进行病例上报；</w:t>
            </w:r>
          </w:p>
          <w:p w14:paraId="08DC2AC4">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支持临床用户对</w:t>
            </w:r>
            <w:r>
              <w:rPr>
                <w:rFonts w:hint="eastAsia" w:asciiTheme="minorEastAsia" w:hAnsiTheme="minorEastAsia" w:eastAsiaTheme="minorEastAsia" w:cstheme="minorEastAsia"/>
                <w:kern w:val="0"/>
                <w:sz w:val="20"/>
                <w:szCs w:val="20"/>
              </w:rPr>
              <w:t>ICU</w:t>
            </w:r>
            <w:r>
              <w:rPr>
                <w:rFonts w:hint="eastAsia" w:asciiTheme="minorEastAsia" w:hAnsiTheme="minorEastAsia" w:eastAsiaTheme="minorEastAsia" w:cstheme="minorEastAsia"/>
                <w:kern w:val="0"/>
                <w:sz w:val="20"/>
                <w:szCs w:val="20"/>
                <w:lang w:val="zh-TW" w:eastAsia="zh-TW"/>
              </w:rPr>
              <w:t>患者进行临床病情等级评定；</w:t>
            </w:r>
          </w:p>
          <w:p w14:paraId="016146BF">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8</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w:t>
            </w:r>
            <w:r>
              <w:rPr>
                <w:rFonts w:hint="eastAsia" w:asciiTheme="minorEastAsia" w:hAnsiTheme="minorEastAsia" w:eastAsiaTheme="minorEastAsia" w:cstheme="minorEastAsia"/>
                <w:kern w:val="0"/>
                <w:sz w:val="20"/>
                <w:szCs w:val="20"/>
              </w:rPr>
              <w:t>2018</w:t>
            </w:r>
            <w:r>
              <w:rPr>
                <w:rFonts w:hint="eastAsia" w:asciiTheme="minorEastAsia" w:hAnsiTheme="minorEastAsia" w:eastAsiaTheme="minorEastAsia" w:cstheme="minorEastAsia"/>
                <w:kern w:val="0"/>
                <w:sz w:val="20"/>
                <w:szCs w:val="20"/>
                <w:lang w:val="zh-TW" w:eastAsia="zh-TW"/>
              </w:rPr>
              <w:t>年版医院感染横断面调查信息的录入；</w:t>
            </w:r>
          </w:p>
          <w:p w14:paraId="0BE3C0F1">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9</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支持职业暴露在线填写暴露信息，并上报至感控科；</w:t>
            </w:r>
          </w:p>
          <w:p w14:paraId="3B6D8FD4">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10</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支持感控兼职人员及微生物室对环境卫生消毒药械监测内容填报，单个用户可管辖多科室。</w:t>
            </w:r>
          </w:p>
        </w:tc>
      </w:tr>
      <w:tr w14:paraId="1B4C83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1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79343B">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34</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D593C6">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嵌入式报卡</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F92F2B1">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支持嵌入式调用页面链接给</w:t>
            </w:r>
            <w:r>
              <w:rPr>
                <w:rFonts w:hint="eastAsia" w:asciiTheme="minorEastAsia" w:hAnsiTheme="minorEastAsia" w:eastAsiaTheme="minorEastAsia" w:cstheme="minorEastAsia"/>
                <w:kern w:val="0"/>
                <w:sz w:val="20"/>
                <w:szCs w:val="20"/>
              </w:rPr>
              <w:t>HIS</w:t>
            </w:r>
            <w:r>
              <w:rPr>
                <w:rFonts w:hint="eastAsia" w:asciiTheme="minorEastAsia" w:hAnsiTheme="minorEastAsia" w:eastAsiaTheme="minorEastAsia" w:cstheme="minorEastAsia"/>
                <w:kern w:val="0"/>
                <w:sz w:val="20"/>
                <w:szCs w:val="20"/>
                <w:lang w:val="zh-TW" w:eastAsia="zh-TW"/>
              </w:rPr>
              <w:t>、电子病历系统进行院感相关功能的调用，实现与</w:t>
            </w:r>
            <w:r>
              <w:rPr>
                <w:rFonts w:hint="eastAsia" w:asciiTheme="minorEastAsia" w:hAnsiTheme="minorEastAsia" w:eastAsiaTheme="minorEastAsia" w:cstheme="minorEastAsia"/>
                <w:kern w:val="0"/>
                <w:sz w:val="20"/>
                <w:szCs w:val="20"/>
              </w:rPr>
              <w:t>HIS</w:t>
            </w:r>
            <w:r>
              <w:rPr>
                <w:rFonts w:hint="eastAsia" w:asciiTheme="minorEastAsia" w:hAnsiTheme="minorEastAsia" w:eastAsiaTheme="minorEastAsia" w:cstheme="minorEastAsia"/>
                <w:kern w:val="0"/>
                <w:sz w:val="20"/>
                <w:szCs w:val="20"/>
                <w:lang w:val="zh-TW" w:eastAsia="zh-TW"/>
              </w:rPr>
              <w:t>、电子病历系统的无缝对接；</w:t>
            </w:r>
          </w:p>
          <w:p w14:paraId="63752905">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支持多种开发语言的程序调用，如</w:t>
            </w:r>
            <w:r>
              <w:rPr>
                <w:rFonts w:hint="eastAsia" w:asciiTheme="minorEastAsia" w:hAnsiTheme="minorEastAsia" w:eastAsiaTheme="minorEastAsia" w:cstheme="minorEastAsia"/>
                <w:kern w:val="0"/>
                <w:sz w:val="20"/>
                <w:szCs w:val="20"/>
              </w:rPr>
              <w:t>DELPHI</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PB</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C#</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JAVA</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PHP</w:t>
            </w:r>
            <w:r>
              <w:rPr>
                <w:rFonts w:hint="eastAsia" w:asciiTheme="minorEastAsia" w:hAnsiTheme="minorEastAsia" w:eastAsiaTheme="minorEastAsia" w:cstheme="minorEastAsia"/>
                <w:kern w:val="0"/>
                <w:sz w:val="20"/>
                <w:szCs w:val="20"/>
                <w:lang w:val="zh-TW" w:eastAsia="zh-TW"/>
              </w:rPr>
              <w:t>常用开发语言的实例，调用简单；</w:t>
            </w:r>
          </w:p>
          <w:p w14:paraId="20B391EA">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支持报卡完全</w:t>
            </w:r>
            <w:r>
              <w:rPr>
                <w:rFonts w:hint="eastAsia" w:asciiTheme="minorEastAsia" w:hAnsiTheme="minorEastAsia" w:eastAsiaTheme="minorEastAsia" w:cstheme="minorEastAsia"/>
                <w:kern w:val="0"/>
                <w:sz w:val="20"/>
                <w:szCs w:val="20"/>
              </w:rPr>
              <w:t>B/S</w:t>
            </w:r>
            <w:r>
              <w:rPr>
                <w:rFonts w:hint="eastAsia" w:asciiTheme="minorEastAsia" w:hAnsiTheme="minorEastAsia" w:eastAsiaTheme="minorEastAsia" w:cstheme="minorEastAsia"/>
                <w:kern w:val="0"/>
                <w:sz w:val="20"/>
                <w:szCs w:val="20"/>
                <w:lang w:val="zh-TW" w:eastAsia="zh-TW"/>
              </w:rPr>
              <w:t>（浏览器）模式，更加方便、快捷、灵活；</w:t>
            </w:r>
          </w:p>
          <w:p w14:paraId="23F18378">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支持感染病例报卡、现患率横断面登记表、职业暴露登记的可调用；</w:t>
            </w:r>
          </w:p>
          <w:p w14:paraId="034D54AF">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5</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支持医生仅需用鼠标点选各项内容（如感染诊断、切口等级、易感因素等），操作方便快捷；</w:t>
            </w:r>
          </w:p>
          <w:p w14:paraId="48B678FE">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支持自动提示院感科报告情况。</w:t>
            </w:r>
          </w:p>
        </w:tc>
      </w:tr>
      <w:tr w14:paraId="29096B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52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64D87E">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D246A4">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zh-TW" w:eastAsia="zh-TW"/>
              </w:rPr>
              <w:t>资料分享</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1ECFEDC">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支持感控专职人员对本院感控相关资料分类进行新建、停用；</w:t>
            </w:r>
          </w:p>
          <w:p w14:paraId="3BFA0C5F">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支持对资料进行上传，归类操作，以便临床人员的下载学习；</w:t>
            </w:r>
          </w:p>
          <w:p w14:paraId="02B9792C">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zh-TW"/>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院内网用户均可登录后下载本院内的感控相关资讯；</w:t>
            </w:r>
          </w:p>
          <w:p w14:paraId="206A4C9A">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zh-TW"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val="zh-TW" w:eastAsia="zh-CN"/>
              </w:rPr>
              <w:t>）</w:t>
            </w:r>
            <w:r>
              <w:rPr>
                <w:rFonts w:hint="eastAsia" w:asciiTheme="minorEastAsia" w:hAnsiTheme="minorEastAsia" w:eastAsiaTheme="minorEastAsia" w:cstheme="minorEastAsia"/>
                <w:kern w:val="0"/>
                <w:sz w:val="20"/>
                <w:szCs w:val="20"/>
                <w:lang w:val="zh-TW" w:eastAsia="zh-TW"/>
              </w:rPr>
              <w:t>支持多种格式文件的上传（包括但不止</w:t>
            </w:r>
            <w:r>
              <w:rPr>
                <w:rFonts w:hint="eastAsia" w:asciiTheme="minorEastAsia" w:hAnsiTheme="minorEastAsia" w:eastAsiaTheme="minorEastAsia" w:cstheme="minorEastAsia"/>
                <w:kern w:val="0"/>
                <w:sz w:val="20"/>
                <w:szCs w:val="20"/>
              </w:rPr>
              <w:t>ppt</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word</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excel</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eastAsiaTheme="minorEastAsia" w:cstheme="minorEastAsia"/>
                <w:kern w:val="0"/>
                <w:sz w:val="20"/>
                <w:szCs w:val="20"/>
              </w:rPr>
              <w:t>pdf</w:t>
            </w:r>
            <w:r>
              <w:rPr>
                <w:rFonts w:hint="eastAsia" w:asciiTheme="minorEastAsia" w:hAnsiTheme="minorEastAsia" w:eastAsiaTheme="minorEastAsia" w:cstheme="minorEastAsia"/>
                <w:kern w:val="0"/>
                <w:sz w:val="20"/>
                <w:szCs w:val="20"/>
                <w:lang w:val="zh-TW" w:eastAsia="zh-TW"/>
              </w:rPr>
              <w:t>）</w:t>
            </w:r>
            <w:r>
              <w:rPr>
                <w:rFonts w:hint="eastAsia" w:asciiTheme="minorEastAsia" w:hAnsiTheme="minorEastAsia" w:cstheme="minorEastAsia"/>
                <w:kern w:val="0"/>
                <w:sz w:val="20"/>
                <w:szCs w:val="20"/>
                <w:lang w:val="zh-TW" w:eastAsia="zh-CN"/>
              </w:rPr>
              <w:t>。</w:t>
            </w:r>
          </w:p>
        </w:tc>
      </w:tr>
      <w:tr w14:paraId="780AE7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9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7160CF">
            <w:pPr>
              <w:widowControl/>
              <w:spacing w:line="276"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36</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9BE70D">
            <w:pPr>
              <w:widowControl/>
              <w:spacing w:line="276" w:lineRule="auto"/>
              <w:jc w:val="center"/>
              <w:rPr>
                <w:rFonts w:hint="eastAsia" w:asciiTheme="minorEastAsia" w:hAnsiTheme="minorEastAsia" w:eastAsiaTheme="minorEastAsia" w:cstheme="minorEastAsia"/>
                <w:color w:val="FF0000"/>
                <w:kern w:val="0"/>
                <w:sz w:val="20"/>
                <w:szCs w:val="20"/>
              </w:rPr>
            </w:pPr>
            <w:r>
              <w:rPr>
                <w:rFonts w:hint="eastAsia" w:asciiTheme="minorEastAsia" w:hAnsiTheme="minorEastAsia" w:eastAsiaTheme="minorEastAsia" w:cstheme="minorEastAsia"/>
                <w:kern w:val="0"/>
                <w:sz w:val="20"/>
                <w:szCs w:val="20"/>
              </w:rPr>
              <w:t>知识库(考试系统)</w:t>
            </w:r>
          </w:p>
        </w:tc>
        <w:tc>
          <w:tcPr>
            <w:tcW w:w="70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0FBAF3F">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1</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提供在线考试平台管理模块；</w:t>
            </w:r>
          </w:p>
          <w:p w14:paraId="727ECF56">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2</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多种文件格式学习材料提供上传和下载管理；</w:t>
            </w:r>
          </w:p>
          <w:p w14:paraId="5933D7B6">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3</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内置医院感染考试题库数达≥5</w:t>
            </w:r>
            <w:r>
              <w:rPr>
                <w:rFonts w:hint="eastAsia" w:asciiTheme="minorEastAsia" w:hAnsiTheme="minorEastAsia" w:cstheme="minorEastAsia"/>
                <w:kern w:val="0"/>
                <w:sz w:val="20"/>
                <w:szCs w:val="20"/>
                <w:lang w:val="en-US" w:eastAsia="zh-CN"/>
              </w:rPr>
              <w:t>000</w:t>
            </w:r>
            <w:r>
              <w:rPr>
                <w:rFonts w:hint="eastAsia" w:asciiTheme="minorEastAsia" w:hAnsiTheme="minorEastAsia" w:eastAsiaTheme="minorEastAsia" w:cstheme="minorEastAsia"/>
                <w:kern w:val="0"/>
                <w:sz w:val="20"/>
                <w:szCs w:val="20"/>
              </w:rPr>
              <w:t>，每个题目设有知识标签分类，包括行业标准、感染性疾病诊断、职业防护、医疗废物、手卫生、消毒灭菌、医院感染与暴发、织物清洗等；</w:t>
            </w:r>
          </w:p>
          <w:p w14:paraId="40198B0E">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4</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支持考试题库新增、编辑、删除、统计功能；</w:t>
            </w:r>
          </w:p>
          <w:p w14:paraId="2EF8790B">
            <w:pPr>
              <w:numPr>
                <w:ilvl w:val="0"/>
                <w:numId w:val="0"/>
              </w:numPr>
              <w:spacing w:line="360" w:lineRule="auto"/>
              <w:ind w:leftChars="0"/>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eastAsia="zh-CN"/>
              </w:rPr>
              <w:t>（</w:t>
            </w:r>
            <w:r>
              <w:rPr>
                <w:rFonts w:hint="eastAsia" w:asciiTheme="minorEastAsia" w:hAnsiTheme="minorEastAsia" w:eastAsiaTheme="minorEastAsia" w:cstheme="minorEastAsia"/>
                <w:kern w:val="0"/>
                <w:sz w:val="20"/>
                <w:szCs w:val="20"/>
                <w:lang w:val="en-US" w:eastAsia="zh-CN"/>
              </w:rPr>
              <w:t>5</w:t>
            </w:r>
            <w:r>
              <w:rPr>
                <w:rFonts w:hint="eastAsia" w:asciiTheme="minorEastAsia" w:hAnsiTheme="minorEastAsia" w:eastAsia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支持视频学习，可在线发布与查看视频，系统记录学员的有效学习时间，并对学员的学习效果进行评估。支持学习后，学员进行对应的考试测评，测评后记录保存学员的测评时间及分数；</w:t>
            </w:r>
          </w:p>
          <w:p w14:paraId="0D48767D">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6</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批量导入题库及题目功能；</w:t>
            </w:r>
          </w:p>
          <w:p w14:paraId="2FF64492">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7</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对题目进行编辑、删除、新增功能；</w:t>
            </w:r>
          </w:p>
          <w:p w14:paraId="15B1607F">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8</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试卷新增 、删除、编辑、导出、统计分析功能；</w:t>
            </w:r>
          </w:p>
          <w:p w14:paraId="50CF983D">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9</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系统自动随机试卷功能；</w:t>
            </w:r>
          </w:p>
          <w:p w14:paraId="47104D87">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10</w:t>
            </w: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支持</w:t>
            </w:r>
            <w:r>
              <w:rPr>
                <w:rFonts w:hint="eastAsia" w:asciiTheme="minorEastAsia" w:hAnsiTheme="minorEastAsia" w:eastAsiaTheme="minorEastAsia" w:cstheme="minorEastAsia"/>
                <w:kern w:val="0"/>
                <w:sz w:val="20"/>
                <w:szCs w:val="20"/>
              </w:rPr>
              <w:t>创建固定试卷功能；</w:t>
            </w:r>
          </w:p>
          <w:p w14:paraId="577B0710">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11</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对单选、多选、判断等多种题型自动算分、自动解析功能；</w:t>
            </w:r>
          </w:p>
          <w:p w14:paraId="25CAD48B">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12</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对试题正确率详细分析；</w:t>
            </w:r>
          </w:p>
          <w:p w14:paraId="7148A944">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13</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对分数统计，包括最高分、最低分、低分人数、低分率、 平均分、及格人数、及格率、优分人数、优分率及参加人数、缺考人数等；</w:t>
            </w:r>
          </w:p>
          <w:p w14:paraId="0B928E91">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14</w:t>
            </w: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支持</w:t>
            </w:r>
            <w:r>
              <w:rPr>
                <w:rFonts w:hint="eastAsia" w:asciiTheme="minorEastAsia" w:hAnsiTheme="minorEastAsia" w:eastAsiaTheme="minorEastAsia" w:cstheme="minorEastAsia"/>
                <w:kern w:val="0"/>
                <w:sz w:val="20"/>
                <w:szCs w:val="20"/>
              </w:rPr>
              <w:t>按科室统计不同分数区间得分人数；</w:t>
            </w:r>
          </w:p>
          <w:p w14:paraId="107403B5">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15</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用户自主选择在线考试时间，考试时自动时间提示；</w:t>
            </w:r>
          </w:p>
          <w:p w14:paraId="4DBEDE9E">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16</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试卷对不同用户、用户组配置功能；</w:t>
            </w:r>
          </w:p>
          <w:p w14:paraId="2E6F1F27">
            <w:pPr>
              <w:pStyle w:val="10"/>
              <w:numPr>
                <w:ilvl w:val="0"/>
                <w:numId w:val="0"/>
              </w:numPr>
              <w:tabs>
                <w:tab w:val="left" w:pos="420"/>
              </w:tabs>
              <w:spacing w:line="360" w:lineRule="auto"/>
              <w:ind w:leftChars="0"/>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eastAsia="zh-CN"/>
              </w:rPr>
              <w:t>（</w:t>
            </w:r>
            <w:r>
              <w:rPr>
                <w:rFonts w:hint="eastAsia" w:asciiTheme="minorEastAsia" w:hAnsiTheme="minorEastAsia" w:cstheme="minorEastAsia"/>
                <w:kern w:val="0"/>
                <w:sz w:val="20"/>
                <w:szCs w:val="20"/>
                <w:lang w:val="en-US" w:eastAsia="zh-CN"/>
              </w:rPr>
              <w:t>17</w:t>
            </w:r>
            <w:r>
              <w:rPr>
                <w:rFonts w:hint="eastAsia" w:asciiTheme="minorEastAsia" w:hAnsi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提供在线专题练习、自动评分、自动解析功能</w:t>
            </w:r>
            <w:r>
              <w:rPr>
                <w:rFonts w:hint="eastAsia" w:asciiTheme="minorEastAsia" w:hAnsiTheme="minorEastAsia" w:cstheme="minorEastAsia"/>
                <w:kern w:val="0"/>
                <w:sz w:val="20"/>
                <w:szCs w:val="20"/>
                <w:lang w:val="en-US" w:eastAsia="zh-CN"/>
              </w:rPr>
              <w:t>。</w:t>
            </w:r>
          </w:p>
        </w:tc>
      </w:tr>
    </w:tbl>
    <w:p w14:paraId="3D02F772">
      <w:pPr>
        <w:pStyle w:val="6"/>
        <w:keepNext w:val="0"/>
        <w:keepLines w:val="0"/>
        <w:pageBreakBefore w:val="0"/>
        <w:widowControl w:val="0"/>
        <w:numPr>
          <w:ilvl w:val="0"/>
          <w:numId w:val="0"/>
        </w:numPr>
        <w:kinsoku/>
        <w:wordWrap w:val="0"/>
        <w:overflowPunct/>
        <w:topLinePunct w:val="0"/>
        <w:autoSpaceDE/>
        <w:autoSpaceDN/>
        <w:bidi w:val="0"/>
        <w:adjustRightInd w:val="0"/>
        <w:snapToGrid w:val="0"/>
        <w:ind w:firstLine="482" w:firstLineChars="200"/>
        <w:textAlignment w:val="auto"/>
        <w:rPr>
          <w:rFonts w:hint="eastAsia"/>
          <w:b/>
          <w:bCs/>
          <w:color w:val="auto"/>
          <w:highlight w:val="none"/>
          <w:lang w:val="en-US" w:eastAsia="zh-CN"/>
        </w:rPr>
      </w:pPr>
      <w:r>
        <w:rPr>
          <w:rFonts w:hint="eastAsia"/>
          <w:b/>
          <w:bCs/>
          <w:color w:val="auto"/>
          <w:highlight w:val="none"/>
          <w:lang w:val="en-US" w:eastAsia="zh-CN"/>
        </w:rPr>
        <w:t>★备注（提供服务承诺）：</w:t>
      </w:r>
    </w:p>
    <w:p w14:paraId="19AB7118">
      <w:pPr>
        <w:pStyle w:val="6"/>
        <w:keepNext w:val="0"/>
        <w:keepLines w:val="0"/>
        <w:pageBreakBefore w:val="0"/>
        <w:widowControl w:val="0"/>
        <w:numPr>
          <w:ilvl w:val="0"/>
          <w:numId w:val="0"/>
        </w:numPr>
        <w:kinsoku/>
        <w:wordWrap w:val="0"/>
        <w:overflowPunct/>
        <w:topLinePunct w:val="0"/>
        <w:autoSpaceDE/>
        <w:autoSpaceDN/>
        <w:bidi w:val="0"/>
        <w:adjustRightInd w:val="0"/>
        <w:snapToGrid w:val="0"/>
        <w:ind w:firstLine="482" w:firstLineChars="200"/>
        <w:textAlignment w:val="auto"/>
        <w:rPr>
          <w:rFonts w:hint="eastAsia"/>
          <w:b/>
          <w:bCs/>
          <w:color w:val="auto"/>
          <w:highlight w:val="none"/>
          <w:lang w:val="en-US" w:eastAsia="zh-CN"/>
        </w:rPr>
      </w:pPr>
      <w:r>
        <w:rPr>
          <w:rFonts w:hint="eastAsia"/>
          <w:b/>
          <w:bCs/>
          <w:color w:val="auto"/>
          <w:highlight w:val="none"/>
          <w:lang w:val="en-US" w:eastAsia="zh-CN"/>
        </w:rPr>
        <w:t>1、根据院方管理及发展需求，质保期内如需与第三方系统对接，必须无条及无任何费用的情况下提供相关接口并积极配合完成相关对接工作等。</w:t>
      </w:r>
    </w:p>
    <w:p w14:paraId="6BA502F0">
      <w:r>
        <w:rPr>
          <w:rFonts w:hint="eastAsia"/>
          <w:b/>
          <w:bCs/>
          <w:color w:val="auto"/>
          <w:highlight w:val="none"/>
          <w:lang w:val="en-US" w:eastAsia="zh-CN"/>
        </w:rPr>
        <w:t>2、根据使用科室的管理需求及使用过程中的个性化功能及报表等需求，必须无条及无任何费用的情况下积极配合实现完成。</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D7D5C"/>
    <w:multiLevelType w:val="singleLevel"/>
    <w:tmpl w:val="875D7D5C"/>
    <w:lvl w:ilvl="0" w:tentative="0">
      <w:start w:val="1"/>
      <w:numFmt w:val="decimal"/>
      <w:suff w:val="nothing"/>
      <w:lvlText w:val="（%1）"/>
      <w:lvlJc w:val="left"/>
    </w:lvl>
  </w:abstractNum>
  <w:abstractNum w:abstractNumId="1">
    <w:nsid w:val="BDA526F8"/>
    <w:multiLevelType w:val="singleLevel"/>
    <w:tmpl w:val="BDA526F8"/>
    <w:lvl w:ilvl="0" w:tentative="0">
      <w:start w:val="2"/>
      <w:numFmt w:val="decimal"/>
      <w:suff w:val="nothing"/>
      <w:lvlText w:val="%1、"/>
      <w:lvlJc w:val="left"/>
    </w:lvl>
  </w:abstractNum>
  <w:abstractNum w:abstractNumId="2">
    <w:nsid w:val="DEC3A997"/>
    <w:multiLevelType w:val="singleLevel"/>
    <w:tmpl w:val="DEC3A997"/>
    <w:lvl w:ilvl="0" w:tentative="0">
      <w:start w:val="1"/>
      <w:numFmt w:val="decimal"/>
      <w:suff w:val="nothing"/>
      <w:lvlText w:val="%1）"/>
      <w:lvlJc w:val="left"/>
    </w:lvl>
  </w:abstractNum>
  <w:abstractNum w:abstractNumId="3">
    <w:nsid w:val="E008E8EF"/>
    <w:multiLevelType w:val="singleLevel"/>
    <w:tmpl w:val="E008E8EF"/>
    <w:lvl w:ilvl="0" w:tentative="0">
      <w:start w:val="1"/>
      <w:numFmt w:val="decimal"/>
      <w:suff w:val="nothing"/>
      <w:lvlText w:val="%1）"/>
      <w:lvlJc w:val="left"/>
    </w:lvl>
  </w:abstractNum>
  <w:abstractNum w:abstractNumId="4">
    <w:nsid w:val="E1339289"/>
    <w:multiLevelType w:val="singleLevel"/>
    <w:tmpl w:val="E1339289"/>
    <w:lvl w:ilvl="0" w:tentative="0">
      <w:start w:val="1"/>
      <w:numFmt w:val="decimal"/>
      <w:suff w:val="nothing"/>
      <w:lvlText w:val="%1、"/>
      <w:lvlJc w:val="left"/>
    </w:lvl>
  </w:abstractNum>
  <w:abstractNum w:abstractNumId="5">
    <w:nsid w:val="E3F08174"/>
    <w:multiLevelType w:val="singleLevel"/>
    <w:tmpl w:val="E3F08174"/>
    <w:lvl w:ilvl="0" w:tentative="0">
      <w:start w:val="6"/>
      <w:numFmt w:val="decimal"/>
      <w:suff w:val="nothing"/>
      <w:lvlText w:val="%1）"/>
      <w:lvlJc w:val="left"/>
    </w:lvl>
  </w:abstractNum>
  <w:abstractNum w:abstractNumId="6">
    <w:nsid w:val="F7A96638"/>
    <w:multiLevelType w:val="singleLevel"/>
    <w:tmpl w:val="F7A96638"/>
    <w:lvl w:ilvl="0" w:tentative="0">
      <w:start w:val="1"/>
      <w:numFmt w:val="decimal"/>
      <w:suff w:val="nothing"/>
      <w:lvlText w:val="%1）"/>
      <w:lvlJc w:val="left"/>
    </w:lvl>
  </w:abstractNum>
  <w:abstractNum w:abstractNumId="7">
    <w:nsid w:val="010BA123"/>
    <w:multiLevelType w:val="singleLevel"/>
    <w:tmpl w:val="010BA123"/>
    <w:lvl w:ilvl="0" w:tentative="0">
      <w:start w:val="1"/>
      <w:numFmt w:val="decimal"/>
      <w:suff w:val="nothing"/>
      <w:lvlText w:val="%1、"/>
      <w:lvlJc w:val="left"/>
    </w:lvl>
  </w:abstractNum>
  <w:abstractNum w:abstractNumId="8">
    <w:nsid w:val="11924047"/>
    <w:multiLevelType w:val="multilevel"/>
    <w:tmpl w:val="1192404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5E315C1"/>
    <w:multiLevelType w:val="singleLevel"/>
    <w:tmpl w:val="35E315C1"/>
    <w:lvl w:ilvl="0" w:tentative="0">
      <w:start w:val="1"/>
      <w:numFmt w:val="decimal"/>
      <w:suff w:val="nothing"/>
      <w:lvlText w:val="%1）"/>
      <w:lvlJc w:val="left"/>
    </w:lvl>
  </w:abstractNum>
  <w:abstractNum w:abstractNumId="10">
    <w:nsid w:val="3AE0AAD3"/>
    <w:multiLevelType w:val="singleLevel"/>
    <w:tmpl w:val="3AE0AAD3"/>
    <w:lvl w:ilvl="0" w:tentative="0">
      <w:start w:val="1"/>
      <w:numFmt w:val="decimal"/>
      <w:suff w:val="nothing"/>
      <w:lvlText w:val="%1、"/>
      <w:lvlJc w:val="left"/>
    </w:lvl>
  </w:abstractNum>
  <w:abstractNum w:abstractNumId="11">
    <w:nsid w:val="3B5F344D"/>
    <w:multiLevelType w:val="singleLevel"/>
    <w:tmpl w:val="3B5F344D"/>
    <w:lvl w:ilvl="0" w:tentative="0">
      <w:start w:val="4"/>
      <w:numFmt w:val="decimal"/>
      <w:suff w:val="nothing"/>
      <w:lvlText w:val="%1）"/>
      <w:lvlJc w:val="left"/>
      <w:pPr>
        <w:ind w:left="120" w:leftChars="0" w:firstLine="0" w:firstLineChars="0"/>
      </w:pPr>
    </w:lvl>
  </w:abstractNum>
  <w:abstractNum w:abstractNumId="12">
    <w:nsid w:val="66E490CC"/>
    <w:multiLevelType w:val="singleLevel"/>
    <w:tmpl w:val="66E490CC"/>
    <w:lvl w:ilvl="0" w:tentative="0">
      <w:start w:val="1"/>
      <w:numFmt w:val="decimal"/>
      <w:suff w:val="nothing"/>
      <w:lvlText w:val="%1）"/>
      <w:lvlJc w:val="left"/>
    </w:lvl>
  </w:abstractNum>
  <w:abstractNum w:abstractNumId="13">
    <w:nsid w:val="684F7082"/>
    <w:multiLevelType w:val="multilevel"/>
    <w:tmpl w:val="684F7082"/>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AA9A4F3"/>
    <w:multiLevelType w:val="singleLevel"/>
    <w:tmpl w:val="6AA9A4F3"/>
    <w:lvl w:ilvl="0" w:tentative="0">
      <w:start w:val="1"/>
      <w:numFmt w:val="decimal"/>
      <w:suff w:val="nothing"/>
      <w:lvlText w:val="%1、"/>
      <w:lvlJc w:val="left"/>
    </w:lvl>
  </w:abstractNum>
  <w:num w:numId="1">
    <w:abstractNumId w:val="8"/>
  </w:num>
  <w:num w:numId="2">
    <w:abstractNumId w:val="14"/>
  </w:num>
  <w:num w:numId="3">
    <w:abstractNumId w:val="5"/>
  </w:num>
  <w:num w:numId="4">
    <w:abstractNumId w:val="1"/>
  </w:num>
  <w:num w:numId="5">
    <w:abstractNumId w:val="6"/>
  </w:num>
  <w:num w:numId="6">
    <w:abstractNumId w:val="2"/>
  </w:num>
  <w:num w:numId="7">
    <w:abstractNumId w:val="3"/>
  </w:num>
  <w:num w:numId="8">
    <w:abstractNumId w:val="11"/>
  </w:num>
  <w:num w:numId="9">
    <w:abstractNumId w:val="9"/>
  </w:num>
  <w:num w:numId="10">
    <w:abstractNumId w:val="12"/>
  </w:num>
  <w:num w:numId="11">
    <w:abstractNumId w:val="10"/>
  </w:num>
  <w:num w:numId="12">
    <w:abstractNumId w:val="0"/>
  </w:num>
  <w:num w:numId="13">
    <w:abstractNumId w:val="7"/>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5066"/>
    <w:rsid w:val="254D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adjustRightInd w:val="0"/>
      <w:snapToGrid w:val="0"/>
      <w:spacing w:line="360" w:lineRule="auto"/>
      <w:jc w:val="both"/>
    </w:pPr>
    <w:rPr>
      <w:rFonts w:ascii="宋体" w:hAnsi="宋体" w:eastAsia="宋体" w:cs="宋体"/>
      <w:kern w:val="2"/>
      <w:sz w:val="24"/>
      <w:szCs w:val="24"/>
      <w:lang w:val="en-US" w:eastAsia="zh-CN" w:bidi="ar-SA"/>
    </w:rPr>
  </w:style>
  <w:style w:type="paragraph" w:styleId="4">
    <w:name w:val="heading 3"/>
    <w:basedOn w:val="1"/>
    <w:next w:val="1"/>
    <w:unhideWhenUsed/>
    <w:qFormat/>
    <w:uiPriority w:val="0"/>
    <w:pPr>
      <w:keepNext w:val="0"/>
      <w:wordWrap w:val="0"/>
      <w:autoSpaceDE/>
      <w:autoSpaceDN/>
      <w:adjustRightInd w:val="0"/>
      <w:snapToGrid w:val="0"/>
      <w:spacing w:line="360" w:lineRule="auto"/>
      <w:jc w:val="left"/>
      <w:outlineLvl w:val="2"/>
    </w:pPr>
    <w:rPr>
      <w:rFonts w:ascii="宋体" w:hAnsi="宋体" w:eastAsia="宋体" w:cs="宋体"/>
      <w:b/>
      <w:kern w:val="2"/>
      <w:sz w:val="28"/>
      <w:szCs w:val="28"/>
    </w:rPr>
  </w:style>
  <w:style w:type="paragraph" w:styleId="5">
    <w:name w:val="heading 4"/>
    <w:basedOn w:val="1"/>
    <w:next w:val="1"/>
    <w:semiHidden/>
    <w:unhideWhenUsed/>
    <w:qFormat/>
    <w:uiPriority w:val="0"/>
    <w:pPr>
      <w:keepNext w:val="0"/>
      <w:keepLines w:val="0"/>
      <w:wordWrap w:val="0"/>
      <w:adjustRightInd w:val="0"/>
      <w:snapToGrid w:val="0"/>
      <w:spacing w:line="360" w:lineRule="auto"/>
      <w:outlineLvl w:val="3"/>
    </w:pPr>
    <w:rPr>
      <w:rFonts w:ascii="宋体" w:hAnsi="宋体" w:eastAsia="宋体" w:cs="宋体"/>
      <w:b/>
      <w:bCs/>
      <w:kern w:val="2"/>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pBdr>
        <w:top w:val="single" w:color="auto" w:sz="4" w:space="1"/>
      </w:pBdr>
      <w:tabs>
        <w:tab w:val="center" w:pos="4153"/>
        <w:tab w:val="right" w:pos="8306"/>
      </w:tabs>
      <w:snapToGrid w:val="0"/>
      <w:jc w:val="left"/>
    </w:pPr>
    <w:rPr>
      <w:rFonts w:ascii="宋体" w:hAnsi="宋体" w:eastAsia="宋体"/>
      <w:sz w:val="18"/>
      <w:szCs w:val="18"/>
    </w:rPr>
  </w:style>
  <w:style w:type="paragraph" w:styleId="3">
    <w:name w:val="Body Text"/>
    <w:basedOn w:val="1"/>
    <w:next w:val="1"/>
    <w:unhideWhenUsed/>
    <w:qFormat/>
    <w:uiPriority w:val="99"/>
    <w:pPr>
      <w:spacing w:after="120"/>
      <w:ind w:firstLine="723"/>
    </w:pPr>
    <w:rPr>
      <w:rFonts w:ascii="Calibri" w:hAnsi="Calibri" w:cs="Times New Roman"/>
      <w:szCs w:val="21"/>
    </w:rPr>
  </w:style>
  <w:style w:type="paragraph" w:styleId="6">
    <w:name w:val="Body Text First Indent"/>
    <w:qFormat/>
    <w:uiPriority w:val="0"/>
    <w:pPr>
      <w:widowControl w:val="0"/>
      <w:wordWrap w:val="0"/>
      <w:adjustRightInd w:val="0"/>
      <w:snapToGrid w:val="0"/>
      <w:spacing w:line="360" w:lineRule="auto"/>
      <w:ind w:firstLine="560" w:firstLineChars="200"/>
    </w:pPr>
    <w:rPr>
      <w:rFonts w:ascii="宋体" w:hAnsi="宋体" w:eastAsia="宋体" w:cs="宋体"/>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spacing w:line="240" w:lineRule="auto"/>
      <w:ind w:firstLine="420"/>
      <w:jc w:val="both"/>
    </w:pPr>
    <w:rPr>
      <w:rFonts w:eastAsiaTheme="minorEastAsia"/>
      <w:sz w:val="21"/>
    </w:rPr>
  </w:style>
  <w:style w:type="character" w:customStyle="1" w:styleId="11">
    <w:name w:val="font21"/>
    <w:basedOn w:val="9"/>
    <w:qFormat/>
    <w:uiPriority w:val="0"/>
    <w:rPr>
      <w:rFonts w:hint="eastAsia" w:ascii="宋体" w:hAnsi="宋体" w:eastAsia="宋体" w:cs="宋体"/>
      <w:color w:val="000000"/>
      <w:sz w:val="20"/>
      <w:szCs w:val="20"/>
      <w:u w:val="none"/>
    </w:rPr>
  </w:style>
  <w:style w:type="table" w:customStyle="1" w:styleId="12">
    <w:name w:val="网格型1"/>
    <w:basedOn w:val="7"/>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4">
    <w:name w:val="彩色列表 - 强调文字颜色 11"/>
    <w:qFormat/>
    <w:uiPriority w:val="0"/>
    <w:pPr>
      <w:widowControl w:val="0"/>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1610</Words>
  <Characters>1628</Characters>
  <Lines>0</Lines>
  <Paragraphs>0</Paragraphs>
  <TotalTime>0</TotalTime>
  <ScaleCrop>false</ScaleCrop>
  <LinksUpToDate>false</LinksUpToDate>
  <CharactersWithSpaces>1634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2024-12-06T06:13:00Z</dcterms:created>
  <dc:creator>admin</dc:creator>
  <cp:lastModifiedBy>w..</cp:lastModifiedBy>
  <dcterms:modified xsi:type="dcterms:W3CDTF">2024-12-06T07:07:35Z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DEBD1CBD9CE545788CEC44DB412BFFFA_12</vt:lpwstr>
  </property>
</Properties>
</file>