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960"/>
          <w:tab w:val="left" w:pos="8460"/>
        </w:tabs>
        <w:spacing w:line="360" w:lineRule="auto"/>
        <w:jc w:val="left"/>
        <w:rPr>
          <w:rFonts w:hint="eastAsia" w:ascii="宋体" w:hAnsi="宋体" w:cs="宋体"/>
          <w:b/>
          <w:bCs w:val="0"/>
          <w:color w:val="000000" w:themeColor="text1"/>
          <w:sz w:val="30"/>
          <w:szCs w:val="30"/>
          <w:lang w:val="en-US" w:eastAsia="zh-CN"/>
          <w14:textFill>
            <w14:solidFill>
              <w14:schemeClr w14:val="tx1"/>
            </w14:solidFill>
          </w14:textFill>
        </w:rPr>
      </w:pPr>
      <w:bookmarkStart w:id="343" w:name="_GoBack"/>
      <w:bookmarkEnd w:id="343"/>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SXCY2024-14</w:t>
      </w:r>
    </w:p>
    <w:p>
      <w:pPr>
        <w:pStyle w:val="32"/>
        <w:rPr>
          <w:rFonts w:hint="eastAsia" w:ascii="宋体" w:hAnsi="宋体" w:cs="宋体"/>
          <w:b/>
          <w:bCs w:val="0"/>
          <w:color w:val="000000" w:themeColor="text1"/>
          <w:sz w:val="30"/>
          <w:szCs w:val="30"/>
          <w:lang w:val="en-US" w:eastAsia="zh-CN"/>
          <w14:textFill>
            <w14:solidFill>
              <w14:schemeClr w14:val="tx1"/>
            </w14:solidFill>
          </w14:textFill>
        </w:rPr>
      </w:pPr>
    </w:p>
    <w:p>
      <w:pPr>
        <w:pStyle w:val="32"/>
        <w:rPr>
          <w:rFonts w:hint="eastAsia" w:ascii="宋体" w:hAnsi="宋体" w:cs="宋体"/>
          <w:b/>
          <w:bCs w:val="0"/>
          <w:color w:val="000000" w:themeColor="text1"/>
          <w:sz w:val="30"/>
          <w:szCs w:val="30"/>
          <w:lang w:val="en-US" w:eastAsia="zh-CN"/>
          <w14:textFill>
            <w14:solidFill>
              <w14:schemeClr w14:val="tx1"/>
            </w14:solidFill>
          </w14:textFill>
        </w:rPr>
      </w:pPr>
    </w:p>
    <w:p>
      <w:pPr>
        <w:spacing w:line="360" w:lineRule="auto"/>
        <w:rPr>
          <w:rFonts w:hint="eastAsia" w:ascii="宋体" w:hAnsi="宋体" w:eastAsia="宋体" w:cs="宋体"/>
          <w:b/>
          <w:color w:val="000000" w:themeColor="text1"/>
          <w:sz w:val="30"/>
          <w:szCs w:val="30"/>
          <w14:textFill>
            <w14:solidFill>
              <w14:schemeClr w14:val="tx1"/>
            </w14:solidFill>
          </w14:textFill>
        </w:rPr>
      </w:pPr>
    </w:p>
    <w:p>
      <w:pPr>
        <w:jc w:val="center"/>
        <w:rPr>
          <w:rFonts w:hint="eastAsia" w:ascii="宋体" w:hAnsi="宋体" w:cs="宋体"/>
          <w:b/>
          <w:color w:val="000000" w:themeColor="text1"/>
          <w:sz w:val="48"/>
          <w:szCs w:val="48"/>
          <w:lang w:val="en-US" w:eastAsia="zh-CN"/>
          <w14:textFill>
            <w14:solidFill>
              <w14:schemeClr w14:val="tx1"/>
            </w14:solidFill>
          </w14:textFill>
        </w:rPr>
      </w:pPr>
      <w:r>
        <w:rPr>
          <w:rFonts w:hint="eastAsia" w:ascii="宋体" w:hAnsi="宋体" w:cs="宋体"/>
          <w:b/>
          <w:color w:val="000000" w:themeColor="text1"/>
          <w:sz w:val="48"/>
          <w:szCs w:val="48"/>
          <w:lang w:val="en-US" w:eastAsia="zh-CN"/>
          <w14:textFill>
            <w14:solidFill>
              <w14:schemeClr w14:val="tx1"/>
            </w14:solidFill>
          </w14:textFill>
        </w:rPr>
        <w:t>宜川县第二战区司令长官部秋林旧址二期陈列布展工程项目</w:t>
      </w:r>
    </w:p>
    <w:p>
      <w:pPr>
        <w:pStyle w:val="17"/>
        <w:rPr>
          <w:rFonts w:hint="eastAsia"/>
        </w:rPr>
      </w:pPr>
    </w:p>
    <w:p>
      <w:pPr>
        <w:pStyle w:val="17"/>
        <w:rPr>
          <w:rFonts w:hint="eastAsia"/>
        </w:rPr>
      </w:pPr>
    </w:p>
    <w:p>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pPr>
        <w:pStyle w:val="9"/>
        <w:rPr>
          <w:rFonts w:hint="eastAsia"/>
        </w:rPr>
      </w:pPr>
    </w:p>
    <w:p>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pPr>
        <w:pStyle w:val="9"/>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pPr>
        <w:pStyle w:val="9"/>
        <w:rPr>
          <w:rFonts w:hint="eastAsia" w:ascii="宋体" w:hAnsi="宋体" w:eastAsia="宋体" w:cs="宋体"/>
          <w:b/>
          <w:color w:val="000000" w:themeColor="text1"/>
          <w:sz w:val="32"/>
          <w:szCs w:val="32"/>
          <w14:textFill>
            <w14:solidFill>
              <w14:schemeClr w14:val="tx1"/>
            </w14:solidFill>
          </w14:textFill>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   购   人：  </w:t>
      </w:r>
      <w:r>
        <w:rPr>
          <w:rFonts w:hint="eastAsia" w:ascii="宋体" w:hAnsi="宋体" w:cs="宋体"/>
          <w:b/>
          <w:color w:val="000000" w:themeColor="text1"/>
          <w:sz w:val="32"/>
          <w:szCs w:val="32"/>
          <w:lang w:val="en-US" w:eastAsia="zh-CN"/>
          <w14:textFill>
            <w14:solidFill>
              <w14:schemeClr w14:val="tx1"/>
            </w14:solidFill>
          </w14:textFill>
        </w:rPr>
        <w:t>宜川县第二战区司令长官部-秋林旧址文物管理所</w:t>
      </w: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w:t>
      </w:r>
      <w:r>
        <w:rPr>
          <w:rFonts w:hint="eastAsia" w:ascii="宋体" w:hAnsi="宋体" w:cs="宋体"/>
          <w:b/>
          <w:color w:val="000000" w:themeColor="text1"/>
          <w:sz w:val="32"/>
          <w:szCs w:val="32"/>
          <w:lang w:val="en-US" w:eastAsia="zh-CN"/>
          <w14:textFill>
            <w14:solidFill>
              <w14:schemeClr w14:val="tx1"/>
            </w14:solidFill>
          </w14:textFill>
        </w:rPr>
        <w:t>陕西宸永项目管理有限公司</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w:t>
      </w:r>
      <w:r>
        <w:rPr>
          <w:rFonts w:hint="eastAsia" w:ascii="宋体" w:hAnsi="宋体" w:cs="宋体"/>
          <w:b/>
          <w:color w:val="000000" w:themeColor="text1"/>
          <w:sz w:val="32"/>
          <w:szCs w:val="32"/>
          <w:lang w:val="en-US" w:eastAsia="zh-CN"/>
          <w14:textFill>
            <w14:solidFill>
              <w14:schemeClr w14:val="tx1"/>
            </w14:solidFill>
          </w14:textFill>
        </w:rPr>
        <w:t>〇</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cs="宋体"/>
          <w:b/>
          <w:color w:val="000000" w:themeColor="text1"/>
          <w:sz w:val="32"/>
          <w:szCs w:val="32"/>
          <w:lang w:val="en-US" w:eastAsia="zh-CN"/>
          <w14:textFill>
            <w14:solidFill>
              <w14:schemeClr w14:val="tx1"/>
            </w14:solidFill>
          </w14:textFill>
        </w:rPr>
        <w:t>四</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月</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 w:name="_Toc438073527"/>
    </w:p>
    <w:p>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pPr>
        <w:pStyle w:val="9"/>
        <w:rPr>
          <w:rFonts w:hint="eastAsia"/>
        </w:rPr>
      </w:pPr>
    </w:p>
    <w:p>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p>
    <w:p>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6</w:t>
      </w:r>
    </w:p>
    <w:p>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72</w:t>
      </w:r>
    </w:p>
    <w:p>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w:t>
      </w:r>
      <w:r>
        <w:rPr>
          <w:rFonts w:hint="eastAsia" w:ascii="宋体" w:hAnsi="宋体" w:cs="宋体"/>
          <w:b/>
          <w:bCs/>
          <w:sz w:val="28"/>
          <w:szCs w:val="44"/>
          <w:lang w:eastAsia="zh-CN"/>
        </w:rPr>
        <w:t>工程量清单</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6</w:t>
      </w:r>
    </w:p>
    <w:p>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78</w:t>
      </w:r>
    </w:p>
    <w:p>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pPr>
        <w:pStyle w:val="67"/>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6" w:type="firs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pPr>
        <w:pStyle w:val="3"/>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pPr>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项目概括</w:t>
      </w:r>
    </w:p>
    <w:p>
      <w:pPr>
        <w:keepNext w:val="0"/>
        <w:keepLines w:val="0"/>
        <w:pageBreakBefore w:val="0"/>
        <w:widowControl w:val="0"/>
        <w:kinsoku/>
        <w:wordWrap/>
        <w:overflowPunct/>
        <w:topLinePunct w:val="0"/>
        <w:autoSpaceDE/>
        <w:autoSpaceDN/>
        <w:bidi w:val="0"/>
        <w:adjustRightInd/>
        <w:snapToGrid/>
        <w:spacing w:line="480" w:lineRule="auto"/>
        <w:ind w:firstLine="524" w:firstLineChars="200"/>
        <w:textAlignment w:val="auto"/>
        <w:rPr>
          <w:rFonts w:hint="eastAsia" w:ascii="宋体" w:hAnsi="宋体" w:eastAsia="宋体" w:cs="宋体"/>
          <w:color w:val="000000" w:themeColor="text1"/>
          <w:spacing w:val="11"/>
          <w:sz w:val="24"/>
          <w:szCs w:val="24"/>
          <w14:textFill>
            <w14:solidFill>
              <w14:schemeClr w14:val="tx1"/>
            </w14:solidFill>
          </w14:textFill>
        </w:rPr>
      </w:pPr>
      <w:r>
        <w:rPr>
          <w:rFonts w:hint="eastAsia" w:ascii="宋体" w:hAnsi="宋体" w:cs="宋体"/>
          <w:color w:val="000000"/>
          <w:spacing w:val="11"/>
          <w:sz w:val="24"/>
          <w:szCs w:val="24"/>
          <w:lang w:eastAsia="zh-CN"/>
        </w:rPr>
        <w:t>宜川县第二战区司令长官部秋林旧址二期陈列布展工程项目</w:t>
      </w:r>
      <w:r>
        <w:rPr>
          <w:rFonts w:hint="eastAsia" w:ascii="宋体" w:hAnsi="宋体" w:eastAsia="宋体" w:cs="宋体"/>
          <w:color w:val="000000"/>
          <w:spacing w:val="11"/>
          <w:sz w:val="24"/>
          <w:szCs w:val="24"/>
        </w:rPr>
        <w:t>的潜在供应商应在延安市新区盛世花园北区12号楼一单元802室</w:t>
      </w:r>
      <w:r>
        <w:rPr>
          <w:rFonts w:hint="eastAsia" w:ascii="宋体" w:hAnsi="宋体" w:eastAsia="宋体" w:cs="宋体"/>
          <w:color w:val="000000"/>
          <w:spacing w:val="11"/>
          <w:sz w:val="24"/>
          <w:szCs w:val="24"/>
          <w:lang w:val="en-US" w:eastAsia="zh-CN"/>
        </w:rPr>
        <w:t>获取采购</w:t>
      </w:r>
      <w:r>
        <w:rPr>
          <w:rFonts w:hint="eastAsia" w:ascii="宋体" w:hAnsi="宋体" w:eastAsia="宋体" w:cs="宋体"/>
          <w:color w:val="000000" w:themeColor="text1"/>
          <w:spacing w:val="11"/>
          <w:sz w:val="24"/>
          <w:szCs w:val="24"/>
          <w:lang w:val="en-US" w:eastAsia="zh-CN"/>
          <w14:textFill>
            <w14:solidFill>
              <w14:schemeClr w14:val="tx1"/>
            </w14:solidFill>
          </w14:textFill>
        </w:rPr>
        <w:t>文件，</w:t>
      </w:r>
      <w:r>
        <w:rPr>
          <w:rFonts w:hint="eastAsia" w:ascii="宋体" w:hAnsi="宋体" w:eastAsia="宋体" w:cs="宋体"/>
          <w:color w:val="000000" w:themeColor="text1"/>
          <w:spacing w:val="11"/>
          <w:sz w:val="24"/>
          <w:szCs w:val="24"/>
          <w14:textFill>
            <w14:solidFill>
              <w14:schemeClr w14:val="tx1"/>
            </w14:solidFill>
          </w14:textFill>
        </w:rPr>
        <w:t>并于</w:t>
      </w:r>
      <w:r>
        <w:rPr>
          <w:rFonts w:hint="eastAsia" w:ascii="宋体" w:hAnsi="宋体" w:cs="宋体"/>
          <w:color w:val="000000" w:themeColor="text1"/>
          <w:spacing w:val="11"/>
          <w:sz w:val="24"/>
          <w:szCs w:val="24"/>
          <w:lang w:val="en-US" w:eastAsia="zh-CN"/>
          <w14:textFill>
            <w14:solidFill>
              <w14:schemeClr w14:val="tx1"/>
            </w14:solidFill>
          </w14:textFill>
        </w:rPr>
        <w:t>2024</w:t>
      </w:r>
      <w:r>
        <w:rPr>
          <w:rFonts w:hint="eastAsia" w:ascii="宋体" w:hAnsi="宋体" w:eastAsia="宋体" w:cs="宋体"/>
          <w:color w:val="000000" w:themeColor="text1"/>
          <w:spacing w:val="11"/>
          <w:sz w:val="24"/>
          <w:szCs w:val="24"/>
          <w14:textFill>
            <w14:solidFill>
              <w14:schemeClr w14:val="tx1"/>
            </w14:solidFill>
          </w14:textFill>
        </w:rPr>
        <w:t>年</w:t>
      </w:r>
      <w:r>
        <w:rPr>
          <w:rFonts w:hint="eastAsia" w:ascii="宋体" w:hAnsi="宋体" w:cs="宋体"/>
          <w:color w:val="000000" w:themeColor="text1"/>
          <w:spacing w:val="11"/>
          <w:sz w:val="24"/>
          <w:szCs w:val="24"/>
          <w:lang w:val="en-US" w:eastAsia="zh-CN"/>
          <w14:textFill>
            <w14:solidFill>
              <w14:schemeClr w14:val="tx1"/>
            </w14:solidFill>
          </w14:textFill>
        </w:rPr>
        <w:t>6</w:t>
      </w:r>
      <w:r>
        <w:rPr>
          <w:rFonts w:hint="eastAsia" w:ascii="宋体" w:hAnsi="宋体" w:eastAsia="宋体" w:cs="宋体"/>
          <w:color w:val="000000" w:themeColor="text1"/>
          <w:spacing w:val="11"/>
          <w:sz w:val="24"/>
          <w:szCs w:val="24"/>
          <w14:textFill>
            <w14:solidFill>
              <w14:schemeClr w14:val="tx1"/>
            </w14:solidFill>
          </w14:textFill>
        </w:rPr>
        <w:t>月</w:t>
      </w:r>
      <w:r>
        <w:rPr>
          <w:rFonts w:hint="eastAsia" w:ascii="宋体" w:hAnsi="宋体" w:cs="宋体"/>
          <w:color w:val="000000" w:themeColor="text1"/>
          <w:spacing w:val="11"/>
          <w:sz w:val="24"/>
          <w:szCs w:val="24"/>
          <w:lang w:val="en-US" w:eastAsia="zh-CN"/>
          <w14:textFill>
            <w14:solidFill>
              <w14:schemeClr w14:val="tx1"/>
            </w14:solidFill>
          </w14:textFill>
        </w:rPr>
        <w:t xml:space="preserve">7日14 </w:t>
      </w:r>
      <w:r>
        <w:rPr>
          <w:rFonts w:hint="eastAsia" w:ascii="宋体" w:hAnsi="宋体" w:eastAsia="宋体" w:cs="宋体"/>
          <w:color w:val="000000" w:themeColor="text1"/>
          <w:spacing w:val="11"/>
          <w:sz w:val="24"/>
          <w:szCs w:val="24"/>
          <w14:textFill>
            <w14:solidFill>
              <w14:schemeClr w14:val="tx1"/>
            </w14:solidFill>
          </w14:textFill>
        </w:rPr>
        <w:t>时</w:t>
      </w:r>
      <w:r>
        <w:rPr>
          <w:rFonts w:hint="eastAsia" w:ascii="宋体" w:hAnsi="宋体" w:cs="宋体"/>
          <w:color w:val="000000" w:themeColor="text1"/>
          <w:spacing w:val="11"/>
          <w:sz w:val="24"/>
          <w:szCs w:val="24"/>
          <w:lang w:val="en-US" w:eastAsia="zh-CN"/>
          <w14:textFill>
            <w14:solidFill>
              <w14:schemeClr w14:val="tx1"/>
            </w14:solidFill>
          </w14:textFill>
        </w:rPr>
        <w:t>30</w:t>
      </w:r>
      <w:r>
        <w:rPr>
          <w:rFonts w:hint="eastAsia" w:ascii="宋体" w:hAnsi="宋体" w:eastAsia="宋体" w:cs="宋体"/>
          <w:color w:val="000000" w:themeColor="text1"/>
          <w:spacing w:val="11"/>
          <w:sz w:val="24"/>
          <w:szCs w:val="24"/>
          <w14:textFill>
            <w14:solidFill>
              <w14:schemeClr w14:val="tx1"/>
            </w14:solidFill>
          </w14:textFill>
        </w:rPr>
        <w:t>分（北京时间）前提交响应文件。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项目编号：</w:t>
      </w:r>
      <w:r>
        <w:rPr>
          <w:rFonts w:hint="eastAsia" w:ascii="宋体" w:hAnsi="宋体" w:cs="宋体"/>
          <w:color w:val="000000"/>
          <w:sz w:val="24"/>
          <w:szCs w:val="24"/>
          <w:lang w:eastAsia="zh-CN"/>
        </w:rPr>
        <w:t>SXCY2024-14</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cs="宋体"/>
          <w:color w:val="000000"/>
          <w:sz w:val="24"/>
          <w:szCs w:val="24"/>
          <w:lang w:eastAsia="zh-CN"/>
        </w:rPr>
        <w:t>宜川县第二战区司令长官部秋林旧址二期陈列布展工程项目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预算金额：</w:t>
      </w:r>
      <w:r>
        <w:rPr>
          <w:rFonts w:hint="eastAsia" w:ascii="宋体" w:hAnsi="宋体" w:cs="宋体"/>
          <w:color w:val="000000"/>
          <w:sz w:val="24"/>
          <w:szCs w:val="24"/>
          <w:lang w:val="en-US" w:eastAsia="zh-CN"/>
        </w:rPr>
        <w:t>1200000.00</w:t>
      </w:r>
      <w:r>
        <w:rPr>
          <w:rFonts w:hint="eastAsia" w:ascii="宋体" w:hAnsi="宋体" w:eastAsia="宋体" w:cs="宋体"/>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合同包1(</w:t>
      </w:r>
      <w:r>
        <w:rPr>
          <w:rFonts w:hint="eastAsia" w:ascii="宋体" w:hAnsi="宋体" w:cs="宋体"/>
          <w:color w:val="000000"/>
          <w:sz w:val="24"/>
          <w:szCs w:val="24"/>
          <w:lang w:eastAsia="zh-CN"/>
        </w:rPr>
        <w:t>宜川县第二战区司令长官部秋林旧址二期陈列布展工程项目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合同包预算金额：</w:t>
      </w:r>
      <w:r>
        <w:rPr>
          <w:rFonts w:hint="eastAsia" w:ascii="宋体" w:hAnsi="宋体" w:cs="宋体"/>
          <w:color w:val="000000"/>
          <w:sz w:val="24"/>
          <w:szCs w:val="24"/>
          <w:lang w:val="en-US" w:eastAsia="zh-CN"/>
        </w:rPr>
        <w:t>1200000.00</w:t>
      </w:r>
      <w:r>
        <w:rPr>
          <w:rFonts w:hint="eastAsia" w:ascii="宋体" w:hAnsi="宋体" w:eastAsia="宋体" w:cs="宋体"/>
          <w:color w:val="000000"/>
          <w:sz w:val="24"/>
          <w:szCs w:val="24"/>
        </w:rPr>
        <w:t>元</w:t>
      </w:r>
    </w:p>
    <w:tbl>
      <w:tblPr>
        <w:tblStyle w:val="34"/>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0"/>
        <w:gridCol w:w="1725"/>
        <w:gridCol w:w="1845"/>
        <w:gridCol w:w="1170"/>
        <w:gridCol w:w="1440"/>
        <w:gridCol w:w="148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blHeader/>
        </w:trPr>
        <w:tc>
          <w:tcPr>
            <w:tcW w:w="10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品目号</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品目名称</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采购标的</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（单位）</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技术规格、参数及要求</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品目预算(元)</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10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eastAsia="zh-CN"/>
              </w:rPr>
              <w:t>其他专业施工</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000000"/>
                <w:sz w:val="24"/>
                <w:szCs w:val="24"/>
                <w:lang w:eastAsia="zh-CN"/>
              </w:rPr>
            </w:pPr>
            <w:r>
              <w:rPr>
                <w:rFonts w:hint="eastAsia" w:ascii="宋体" w:hAnsi="宋体" w:cs="宋体"/>
                <w:color w:val="000000"/>
                <w:sz w:val="24"/>
                <w:szCs w:val="24"/>
                <w:lang w:eastAsia="zh-CN"/>
              </w:rPr>
              <w:t>陈列布展工程</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1(项)</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详见采购文件</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1200000.00</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both"/>
              <w:rPr>
                <w:rFonts w:hint="default" w:ascii="宋体" w:hAnsi="宋体" w:eastAsia="宋体" w:cs="宋体"/>
                <w:color w:val="000000"/>
                <w:sz w:val="24"/>
                <w:szCs w:val="24"/>
                <w:lang w:val="en-US"/>
              </w:rPr>
            </w:pPr>
            <w:r>
              <w:rPr>
                <w:rFonts w:hint="eastAsia" w:ascii="宋体" w:hAnsi="宋体" w:cs="宋体"/>
                <w:color w:val="000000" w:themeColor="text1"/>
                <w:sz w:val="24"/>
                <w:szCs w:val="24"/>
                <w:lang w:val="en-US" w:eastAsia="zh-CN"/>
                <w14:textFill>
                  <w14:solidFill>
                    <w14:schemeClr w14:val="tx1"/>
                  </w14:solidFill>
                </w14:textFill>
              </w:rPr>
              <w:t>/</w:t>
            </w:r>
          </w:p>
        </w:tc>
      </w:tr>
    </w:tbl>
    <w:p>
      <w:pPr>
        <w:spacing w:line="360" w:lineRule="auto"/>
        <w:ind w:firstLine="560" w:firstLineChars="200"/>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合同签订之日起</w:t>
      </w:r>
      <w:r>
        <w:rPr>
          <w:rFonts w:hint="eastAsia" w:ascii="宋体" w:hAnsi="宋体" w:cs="宋体"/>
          <w:color w:val="auto"/>
          <w:sz w:val="24"/>
          <w:szCs w:val="24"/>
          <w:lang w:val="en-US" w:eastAsia="zh-CN"/>
        </w:rPr>
        <w:t>六个</w:t>
      </w:r>
      <w:r>
        <w:rPr>
          <w:rFonts w:hint="eastAsia" w:ascii="宋体" w:hAnsi="宋体" w:eastAsia="宋体" w:cs="宋体"/>
          <w:color w:val="auto"/>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1.满足《中华人民共和国政府采购法》第二十二条规定</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合同包1(</w:t>
      </w:r>
      <w:r>
        <w:rPr>
          <w:rFonts w:hint="eastAsia" w:ascii="宋体" w:hAnsi="宋体" w:cs="宋体"/>
          <w:color w:val="000000"/>
          <w:sz w:val="24"/>
          <w:szCs w:val="24"/>
          <w:lang w:eastAsia="zh-CN"/>
        </w:rPr>
        <w:t>宜川县第二战区司令长官部秋林旧址二期陈列布展工程项目</w:t>
      </w:r>
      <w:r>
        <w:rPr>
          <w:rFonts w:hint="eastAsia" w:ascii="宋体" w:hAnsi="宋体" w:eastAsia="宋体" w:cs="宋体"/>
          <w:color w:val="000000"/>
          <w:sz w:val="24"/>
          <w:szCs w:val="24"/>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依据《中华人民共和国政府采购法》和《中华人民共和国政府采购法实施条例》的有关规定，落实政府采购政策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2.1《政府采购促进中小企业发展管理办法》的通知（财库〔2020〕46号）；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2.2财政部司法部关于政府采购支持监狱企业发展有关问题的通知--财库〔2014〕68号；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2.3《国务院办公厅关于建立政府强制采购节能产品制度的通知》--国办发〔2007〕51号。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2.4《环境标志产品政府采购实施意见》--财库[2006]90号；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2.5《节能产品政府采购实施意见》--（财库[2004]185号）；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2.6 </w:t>
      </w:r>
      <w:r>
        <w:rPr>
          <w:rFonts w:hint="eastAsia" w:ascii="宋体" w:hAnsi="宋体" w:eastAsia="宋体" w:cs="宋体"/>
          <w:color w:val="000000"/>
          <w:sz w:val="24"/>
          <w:szCs w:val="24"/>
        </w:rPr>
        <w:t>《关于促进残疾人就业政府采购政策的通知》财库〔2017〕141号；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合同包1(</w:t>
      </w:r>
      <w:r>
        <w:rPr>
          <w:rFonts w:hint="eastAsia" w:ascii="宋体" w:hAnsi="宋体" w:cs="宋体"/>
          <w:color w:val="000000"/>
          <w:sz w:val="24"/>
          <w:szCs w:val="24"/>
          <w:lang w:eastAsia="zh-CN"/>
        </w:rPr>
        <w:t>宜川县第二战区司令长官部秋林旧址二期陈列布展工程项目</w:t>
      </w:r>
      <w:r>
        <w:rPr>
          <w:rFonts w:hint="eastAsia" w:ascii="宋体" w:hAnsi="宋体" w:eastAsia="宋体" w:cs="宋体"/>
          <w:color w:val="000000"/>
          <w:sz w:val="24"/>
          <w:szCs w:val="24"/>
        </w:rPr>
        <w:t>)特定资格要求如下: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具有独立承担民事责任能力的法人、其他组织或自然人，法人或其他组织提供营业执照（事业单位法人证书），自然人提供身份证明。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3.1提供营业执照、税务登记证、组织机构代码证或三证合一的营业执照（供应商无需提供营业执照年检报告，在资格审查时通过互联网或者相关信息系统查询）；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3.2银行开户许可证或开户行基本信息；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3.3法定代表人授权委托书及被授权人身份证（法定代表人直接参加时，只须出示法定代表人身份证）；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3.4提供参加政府采购活动前3年内经营活动中没有重大违法记录声明；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3.5税收缴纳证明：</w:t>
      </w:r>
      <w:r>
        <w:rPr>
          <w:rFonts w:hint="eastAsia" w:ascii="宋体" w:hAnsi="宋体" w:eastAsia="宋体" w:cs="宋体"/>
          <w:color w:val="auto"/>
          <w:sz w:val="24"/>
          <w:szCs w:val="24"/>
        </w:rPr>
        <w:t>自202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月1日以来已缴纳的至少一个月的纳税证明或完税证明，纳税证明或完税证明上应有代收机构或税务机关的公章。依法免税的供应商应提供相关文件证明；</w:t>
      </w:r>
      <w:r>
        <w:rPr>
          <w:rFonts w:hint="eastAsia" w:ascii="宋体" w:hAnsi="宋体" w:eastAsia="宋体" w:cs="宋体"/>
          <w:color w:val="000000"/>
          <w:sz w:val="24"/>
          <w:szCs w:val="24"/>
        </w:rPr>
        <w:t>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社会保障资金缴纳证明：自2023年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月1日以来已缴存的至少一个月的社会保障资金缴存单据或社保机构开具的社会保险参保缴费情况证明，依法不需要缴纳社会保障资金的供应商应提供相关文件证明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rPr>
        <w:t>；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3.7财务状况报告：提供202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或202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需具备建筑工程施工总承包叁级及以上资质（含叁级），或建筑装修装饰工程专业承包贰级及以上资质（含贰级），并在人员、设备、资金等方面具有相应的施工能力，具有有效的安全生产许可证，其中拟派项目经理须具备建筑工程专业二级及以上注册建造师执业资格，具备有效的安全生产考核合格证书，且在本单位注册，未担任其他在建工程项目的项目经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根据财政部《关于在政府采购活动中查询及使用信用记录有关问题的通知》（财库〔2016〕125号）要求，供应商不得被列入【信用中国（www.creditchina.gov.cn）】“重大税收违法案件当事人名单”，【中国执行信息公开网（http://zxgk.court.gov.cn）】“失信被执行人”，【中国政府采购网（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提供磋商保证金的银行转账或电汇凭证并确保响应文件递交截止时间前到达采购文件指定账户；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本项目专门面向中小企业采购（提供中小企业声明函）。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本项目不接受联合体磋商。</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三、获取</w:t>
      </w:r>
      <w:r>
        <w:rPr>
          <w:rFonts w:hint="eastAsia" w:ascii="宋体" w:hAnsi="宋体" w:eastAsia="宋体" w:cs="宋体"/>
          <w:b/>
          <w:bCs/>
          <w:color w:val="000000"/>
          <w:sz w:val="24"/>
          <w:szCs w:val="24"/>
          <w:lang w:val="en-US" w:eastAsia="zh-CN"/>
        </w:rPr>
        <w:t>招标</w:t>
      </w:r>
      <w:r>
        <w:rPr>
          <w:rFonts w:hint="eastAsia" w:ascii="宋体" w:hAnsi="宋体" w:eastAsia="宋体" w:cs="宋体"/>
          <w:b/>
          <w:bCs/>
          <w:color w:val="000000"/>
          <w:sz w:val="24"/>
          <w:szCs w:val="24"/>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时间：202</w:t>
      </w: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14:textFill>
            <w14:solidFill>
              <w14:schemeClr w14:val="tx1"/>
            </w14:solidFill>
          </w14:textFill>
        </w:rPr>
        <w:t>日至202</w:t>
      </w: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cs="宋体"/>
          <w:b w:val="0"/>
          <w:bCs w:val="0"/>
          <w:color w:val="000000" w:themeColor="text1"/>
          <w:sz w:val="24"/>
          <w:szCs w:val="24"/>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每天上午0</w:t>
      </w: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:00:00至12:00:00，下午14:00:00至1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:00:00（北京时间,法定节假日除外）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地点：延安市新区盛世花园北区12号楼一单元802室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方式：</w:t>
      </w:r>
      <w:r>
        <w:rPr>
          <w:rFonts w:hint="eastAsia" w:ascii="宋体" w:hAnsi="宋体" w:eastAsia="宋体" w:cs="宋体"/>
          <w:b w:val="0"/>
          <w:bCs w:val="0"/>
          <w:color w:val="000000"/>
          <w:sz w:val="24"/>
          <w:szCs w:val="24"/>
          <w:lang w:val="en-US" w:eastAsia="zh-CN"/>
        </w:rPr>
        <w:t>现场</w:t>
      </w:r>
      <w:r>
        <w:rPr>
          <w:rFonts w:hint="eastAsia" w:ascii="宋体" w:hAnsi="宋体" w:eastAsia="宋体" w:cs="宋体"/>
          <w:b w:val="0"/>
          <w:bCs w:val="0"/>
          <w:color w:val="000000"/>
          <w:sz w:val="24"/>
          <w:szCs w:val="24"/>
        </w:rPr>
        <w:t>获取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售价：</w:t>
      </w:r>
      <w:r>
        <w:rPr>
          <w:rFonts w:hint="eastAsia" w:ascii="宋体" w:hAnsi="宋体" w:eastAsia="宋体" w:cs="宋体"/>
          <w:b w:val="0"/>
          <w:bCs w:val="0"/>
          <w:color w:val="000000"/>
          <w:sz w:val="24"/>
          <w:szCs w:val="24"/>
          <w:lang w:val="en-US" w:eastAsia="zh-CN"/>
        </w:rPr>
        <w:t>500元/套，售后不退。</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截止时间：202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年 </w:t>
      </w:r>
      <w:r>
        <w:rPr>
          <w:rFonts w:hint="eastAsia" w:ascii="宋体" w:hAnsi="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lang w:val="en-US" w:eastAsia="zh-CN"/>
          <w14:textFill>
            <w14:solidFill>
              <w14:schemeClr w14:val="tx1"/>
            </w14:solidFill>
          </w14:textFill>
        </w:rPr>
        <w:t xml:space="preserve">月 </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 xml:space="preserve"> 日</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 xml:space="preserve"> 时 30 分 00 秒（北京时间）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地点：延安市公共资源交易中心交易  </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 xml:space="preserve">  厅</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五、开启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时间：202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年 </w:t>
      </w:r>
      <w:r>
        <w:rPr>
          <w:rFonts w:hint="eastAsia" w:ascii="宋体" w:hAnsi="宋体" w:cs="宋体"/>
          <w:color w:val="000000" w:themeColor="text1"/>
          <w:sz w:val="24"/>
          <w:szCs w:val="24"/>
          <w:lang w:val="en-US" w:eastAsia="zh-CN"/>
          <w14:textFill>
            <w14:solidFill>
              <w14:schemeClr w14:val="tx1"/>
            </w14:solidFill>
          </w14:textFill>
        </w:rPr>
        <w:t xml:space="preserve"> 6</w:t>
      </w:r>
      <w:r>
        <w:rPr>
          <w:rFonts w:hint="eastAsia" w:ascii="宋体" w:hAnsi="宋体" w:eastAsia="宋体" w:cs="宋体"/>
          <w:color w:val="000000" w:themeColor="text1"/>
          <w:sz w:val="24"/>
          <w:szCs w:val="24"/>
          <w:lang w:val="en-US" w:eastAsia="zh-CN"/>
          <w14:textFill>
            <w14:solidFill>
              <w14:schemeClr w14:val="tx1"/>
            </w14:solidFill>
          </w14:textFill>
        </w:rPr>
        <w:t xml:space="preserve">  月 </w:t>
      </w:r>
      <w:r>
        <w:rPr>
          <w:rFonts w:hint="eastAsia" w:ascii="宋体" w:hAnsi="宋体" w:cs="宋体"/>
          <w:color w:val="000000" w:themeColor="text1"/>
          <w:sz w:val="24"/>
          <w:szCs w:val="24"/>
          <w:lang w:val="en-US" w:eastAsia="zh-CN"/>
          <w14:textFill>
            <w14:solidFill>
              <w14:schemeClr w14:val="tx1"/>
            </w14:solidFill>
          </w14:textFill>
        </w:rPr>
        <w:t xml:space="preserve"> 7</w:t>
      </w:r>
      <w:r>
        <w:rPr>
          <w:rFonts w:hint="eastAsia" w:ascii="宋体" w:hAnsi="宋体" w:eastAsia="宋体" w:cs="宋体"/>
          <w:color w:val="000000" w:themeColor="text1"/>
          <w:sz w:val="24"/>
          <w:szCs w:val="24"/>
          <w:lang w:val="en-US" w:eastAsia="zh-CN"/>
          <w14:textFill>
            <w14:solidFill>
              <w14:schemeClr w14:val="tx1"/>
            </w14:solidFill>
          </w14:textFill>
        </w:rPr>
        <w:t xml:space="preserve"> 日 14 时 30 分 00 秒（北京时间）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地点：延安市公共资源交易中心交易  </w:t>
      </w:r>
      <w:r>
        <w:rPr>
          <w:rFonts w:hint="eastAsia" w:ascii="宋体" w:hAnsi="宋体" w:cs="宋体"/>
          <w:color w:val="000000" w:themeColor="text1"/>
          <w:sz w:val="24"/>
          <w:szCs w:val="24"/>
          <w:lang w:val="en-US" w:eastAsia="zh-CN"/>
          <w14:textFill>
            <w14:solidFill>
              <w14:schemeClr w14:val="tx1"/>
            </w14:solidFill>
          </w14:textFill>
        </w:rPr>
        <w:t xml:space="preserve">二 </w:t>
      </w:r>
      <w:r>
        <w:rPr>
          <w:rFonts w:hint="eastAsia" w:ascii="宋体" w:hAnsi="宋体" w:eastAsia="宋体" w:cs="宋体"/>
          <w:color w:val="000000" w:themeColor="text1"/>
          <w:sz w:val="24"/>
          <w:szCs w:val="24"/>
          <w:lang w:val="en-US" w:eastAsia="zh-CN"/>
          <w14:textFill>
            <w14:solidFill>
              <w14:schemeClr w14:val="tx1"/>
            </w14:solidFill>
          </w14:textFill>
        </w:rPr>
        <w:t xml:space="preserve"> 厅</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（1）供应商购买磋商文件时需携带本单位介绍信及本人身份证原件或复印件（加盖公章（鲜章））；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（2）请投标人按照陕西省财政厅关于政府采购供应商注册登记有关事项的通知中的要求，通过陕西省政府采购网（http://www.ccgp-shaanxi.gov.cn/）注册登记加入陕西省政府采购供应商库。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（3）本项目专门面向中小企业采购。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（4）发布公告的媒介：本次招标公告在《陕西省政府采购网》、《全国公共资源交易平台（陕西省·延安市）》上同时发布。</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eastAsia" w:ascii="宋体" w:hAnsi="宋体" w:cs="宋体"/>
          <w:sz w:val="24"/>
          <w:szCs w:val="24"/>
          <w:lang w:val="en-US" w:eastAsia="zh-CN"/>
        </w:rPr>
        <w:t>宜川县第二战区司令长官部-秋林旧址文物管理所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cs="宋体"/>
          <w:sz w:val="24"/>
          <w:szCs w:val="24"/>
          <w:lang w:val="en-US" w:eastAsia="zh-CN"/>
        </w:rPr>
        <w:t>延安市宜川县秋林镇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color w:val="auto"/>
          <w:sz w:val="24"/>
          <w:szCs w:val="24"/>
          <w:lang w:val="en-US" w:eastAsia="zh-CN"/>
        </w:rPr>
        <w:t xml:space="preserve"> 0911-4811066</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名称：陕西宸永项目管理有限公司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地址：延安市新区盛世花园北区12号楼一单元802室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联系方式：0911-8688810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项目联系人：杨工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电话：0911-8688810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p>
    <w:p>
      <w:pPr>
        <w:pStyle w:val="17"/>
        <w:rPr>
          <w:rFonts w:hint="eastAsia" w:ascii="宋体" w:hAnsi="宋体" w:eastAsia="宋体" w:cs="宋体"/>
          <w:color w:val="000000" w:themeColor="text1"/>
          <w:sz w:val="28"/>
          <w:szCs w:val="28"/>
          <w14:textFill>
            <w14:solidFill>
              <w14:schemeClr w14:val="tx1"/>
            </w14:solidFill>
          </w14:textFill>
        </w:rPr>
      </w:pPr>
    </w:p>
    <w:p>
      <w:pPr>
        <w:rPr>
          <w:rFonts w:hint="eastAsia"/>
        </w:rPr>
        <w:sectPr>
          <w:footerReference r:id="rId8" w:type="first"/>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3"/>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10488"/>
      <w:bookmarkStart w:id="4" w:name="_Toc421778363"/>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pPr>
        <w:numPr>
          <w:ilvl w:val="0"/>
          <w:numId w:val="0"/>
        </w:numPr>
        <w:ind w:leftChars="0"/>
        <w:rPr>
          <w:rFonts w:hint="eastAsia"/>
        </w:rPr>
      </w:pPr>
    </w:p>
    <w:p>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15103"/>
      <w:bookmarkStart w:id="6" w:name="_Toc500323094"/>
      <w:bookmarkStart w:id="7" w:name="_Toc421778364"/>
      <w:bookmarkStart w:id="8" w:name="_Toc526842682"/>
      <w:bookmarkStart w:id="9" w:name="_Toc420591642"/>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4"/>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w:t>
            </w:r>
            <w:r>
              <w:rPr>
                <w:rFonts w:hint="eastAsia" w:ascii="宋体" w:hAnsi="宋体" w:cs="宋体"/>
                <w:color w:val="000000" w:themeColor="text1"/>
                <w:sz w:val="24"/>
                <w:szCs w:val="24"/>
                <w:lang w:val="en-US" w:eastAsia="zh-CN"/>
                <w14:textFill>
                  <w14:solidFill>
                    <w14:schemeClr w14:val="tx1"/>
                  </w14:solidFill>
                </w14:textFill>
              </w:rPr>
              <w:t>宜川县第二战区司令长官部-秋林旧址文物管理所</w:t>
            </w:r>
          </w:p>
          <w:p>
            <w:pPr>
              <w:spacing w:line="36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地址：</w:t>
            </w:r>
            <w:r>
              <w:rPr>
                <w:rFonts w:hint="eastAsia" w:ascii="宋体" w:hAnsi="宋体" w:cs="宋体"/>
                <w:sz w:val="24"/>
                <w:szCs w:val="24"/>
                <w:lang w:val="en-US" w:eastAsia="zh-CN"/>
              </w:rPr>
              <w:t>延安市宜川县秋林镇</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王嘉宇</w:t>
            </w:r>
          </w:p>
          <w:p>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0911-4811066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cs="宋体"/>
                <w:color w:val="000000"/>
                <w:sz w:val="24"/>
                <w:szCs w:val="24"/>
                <w:lang w:eastAsia="zh-CN"/>
              </w:rPr>
              <w:t>陕西宸永项目管理有限公司</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cs="宋体"/>
                <w:color w:val="000000"/>
                <w:sz w:val="24"/>
                <w:szCs w:val="24"/>
                <w:lang w:eastAsia="zh-CN"/>
              </w:rPr>
              <w:t>延安市新区盛世花园北区12号楼一单元802室</w:t>
            </w:r>
          </w:p>
          <w:p>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杨工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0911-8688810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宜川县第二战区司令长官部秋林旧址二期陈列布展工程项目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1200000.00</w:t>
            </w:r>
            <w:r>
              <w:rPr>
                <w:rFonts w:hint="eastAsia" w:ascii="宋体" w:hAnsi="宋体" w:eastAsia="宋体" w:cs="宋体"/>
                <w:color w:val="00000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cs="宋体"/>
                <w:color w:val="000000"/>
                <w:sz w:val="24"/>
                <w:szCs w:val="24"/>
                <w:lang w:eastAsia="zh-CN"/>
              </w:rPr>
            </w:pPr>
            <w:r>
              <w:rPr>
                <w:rFonts w:hint="eastAsia" w:ascii="宋体" w:hAnsi="宋体" w:eastAsia="宋体" w:cs="宋体"/>
                <w:color w:val="000000"/>
                <w:sz w:val="24"/>
                <w:szCs w:val="24"/>
                <w:lang w:eastAsia="zh-CN"/>
              </w:rPr>
              <w:t>布展486平方米，室内装修，陈列设计等，满足文物陈列布展要求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质保期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具有独立承担民事责任能力的法人、其他组织或自然人，法人或其他组织提供营业执照（事业单位法人证书），自然人提供身份证明；</w:t>
            </w:r>
          </w:p>
          <w:p>
            <w:pPr>
              <w:numPr>
                <w:ilvl w:val="0"/>
                <w:numId w:val="3"/>
              </w:numPr>
              <w:autoSpaceDE w:val="0"/>
              <w:autoSpaceDN w:val="0"/>
              <w:adjustRightInd w:val="0"/>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pPr>
              <w:numPr>
                <w:ilvl w:val="0"/>
                <w:numId w:val="0"/>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w:t>
            </w:r>
            <w:r>
              <w:rPr>
                <w:rFonts w:hint="eastAsia" w:ascii="宋体" w:hAnsi="宋体" w:cs="宋体"/>
                <w:color w:val="000000" w:themeColor="text1"/>
                <w:sz w:val="24"/>
                <w:szCs w:val="24"/>
                <w:lang w:val="en-US" w:eastAsia="zh-CN"/>
                <w14:textFill>
                  <w14:solidFill>
                    <w14:schemeClr w14:val="tx1"/>
                  </w14:solidFill>
                </w14:textFill>
              </w:rPr>
              <w:t>2023</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个月的纳税证明或完税证明，纳税证明或完税证明上应有代收机构或税务机关的公章。依法免税的供应商应提供相关文件证明；</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w:t>
            </w:r>
            <w:r>
              <w:rPr>
                <w:rFonts w:hint="eastAsia" w:ascii="宋体" w:hAnsi="宋体" w:cs="宋体"/>
                <w:color w:val="000000" w:themeColor="text1"/>
                <w:kern w:val="2"/>
                <w:sz w:val="24"/>
                <w:szCs w:val="24"/>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w:t>
            </w:r>
            <w:r>
              <w:rPr>
                <w:rFonts w:hint="eastAsia" w:ascii="宋体" w:hAnsi="宋体" w:cs="宋体"/>
                <w:color w:val="000000" w:themeColor="text1"/>
                <w:kern w:val="2"/>
                <w:sz w:val="24"/>
                <w:szCs w:val="24"/>
                <w:lang w:val="en-US" w:eastAsia="zh-CN" w:bidi="ar-SA"/>
                <w14:textFill>
                  <w14:solidFill>
                    <w14:schemeClr w14:val="tx1"/>
                  </w14:solidFill>
                </w14:textFill>
              </w:rPr>
              <w:t>磋商</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供应商应提供相关文件证明；</w:t>
            </w:r>
          </w:p>
          <w:p>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w:t>
            </w:r>
            <w:r>
              <w:rPr>
                <w:rFonts w:hint="eastAsia" w:ascii="宋体" w:hAnsi="宋体" w:cs="宋体"/>
                <w:color w:val="000000" w:themeColor="text1"/>
                <w:kern w:val="2"/>
                <w:sz w:val="24"/>
                <w:szCs w:val="24"/>
                <w:lang w:val="en-US" w:eastAsia="zh-CN" w:bidi="ar-SA"/>
                <w14:textFill>
                  <w14:solidFill>
                    <w14:schemeClr w14:val="tx1"/>
                  </w14:solidFill>
                </w14:textFill>
              </w:rPr>
              <w:t>提供2022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或20</w:t>
            </w:r>
            <w:r>
              <w:rPr>
                <w:rFonts w:hint="eastAsia" w:ascii="宋体" w:hAnsi="宋体" w:cs="宋体"/>
                <w:color w:val="000000" w:themeColor="text1"/>
                <w:kern w:val="2"/>
                <w:sz w:val="24"/>
                <w:szCs w:val="24"/>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wordWrap/>
              <w:overflowPunct/>
              <w:topLinePunct w:val="0"/>
              <w:bidi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需具备建筑工程施工总承包叁级及以上资质（含叁级），或建筑装修装饰工程专业承包贰级及以上资质（含贰级），并在人员、设备、资金等方面具有相应的施工能力，具有有效的安全生产许可证，其中拟派项目经理须具备建筑工程专业二级及以上注册建造师执业资格，具备有效的安全生产考核合格证书，且在本单位注册，未担任其他在建工程项目的项目经理；</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财政部《关于在政府采购活动中查询及使用信用记录有关问题的通知》（财库〔2016〕125号）要求，供应商不得被列入【信用中国（www.creditchina.gov.cn）】“重大税收违法案件当事人名单”，【中国执行信息公开网（http://zxgk.court.gov.cn）】“失信被执行人”，【中国政府采购网（www.ccgp.gov.cn）】“政府采购严重违法失信行为记录名单”；</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.提供磋商保证金的银行转账或电汇凭证并确保响应文件递交截止时间前到达采购文件指定账户；</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.本项目专门面向中小企业采购（提供中小企业声明函）。</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不接受分包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4"/>
                <w:szCs w:val="24"/>
                <w:lang w:val="en-US"/>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2024年 </w:t>
            </w:r>
            <w:r>
              <w:rPr>
                <w:rFonts w:hint="eastAsia" w:ascii="宋体" w:hAnsi="宋体" w:cs="宋体"/>
                <w:color w:val="000000" w:themeColor="text1"/>
                <w:sz w:val="24"/>
                <w:szCs w:val="24"/>
                <w:lang w:val="en-US" w:eastAsia="zh-CN"/>
                <w14:textFill>
                  <w14:solidFill>
                    <w14:schemeClr w14:val="tx1"/>
                  </w14:solidFill>
                </w14:textFill>
              </w:rPr>
              <w:t>6</w:t>
            </w:r>
            <w:r>
              <w:rPr>
                <w:rFonts w:hint="default" w:ascii="宋体" w:hAnsi="宋体" w:eastAsia="宋体" w:cs="宋体"/>
                <w:color w:val="000000" w:themeColor="text1"/>
                <w:sz w:val="24"/>
                <w:szCs w:val="24"/>
                <w:lang w:val="en-US" w:eastAsia="zh-CN"/>
                <w14:textFill>
                  <w14:solidFill>
                    <w14:schemeClr w14:val="tx1"/>
                  </w14:solidFill>
                </w14:textFill>
              </w:rPr>
              <w:t xml:space="preserve">  月 </w:t>
            </w:r>
            <w:r>
              <w:rPr>
                <w:rFonts w:hint="eastAsia" w:ascii="宋体" w:hAnsi="宋体" w:cs="宋体"/>
                <w:color w:val="000000" w:themeColor="text1"/>
                <w:sz w:val="24"/>
                <w:szCs w:val="24"/>
                <w:lang w:val="en-US" w:eastAsia="zh-CN"/>
                <w14:textFill>
                  <w14:solidFill>
                    <w14:schemeClr w14:val="tx1"/>
                  </w14:solidFill>
                </w14:textFill>
              </w:rPr>
              <w:t>7</w:t>
            </w:r>
            <w:r>
              <w:rPr>
                <w:rFonts w:hint="default" w:ascii="宋体" w:hAnsi="宋体" w:eastAsia="宋体" w:cs="宋体"/>
                <w:color w:val="000000" w:themeColor="text1"/>
                <w:sz w:val="24"/>
                <w:szCs w:val="24"/>
                <w:lang w:val="en-US" w:eastAsia="zh-CN"/>
                <w14:textFill>
                  <w14:solidFill>
                    <w14:schemeClr w14:val="tx1"/>
                  </w14:solidFill>
                </w14:textFill>
              </w:rPr>
              <w:t xml:space="preserve"> 日  </w:t>
            </w:r>
            <w:r>
              <w:rPr>
                <w:rFonts w:hint="eastAsia" w:ascii="宋体" w:hAnsi="宋体" w:cs="宋体"/>
                <w:color w:val="000000" w:themeColor="text1"/>
                <w:sz w:val="24"/>
                <w:szCs w:val="24"/>
                <w:lang w:val="en-US" w:eastAsia="zh-CN"/>
                <w14:textFill>
                  <w14:solidFill>
                    <w14:schemeClr w14:val="tx1"/>
                  </w14:solidFill>
                </w14:textFill>
              </w:rPr>
              <w:t>14</w:t>
            </w:r>
            <w:r>
              <w:rPr>
                <w:rFonts w:hint="default" w:ascii="宋体" w:hAnsi="宋体" w:eastAsia="宋体" w:cs="宋体"/>
                <w:color w:val="000000" w:themeColor="text1"/>
                <w:sz w:val="24"/>
                <w:szCs w:val="24"/>
                <w:lang w:val="en-US" w:eastAsia="zh-CN"/>
                <w14:textFill>
                  <w14:solidFill>
                    <w14:schemeClr w14:val="tx1"/>
                  </w14:solidFill>
                </w14:textFill>
              </w:rPr>
              <w:t xml:space="preserve"> 时 30 分 00 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10000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壹万元整</w:t>
            </w:r>
            <w:r>
              <w:rPr>
                <w:rFonts w:hint="eastAsia" w:ascii="宋体" w:hAnsi="宋体" w:eastAsia="宋体" w:cs="宋体"/>
                <w:b/>
                <w:bCs/>
                <w:color w:val="auto"/>
                <w:kern w:val="2"/>
                <w:sz w:val="24"/>
                <w:szCs w:val="24"/>
                <w:u w:val="none"/>
                <w:lang w:eastAsia="zh-CN"/>
              </w:rPr>
              <w:t>）</w:t>
            </w:r>
          </w:p>
          <w:p>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auto"/>
                <w:kern w:val="2"/>
                <w:sz w:val="24"/>
                <w:szCs w:val="24"/>
                <w:lang w:val="en-US" w:eastAsia="zh-CN" w:bidi="ar-SA"/>
              </w:rPr>
              <w:t>SXCY2024-14</w:t>
            </w:r>
            <w:r>
              <w:rPr>
                <w:rFonts w:hint="eastAsia" w:ascii="宋体" w:hAnsi="宋体" w:eastAsia="宋体" w:cs="宋体"/>
                <w:b/>
                <w:bCs/>
                <w:color w:val="auto"/>
                <w:kern w:val="2"/>
                <w:sz w:val="24"/>
                <w:szCs w:val="24"/>
                <w:lang w:val="en-US" w:eastAsia="zh-CN" w:bidi="ar-SA"/>
              </w:rPr>
              <w:t>磋商保证金</w:t>
            </w:r>
          </w:p>
          <w:p>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陕西宸永项目管理有限公司</w:t>
            </w:r>
          </w:p>
          <w:p>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w:t>
            </w:r>
            <w:r>
              <w:rPr>
                <w:rFonts w:hint="eastAsia" w:ascii="宋体" w:hAnsi="宋体" w:eastAsia="宋体" w:cs="宋体"/>
                <w:b/>
                <w:bCs/>
                <w:color w:val="auto"/>
                <w:sz w:val="24"/>
                <w:szCs w:val="24"/>
                <w:lang w:val="en-US" w:eastAsia="zh-CN"/>
              </w:rPr>
              <w:t>中国建设银行股份有限公司延安马家湾支行</w:t>
            </w:r>
          </w:p>
          <w:p>
            <w:pPr>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auto"/>
                <w:sz w:val="24"/>
                <w:szCs w:val="24"/>
              </w:rPr>
              <w:t>账      号：</w:t>
            </w:r>
            <w:r>
              <w:rPr>
                <w:rFonts w:hint="eastAsia" w:ascii="宋体" w:hAnsi="宋体" w:eastAsia="宋体" w:cs="宋体"/>
                <w:b/>
                <w:bCs/>
                <w:color w:val="auto"/>
                <w:sz w:val="24"/>
                <w:szCs w:val="24"/>
                <w:lang w:val="en-US" w:eastAsia="zh-CN"/>
              </w:rPr>
              <w:t>61050168980000000758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响应文件正、副本必须逐页加盖公章</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鲜章</w:t>
            </w:r>
            <w:r>
              <w:rPr>
                <w:rFonts w:hint="eastAsia" w:ascii="宋体" w:hAnsi="宋体" w:cs="宋体"/>
                <w:color w:val="000000"/>
                <w:sz w:val="24"/>
                <w:szCs w:val="24"/>
                <w:lang w:eastAsia="zh-CN"/>
              </w:rPr>
              <w:t>）</w:t>
            </w:r>
            <w:r>
              <w:rPr>
                <w:rFonts w:hint="eastAsia" w:ascii="宋体" w:hAnsi="宋体" w:eastAsia="宋体" w:cs="宋体"/>
                <w:color w:val="000000"/>
                <w:sz w:val="24"/>
                <w:szCs w:val="24"/>
              </w:rPr>
              <w:t>并经法定代表人或其委托代理人</w:t>
            </w:r>
            <w:r>
              <w:rPr>
                <w:rFonts w:hint="eastAsia" w:ascii="宋体" w:hAnsi="宋体" w:eastAsia="宋体" w:cs="宋体"/>
                <w:color w:val="000000"/>
                <w:sz w:val="24"/>
                <w:szCs w:val="24"/>
                <w:lang w:eastAsia="zh-CN"/>
              </w:rPr>
              <w:t>在指定页面</w:t>
            </w:r>
            <w:r>
              <w:rPr>
                <w:rFonts w:hint="eastAsia" w:ascii="宋体" w:hAnsi="宋体" w:eastAsia="宋体" w:cs="宋体"/>
                <w:color w:val="000000"/>
                <w:sz w:val="24"/>
                <w:szCs w:val="24"/>
              </w:rPr>
              <w:t>签字或盖章</w:t>
            </w:r>
            <w:r>
              <w:rPr>
                <w:rFonts w:hint="eastAsia" w:ascii="宋体" w:hAnsi="宋体" w:eastAsia="宋体" w:cs="宋体"/>
                <w:color w:val="000000" w:themeColor="text1"/>
                <w:sz w:val="24"/>
                <w:szCs w:val="24"/>
                <w14:textFill>
                  <w14:solidFill>
                    <w14:schemeClr w14:val="tx1"/>
                  </w14:solidFill>
                </w14:textFill>
              </w:rPr>
              <w:t>。由委托代理人签字或盖章的在响应文件中须同时提交响应文件签署授权委托书。除</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供应商对错误处须修改外，全套响应文件应无涂改或行间插字和增删。如有修改，修改处应由</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供应商加盖单位公章或由公司法人或授权代理签字或盖章。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Word和PDF各</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96" w:firstLineChars="2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 xml:space="preserve"> 二 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 w:val="24"/>
                <w:szCs w:val="24"/>
                <w:lang w:val="en-US"/>
              </w:rPr>
            </w:pPr>
            <w:r>
              <w:rPr>
                <w:rFonts w:hint="eastAsia" w:ascii="宋体" w:hAnsi="宋体" w:eastAsia="宋体" w:cs="宋体"/>
                <w:color w:val="auto"/>
                <w:sz w:val="24"/>
                <w:szCs w:val="24"/>
              </w:rPr>
              <w:t>磋商时间：</w:t>
            </w:r>
            <w:r>
              <w:rPr>
                <w:rFonts w:hint="eastAsia" w:ascii="宋体" w:hAnsi="宋体" w:eastAsia="宋体" w:cs="宋体"/>
                <w:color w:val="auto"/>
                <w:sz w:val="24"/>
                <w:szCs w:val="24"/>
                <w:lang w:val="en-US" w:eastAsia="zh-CN"/>
              </w:rPr>
              <w:t xml:space="preserve">2024年 </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 xml:space="preserve">  月 </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 xml:space="preserve"> 日  14 时 30 分 00 秒（北京时间）</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磋商地点：递交地点：</w:t>
            </w:r>
            <w:r>
              <w:rPr>
                <w:rFonts w:hint="eastAsia" w:ascii="宋体" w:hAnsi="宋体" w:cs="宋体"/>
                <w:color w:val="auto"/>
                <w:sz w:val="24"/>
                <w:szCs w:val="24"/>
                <w:lang w:eastAsia="zh-CN"/>
              </w:rPr>
              <w:t>延安市公共资源交易中心交易</w:t>
            </w:r>
            <w:r>
              <w:rPr>
                <w:rFonts w:hint="eastAsia" w:ascii="宋体" w:hAnsi="宋体" w:cs="宋体"/>
                <w:color w:val="auto"/>
                <w:sz w:val="24"/>
                <w:szCs w:val="24"/>
                <w:lang w:val="en-US" w:eastAsia="zh-CN"/>
              </w:rPr>
              <w:t xml:space="preserve">  二 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具有独立承担民事责任能力的法人、其他组织或自然人，法人或其他组织提供营业执照（事业单位法人证书），自然人提供身份证明；</w:t>
            </w:r>
          </w:p>
          <w:p>
            <w:pPr>
              <w:numPr>
                <w:ilvl w:val="0"/>
                <w:numId w:val="0"/>
              </w:numPr>
              <w:autoSpaceDE w:val="0"/>
              <w:autoSpaceDN w:val="0"/>
              <w:adjustRightInd w:val="0"/>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1.提供营业执照、税务登记证、组织机构代码证或三证合一的营业执照（供应商无需提供营业执照年检报告，在资格审查时通过互联网或者相关信息系统查询）；</w:t>
            </w:r>
          </w:p>
          <w:p>
            <w:pPr>
              <w:numPr>
                <w:ilvl w:val="0"/>
                <w:numId w:val="0"/>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5.税收缴纳证明：自20</w:t>
            </w: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个月的纳税证明或完税证明，纳税证明或完税证明上应有代收机构或税务机关的公章。依法免税的供应商应提供相关文件证明；</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w:t>
            </w:r>
            <w:r>
              <w:rPr>
                <w:rFonts w:hint="eastAsia" w:ascii="宋体" w:hAnsi="宋体" w:cs="宋体"/>
                <w:color w:val="000000" w:themeColor="text1"/>
                <w:kern w:val="2"/>
                <w:sz w:val="24"/>
                <w:szCs w:val="24"/>
                <w:lang w:val="en-US" w:eastAsia="zh-CN" w:bidi="ar-SA"/>
                <w14:textFill>
                  <w14:solidFill>
                    <w14:schemeClr w14:val="tx1"/>
                  </w14:solidFill>
                </w14:textFill>
              </w:rPr>
              <w:t>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w:t>
            </w:r>
            <w:r>
              <w:rPr>
                <w:rFonts w:hint="eastAsia" w:ascii="宋体" w:hAnsi="宋体" w:cs="宋体"/>
                <w:color w:val="000000" w:themeColor="text1"/>
                <w:kern w:val="2"/>
                <w:sz w:val="24"/>
                <w:szCs w:val="24"/>
                <w:lang w:val="en-US" w:eastAsia="zh-CN" w:bidi="ar-SA"/>
                <w14:textFill>
                  <w14:solidFill>
                    <w14:schemeClr w14:val="tx1"/>
                  </w14:solidFill>
                </w14:textFill>
              </w:rPr>
              <w:t>磋商</w:t>
            </w: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供应商应提供相关文件证明；</w:t>
            </w:r>
          </w:p>
          <w:p>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w:t>
            </w:r>
            <w:r>
              <w:rPr>
                <w:rFonts w:hint="eastAsia" w:ascii="宋体" w:hAnsi="宋体" w:cs="宋体"/>
                <w:color w:val="000000" w:themeColor="text1"/>
                <w:kern w:val="2"/>
                <w:sz w:val="24"/>
                <w:szCs w:val="24"/>
                <w:lang w:val="en-US" w:eastAsia="zh-CN" w:bidi="ar-SA"/>
                <w14:textFill>
                  <w14:solidFill>
                    <w14:schemeClr w14:val="tx1"/>
                  </w14:solidFill>
                </w14:textFill>
              </w:rPr>
              <w:t>提供2022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w:t>
            </w:r>
            <w:r>
              <w:rPr>
                <w:rFonts w:hint="eastAsia" w:ascii="宋体" w:hAnsi="宋体" w:cs="宋体"/>
                <w:color w:val="000000" w:themeColor="text1"/>
                <w:kern w:val="2"/>
                <w:sz w:val="24"/>
                <w:szCs w:val="24"/>
                <w:lang w:val="en-US" w:eastAsia="zh-CN" w:bidi="ar-SA"/>
                <w14:textFill>
                  <w14:solidFill>
                    <w14:schemeClr w14:val="tx1"/>
                  </w14:solidFill>
                </w14:textFill>
              </w:rPr>
              <w:t>2023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8.需具备建筑工程施工总承包叁级及以上资质（含叁级），或建筑装修装饰工程专业承包贰级及以上资质（含贰级），并在人员、设备、资金等方面具有相应的施工能力，具有有效的安全生产许可证，其中拟派项目经理须具备建筑工程专业二级及以上注册建造师执业资格，具备有效的安全生产考核合格证书，且在本单位注册，未担任其他在建工程项目的项目经理；</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财政部《关于在政府采购活动中查询及使用信用记录有关问题的通知》（财库〔2016〕125号）要求，供应商不得被列入【信用中国（www.creditchina.gov.cn）】“重大税收违法案件当事人名单”，【中国执行信息公开网（http://zxgk.court.gov.cn）】“失信被执行人”，【中国政府采购网（www.ccgp.gov.cn）】“政府采购严重违法失信行为记录名单”；</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ascii="宋体" w:hAnsi="宋体"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.提供磋商保证金的银行转账或电汇凭证并确保响应文件递交截止时间前到达采购文件指定账户；</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.本项目专门面向中小企业采购（提供中小企业声明函）。</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.本项目不接受联合体磋商。</w:t>
            </w:r>
          </w:p>
          <w:p>
            <w:pPr>
              <w:autoSpaceDE w:val="0"/>
              <w:autoSpaceDN w:val="0"/>
              <w:adjustRightIn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以上资格证明文件为供应商的必备文件，开标当天，请将上述资格证明文件</w:t>
            </w:r>
            <w:r>
              <w:rPr>
                <w:rFonts w:hint="eastAsia" w:ascii="宋体" w:hAnsi="宋体" w:cs="宋体"/>
                <w:b/>
                <w:color w:val="000000" w:themeColor="text1"/>
                <w:sz w:val="24"/>
                <w:szCs w:val="24"/>
                <w:lang w:eastAsia="zh-CN"/>
                <w14:textFill>
                  <w14:solidFill>
                    <w14:schemeClr w14:val="tx1"/>
                  </w14:solidFill>
                </w14:textFill>
              </w:rPr>
              <w:t>复印件</w:t>
            </w:r>
            <w:r>
              <w:rPr>
                <w:rFonts w:hint="eastAsia" w:ascii="宋体" w:hAnsi="宋体" w:eastAsia="宋体" w:cs="宋体"/>
                <w:b/>
                <w:color w:val="000000" w:themeColor="text1"/>
                <w:sz w:val="24"/>
                <w:szCs w:val="24"/>
                <w:lang w:eastAsia="zh-CN"/>
                <w14:textFill>
                  <w14:solidFill>
                    <w14:schemeClr w14:val="tx1"/>
                  </w14:solidFill>
                </w14:textFill>
              </w:rPr>
              <w:t>胶装</w:t>
            </w:r>
            <w:r>
              <w:rPr>
                <w:rFonts w:hint="eastAsia" w:ascii="宋体" w:hAnsi="宋体" w:cs="宋体"/>
                <w:b/>
                <w:color w:val="000000" w:themeColor="text1"/>
                <w:sz w:val="24"/>
                <w:szCs w:val="24"/>
                <w:lang w:eastAsia="zh-CN"/>
                <w14:textFill>
                  <w14:solidFill>
                    <w14:schemeClr w14:val="tx1"/>
                  </w14:solidFill>
                </w14:textFill>
              </w:rPr>
              <w:t>加盖公章</w:t>
            </w:r>
            <w:r>
              <w:rPr>
                <w:rFonts w:hint="eastAsia" w:ascii="宋体" w:hAnsi="宋体" w:eastAsia="宋体" w:cs="宋体"/>
                <w:b/>
                <w:color w:val="000000" w:themeColor="text1"/>
                <w:sz w:val="24"/>
                <w:szCs w:val="24"/>
                <w:lang w:eastAsia="zh-CN"/>
                <w14:textFill>
                  <w14:solidFill>
                    <w14:schemeClr w14:val="tx1"/>
                  </w14:solidFill>
                </w14:textFill>
              </w:rPr>
              <w:t>同</w:t>
            </w:r>
            <w:r>
              <w:rPr>
                <w:rFonts w:hint="eastAsia" w:ascii="宋体" w:hAnsi="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文件一起单独密封递交（密封要求同</w:t>
            </w:r>
            <w:r>
              <w:rPr>
                <w:rFonts w:hint="eastAsia" w:ascii="宋体" w:hAnsi="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文件），以便对其</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资格进行审查。有给定格式的需按照</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文件给定格式提供，</w:t>
            </w:r>
            <w:r>
              <w:rPr>
                <w:rFonts w:hint="eastAsia" w:ascii="宋体" w:hAnsi="宋体" w:cs="宋体"/>
                <w:b/>
                <w:color w:val="000000" w:themeColor="text1"/>
                <w:sz w:val="24"/>
                <w:szCs w:val="24"/>
                <w:lang w:eastAsia="zh-CN"/>
                <w14:textFill>
                  <w14:solidFill>
                    <w14:schemeClr w14:val="tx1"/>
                  </w14:solidFill>
                </w14:textFill>
              </w:rPr>
              <w:t>未提供</w:t>
            </w:r>
            <w:r>
              <w:rPr>
                <w:rFonts w:hint="eastAsia" w:ascii="宋体" w:hAnsi="宋体" w:eastAsia="宋体" w:cs="宋体"/>
                <w:b/>
                <w:color w:val="000000" w:themeColor="text1"/>
                <w:sz w:val="24"/>
                <w:szCs w:val="24"/>
                <w:lang w:eastAsia="zh-CN"/>
                <w14:textFill>
                  <w14:solidFill>
                    <w14:schemeClr w14:val="tx1"/>
                  </w14:solidFill>
                </w14:textFill>
              </w:rPr>
              <w:t>按无效</w:t>
            </w:r>
            <w:r>
              <w:rPr>
                <w:rFonts w:hint="eastAsia" w:ascii="宋体" w:hAnsi="宋体" w:cs="宋体"/>
                <w:b/>
                <w:color w:val="000000" w:themeColor="text1"/>
                <w:sz w:val="24"/>
                <w:szCs w:val="24"/>
                <w:lang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w:t>
            </w:r>
            <w:r>
              <w:rPr>
                <w:rFonts w:hint="eastAsia" w:ascii="宋体" w:hAnsi="宋体" w:cs="宋体"/>
                <w:color w:val="000000"/>
                <w:kern w:val="0"/>
                <w:sz w:val="24"/>
                <w:szCs w:val="24"/>
                <w:lang w:eastAsia="zh-CN"/>
              </w:rPr>
              <w:t>采购人</w:t>
            </w:r>
            <w:r>
              <w:rPr>
                <w:rFonts w:hint="eastAsia" w:ascii="宋体" w:hAnsi="宋体" w:eastAsia="宋体" w:cs="宋体"/>
                <w:color w:val="000000"/>
                <w:kern w:val="0"/>
                <w:sz w:val="24"/>
                <w:szCs w:val="24"/>
                <w:lang w:eastAsia="zh-CN"/>
              </w:rPr>
              <w:t>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人；</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w:t>
            </w:r>
            <w:r>
              <w:rPr>
                <w:rFonts w:hint="eastAsia" w:ascii="宋体" w:hAnsi="宋体" w:cs="宋体"/>
                <w:color w:val="000000"/>
                <w:kern w:val="0"/>
                <w:sz w:val="24"/>
                <w:szCs w:val="24"/>
                <w:lang w:eastAsia="zh-CN"/>
              </w:rPr>
              <w:t>专</w:t>
            </w:r>
            <w:r>
              <w:rPr>
                <w:rFonts w:hint="eastAsia" w:ascii="宋体" w:hAnsi="宋体" w:eastAsia="宋体" w:cs="宋体"/>
                <w:color w:val="000000"/>
                <w:kern w:val="0"/>
                <w:sz w:val="24"/>
                <w:szCs w:val="24"/>
                <w:lang w:eastAsia="zh-CN"/>
              </w:rPr>
              <w:t>家库随机抽取</w:t>
            </w:r>
            <w:r>
              <w:rPr>
                <w:rFonts w:hint="eastAsia" w:ascii="宋体" w:hAnsi="宋体" w:eastAsia="宋体"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专门面向</w:t>
            </w:r>
            <w:r>
              <w:rPr>
                <w:rFonts w:hint="eastAsia" w:ascii="宋体" w:hAnsi="宋体" w:cs="宋体"/>
                <w:color w:val="000000" w:themeColor="text1"/>
                <w:sz w:val="24"/>
                <w:szCs w:val="24"/>
                <w:lang w:val="en-US" w:eastAsia="zh-CN"/>
                <w14:textFill>
                  <w14:solidFill>
                    <w14:schemeClr w14:val="tx1"/>
                  </w14:solidFill>
                </w14:textFill>
              </w:rPr>
              <w:t>中小</w:t>
            </w:r>
            <w:r>
              <w:rPr>
                <w:rFonts w:hint="eastAsia" w:ascii="宋体" w:hAnsi="宋体" w:eastAsia="宋体" w:cs="宋体"/>
                <w:color w:val="000000" w:themeColor="text1"/>
                <w:sz w:val="24"/>
                <w:szCs w:val="24"/>
                <w:lang w:eastAsia="zh-CN"/>
                <w14:textFill>
                  <w14:solidFill>
                    <w14:schemeClr w14:val="tx1"/>
                  </w14:solidFill>
                </w14:textFill>
              </w:rPr>
              <w:t>企业采购</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否</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采购标的所属行业</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rPr>
              <w:t>10</w:t>
            </w:r>
          </w:p>
        </w:tc>
        <w:tc>
          <w:tcPr>
            <w:tcW w:w="944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代理服务费收费标准：</w:t>
            </w:r>
            <w:r>
              <w:rPr>
                <w:rFonts w:hint="eastAsia" w:ascii="宋体" w:hAnsi="宋体" w:eastAsia="宋体" w:cs="宋体"/>
                <w:color w:val="000000" w:themeColor="text1"/>
                <w:sz w:val="24"/>
                <w:szCs w:val="24"/>
                <w14:textFill>
                  <w14:solidFill>
                    <w14:schemeClr w14:val="tx1"/>
                  </w14:solidFill>
                </w14:textFill>
              </w:rPr>
              <w:t>采购代理机构参照国家计委关于印发《招标代理服务收费管理暂行办法》计价格[2002]1980号文和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国家发展改革委关于降低部分建设项目收费标准规范收费行为等有关问题的通知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发改价格[2011]534号</w:t>
            </w:r>
            <w:r>
              <w:rPr>
                <w:rFonts w:hint="eastAsia" w:ascii="宋体" w:hAnsi="宋体" w:eastAsia="宋体" w:cs="宋体"/>
                <w:color w:val="000000" w:themeColor="text1"/>
                <w:sz w:val="24"/>
                <w:szCs w:val="24"/>
                <w:lang w:eastAsia="zh-CN"/>
                <w14:textFill>
                  <w14:solidFill>
                    <w14:schemeClr w14:val="tx1"/>
                  </w14:solidFill>
                </w14:textFill>
              </w:rPr>
              <w:t>规</w:t>
            </w:r>
            <w:r>
              <w:rPr>
                <w:rFonts w:hint="eastAsia" w:ascii="宋体" w:hAnsi="宋体" w:eastAsia="宋体" w:cs="宋体"/>
                <w:color w:val="000000" w:themeColor="text1"/>
                <w:sz w:val="24"/>
                <w:szCs w:val="24"/>
                <w14:textFill>
                  <w14:solidFill>
                    <w14:schemeClr w14:val="tx1"/>
                  </w14:solidFill>
                </w14:textFill>
              </w:rPr>
              <w:t>定标准收取代理服务费</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11" w:name="_Toc526842683"/>
      <w:bookmarkStart w:id="12" w:name="_Toc425240464"/>
      <w:bookmarkStart w:id="13" w:name="_Toc420591643"/>
      <w:bookmarkStart w:id="14" w:name="_Toc421778365"/>
      <w:bookmarkStart w:id="15" w:name="_Toc13586"/>
      <w:r>
        <w:rPr>
          <w:rFonts w:hint="eastAsia" w:ascii="宋体" w:hAnsi="宋体" w:eastAsia="宋体" w:cs="宋体"/>
          <w:b/>
          <w:color w:val="000000" w:themeColor="text1"/>
          <w:sz w:val="24"/>
          <w:szCs w:val="24"/>
          <w14:textFill>
            <w14:solidFill>
              <w14:schemeClr w14:val="tx1"/>
            </w14:solidFill>
          </w14:textFill>
        </w:rPr>
        <w:t>1．总则</w:t>
      </w:r>
      <w:bookmarkEnd w:id="11"/>
      <w:bookmarkEnd w:id="12"/>
      <w:bookmarkEnd w:id="13"/>
      <w:bookmarkEnd w:id="14"/>
      <w:bookmarkEnd w:id="15"/>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项目概况</w:t>
      </w:r>
    </w:p>
    <w:p>
      <w:pPr>
        <w:pStyle w:val="15"/>
        <w:pageBreakBefore w:val="0"/>
        <w:widowControl w:val="0"/>
        <w:kinsoku/>
        <w:wordWrap/>
        <w:overflowPunct/>
        <w:topLinePunct w:val="0"/>
        <w:autoSpaceDE/>
        <w:autoSpaceDN/>
        <w:bidi w:val="0"/>
        <w:adjustRightInd/>
        <w:spacing w:line="48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项目己具备</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条件，现对本</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项目进行竞争性磋商。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本项目采购人：见供应商须知前附表。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本项目采购代理机构：见供应商须知前附表。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本项目名称：见供应商须知前附表。</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资金来源和落实情况</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本项目的资金来源：见供应商须知前附表。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本项目的资金落实情况：见供应商须知前附表。</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磋商范围、</w:t>
      </w:r>
      <w:r>
        <w:rPr>
          <w:rFonts w:hint="eastAsia" w:ascii="宋体" w:hAnsi="宋体" w:eastAsia="宋体" w:cs="宋体"/>
          <w:b/>
          <w:color w:val="000000" w:themeColor="text1"/>
          <w:sz w:val="24"/>
          <w:szCs w:val="24"/>
          <w:lang w:eastAsia="zh-CN"/>
          <w14:textFill>
            <w14:solidFill>
              <w14:schemeClr w14:val="tx1"/>
            </w14:solidFill>
          </w14:textFill>
        </w:rPr>
        <w:t>工期、质保期</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1.3.1 本次磋商范围：见供应商须知前附表。 </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本项目的</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：见供应商须知前附表。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本项目的</w:t>
      </w:r>
      <w:r>
        <w:rPr>
          <w:rFonts w:hint="eastAsia" w:ascii="宋体" w:hAnsi="宋体" w:eastAsia="宋体" w:cs="宋体"/>
          <w:color w:val="000000" w:themeColor="text1"/>
          <w:sz w:val="24"/>
          <w:szCs w:val="24"/>
          <w:lang w:eastAsia="zh-CN"/>
          <w14:textFill>
            <w14:solidFill>
              <w14:schemeClr w14:val="tx1"/>
            </w14:solidFill>
          </w14:textFill>
        </w:rPr>
        <w:t>质保期</w:t>
      </w:r>
      <w:r>
        <w:rPr>
          <w:rFonts w:hint="eastAsia" w:ascii="宋体" w:hAnsi="宋体" w:eastAsia="宋体" w:cs="宋体"/>
          <w:color w:val="000000" w:themeColor="text1"/>
          <w:sz w:val="24"/>
          <w:szCs w:val="24"/>
          <w14:textFill>
            <w14:solidFill>
              <w14:schemeClr w14:val="tx1"/>
            </w14:solidFill>
          </w14:textFill>
        </w:rPr>
        <w:t>：见供应商须知前附表。</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供应商资格要求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供应商应具备承担本项目</w:t>
      </w:r>
      <w:r>
        <w:rPr>
          <w:rFonts w:hint="eastAsia" w:ascii="宋体" w:hAnsi="宋体" w:eastAsia="宋体" w:cs="宋体"/>
          <w:color w:val="000000" w:themeColor="text1"/>
          <w:sz w:val="24"/>
          <w:szCs w:val="24"/>
          <w:lang w:eastAsia="zh-CN"/>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的资质条件、能力和信誉。供应商应是通过投标报名并购买</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文件的单位。</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供应商须知前附表规定接受联合体</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 xml:space="preserve">的，除应符合本章第1.4.1项和供应商须知前附表的要求外，还应遵守以下规定： </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（1）联合体各方应按</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文件提供的格式签订联合体协议书，明确联合体牵头人和各方权利义务；</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（2）由同一专业的单位组成的联合体，按照资质等级较低的单位确定资质等级； </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 供应商不得存在下列情形之一：</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（1）为采购人不具有独立法人资格的附属机构（单位）；</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项目前期准备提供咨询服务的；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项目的代建人；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（5）为本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项目提供采购代理服务的；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（6）与本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项目的监理人或代建人或采购代理机构同为一个法定代表人的；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（7）与本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项目的监理人或代建人或采购代理机构相互控股或参股的；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（8）与本</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项目的监理人或代建人或采购代理机构相互任职或工作的；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（9）被责令停业的；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（10）被暂停或取消</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资格的；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（11）财产被接管或冻结的；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（12）在最近三年内有骗取中标或严重违约或重大</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质量问题的。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或者未划分标段的同一</w:t>
      </w:r>
      <w:r>
        <w:rPr>
          <w:rFonts w:hint="eastAsia" w:ascii="宋体" w:hAnsi="宋体" w:eastAsia="宋体" w:cs="宋体"/>
          <w:color w:val="000000"/>
          <w:sz w:val="24"/>
          <w:szCs w:val="24"/>
        </w:rPr>
        <w:t>采购项目</w:t>
      </w:r>
      <w:r>
        <w:rPr>
          <w:rFonts w:hint="eastAsia" w:ascii="宋体" w:hAnsi="宋体" w:eastAsia="宋体" w:cs="宋体"/>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 费用承担</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供应商准备和参加</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活动发生的费用自理。</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 保密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参与招标投标活动的各方应对磋商文件和磋商响应文件中的商业和技术等秘密保密，违者应对由此造成的后果承担法律责任。</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 语言文字</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除专用术语外，与招标投标有关的语言均使用中文。必要时专用术语应附有中文注释。</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 计量单位</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所有计量均采用中华人民共和国法定计量单位。</w:t>
      </w:r>
    </w:p>
    <w:p>
      <w:pPr>
        <w:pStyle w:val="7"/>
        <w:pageBreakBefore w:val="0"/>
        <w:widowControl w:val="0"/>
        <w:kinsoku/>
        <w:wordWrap/>
        <w:overflowPunct/>
        <w:topLinePunct w:val="0"/>
        <w:autoSpaceDE/>
        <w:autoSpaceDN/>
        <w:bidi w:val="0"/>
        <w:adjustRightInd/>
        <w:spacing w:before="0" w:after="0" w:line="48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9投标预备会：</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6" w:name="_Toc343511447"/>
      <w:r>
        <w:rPr>
          <w:rFonts w:hint="eastAsia" w:ascii="宋体" w:hAnsi="宋体" w:eastAsia="宋体" w:cs="宋体"/>
          <w:color w:val="000000" w:themeColor="text1"/>
          <w:sz w:val="24"/>
          <w:szCs w:val="24"/>
          <w14:textFill>
            <w14:solidFill>
              <w14:schemeClr w14:val="tx1"/>
            </w14:solidFill>
          </w14:textFill>
        </w:rPr>
        <w:t xml:space="preserve">1.9.1 </w:t>
      </w:r>
      <w:bookmarkEnd w:id="16"/>
      <w:r>
        <w:rPr>
          <w:rFonts w:hint="eastAsia" w:ascii="宋体" w:hAnsi="宋体" w:eastAsia="宋体" w:cs="宋体"/>
          <w:color w:val="000000" w:themeColor="text1"/>
          <w:sz w:val="24"/>
          <w:szCs w:val="24"/>
          <w14:textFill>
            <w14:solidFill>
              <w14:schemeClr w14:val="tx1"/>
            </w14:solidFill>
          </w14:textFill>
        </w:rPr>
        <w:t>供应商须知前附表规定召开投标预备会的，采购人按供应商须知前附表规定的时间和地点召开投标预备会，澄清供应商提出的问题。</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7" w:name="_Toc343511448"/>
      <w:r>
        <w:rPr>
          <w:rFonts w:hint="eastAsia" w:ascii="宋体" w:hAnsi="宋体" w:eastAsia="宋体" w:cs="宋体"/>
          <w:color w:val="000000" w:themeColor="text1"/>
          <w:sz w:val="24"/>
          <w:szCs w:val="24"/>
          <w14:textFill>
            <w14:solidFill>
              <w14:schemeClr w14:val="tx1"/>
            </w14:solidFill>
          </w14:textFill>
        </w:rPr>
        <w:t xml:space="preserve">1.9.2 </w:t>
      </w:r>
      <w:bookmarkEnd w:id="17"/>
      <w:r>
        <w:rPr>
          <w:rFonts w:hint="eastAsia" w:ascii="宋体" w:hAnsi="宋体" w:eastAsia="宋体" w:cs="宋体"/>
          <w:color w:val="000000" w:themeColor="text1"/>
          <w:sz w:val="24"/>
          <w:szCs w:val="24"/>
          <w14:textFill>
            <w14:solidFill>
              <w14:schemeClr w14:val="tx1"/>
            </w14:solidFill>
          </w14:textFill>
        </w:rPr>
        <w:t>供应商应在供应商须知前附表规定的时间前，以书面形式将提出的问题送达采购人，以便采购人在会议期间澄清。</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8" w:name="_Toc343511449"/>
      <w:r>
        <w:rPr>
          <w:rFonts w:hint="eastAsia" w:ascii="宋体" w:hAnsi="宋体" w:eastAsia="宋体" w:cs="宋体"/>
          <w:color w:val="000000" w:themeColor="text1"/>
          <w:sz w:val="24"/>
          <w:szCs w:val="24"/>
          <w14:textFill>
            <w14:solidFill>
              <w14:schemeClr w14:val="tx1"/>
            </w14:solidFill>
          </w14:textFill>
        </w:rPr>
        <w:t xml:space="preserve">1.9.3 </w:t>
      </w:r>
      <w:bookmarkEnd w:id="18"/>
      <w:r>
        <w:rPr>
          <w:rFonts w:hint="eastAsia" w:ascii="宋体" w:hAnsi="宋体" w:eastAsia="宋体" w:cs="宋体"/>
          <w:color w:val="000000" w:themeColor="text1"/>
          <w:sz w:val="24"/>
          <w:szCs w:val="24"/>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文件的供应商。该澄清内容为</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文件的组成部分。</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1.10 踏勘现场</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 投标人须知前附表规定组织踏勘现场的，采购人按投标人须知前附表规定的时间、地点组织投标人踏勘项目现场。部分投标人未按时参加踏勘现场的，不影响踏勘现场的正常进行。</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1.10.2 投标人踏勘现场发生的费用自理。</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1.10.3 除采购人的原因外，投标人自行负责在踏勘现场中所发生的人员伤亡和财产损失与采购人和招标代理机构无关。</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1.10.4 采购人在踏勘现场中介绍的项目场地和相关的周边环境情况，供投标人在编制响应文件时参考，采购人不对投标人据此作出的判断和决策负责。</w:t>
      </w:r>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19" w:name="_Toc425240465"/>
      <w:bookmarkStart w:id="20" w:name="_Toc421778366"/>
      <w:bookmarkStart w:id="21" w:name="_Toc526842684"/>
      <w:bookmarkStart w:id="22" w:name="_Toc32145"/>
      <w:bookmarkStart w:id="23" w:name="_Toc420591644"/>
      <w:r>
        <w:rPr>
          <w:rFonts w:hint="eastAsia" w:ascii="宋体" w:hAnsi="宋体" w:eastAsia="宋体" w:cs="宋体"/>
          <w:b/>
          <w:color w:val="000000" w:themeColor="text1"/>
          <w:sz w:val="24"/>
          <w:szCs w:val="24"/>
          <w14:textFill>
            <w14:solidFill>
              <w14:schemeClr w14:val="tx1"/>
            </w14:solidFill>
          </w14:textFill>
        </w:rPr>
        <w:t>2．磋商文件</w:t>
      </w:r>
      <w:bookmarkEnd w:id="19"/>
      <w:bookmarkEnd w:id="20"/>
      <w:bookmarkEnd w:id="21"/>
      <w:bookmarkEnd w:id="22"/>
      <w:bookmarkEnd w:id="23"/>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磋商文件的组成</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本磋商文件包括：</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（1）竞争性磋商公告； </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（2）供应商须知；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（3）评标办法；</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拟签订文本</w:t>
      </w:r>
      <w:r>
        <w:rPr>
          <w:rFonts w:hint="eastAsia" w:ascii="宋体" w:hAnsi="宋体" w:eastAsia="宋体" w:cs="宋体"/>
          <w:color w:val="000000"/>
          <w:sz w:val="24"/>
          <w:szCs w:val="24"/>
          <w:lang w:eastAsia="zh-CN"/>
        </w:rPr>
        <w:t>）</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工程量清单</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（6）磋商响应文件格式；</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（7）供应商须知前附表规定的其他材料。</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根据本章第1.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款、第2.2 款和第2.3 款对磋商文件所作的澄清、修改，构成磋商文件的组成部分。</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磋商文件的澄清</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4"/>
          <w:szCs w:val="24"/>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lang w:val="en-US" w:eastAsia="zh-CN"/>
        </w:rPr>
        <w:t>471993164@qq.com</w:t>
      </w:r>
      <w:r>
        <w:rPr>
          <w:rFonts w:hint="eastAsia" w:ascii="宋体" w:hAnsi="宋体" w:eastAsia="宋体" w:cs="宋体"/>
          <w:color w:val="00000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，要求采购人对磋商文件予以澄清。</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供应商在收到澄清后，应在供应商须知前附表规定的时间内以书面形式通知采购人，确认己收到该澄清。</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2.3 磋商文件的修改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5" w:name="_Toc420591645"/>
      <w:r>
        <w:rPr>
          <w:rFonts w:hint="eastAsia" w:ascii="宋体" w:hAnsi="宋体" w:eastAsia="宋体" w:cs="宋体"/>
          <w:color w:val="000000" w:themeColor="text1"/>
          <w:sz w:val="24"/>
          <w:szCs w:val="24"/>
          <w14:textFill>
            <w14:solidFill>
              <w14:schemeClr w14:val="tx1"/>
            </w14:solidFill>
          </w14:textFill>
        </w:rPr>
        <w:t>2.3.2 供应商收到修改内容后，应在供应商须知前附表规定的时间内以书面形式通知采购人，确认己收到该修改。</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26" w:name="_Hlk525808648"/>
      <w:r>
        <w:rPr>
          <w:rFonts w:hint="eastAsia" w:ascii="宋体" w:hAnsi="宋体" w:eastAsia="宋体" w:cs="宋体"/>
          <w:b/>
          <w:color w:val="000000" w:themeColor="text1"/>
          <w:sz w:val="24"/>
          <w:szCs w:val="24"/>
          <w14:textFill>
            <w14:solidFill>
              <w14:schemeClr w14:val="tx1"/>
            </w14:solidFill>
          </w14:textFill>
        </w:rPr>
        <w:t>2.4澄清或者修改有关法律条文</w:t>
      </w:r>
    </w:p>
    <w:bookmarkEnd w:id="26"/>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27" w:name="_Hlk525809582"/>
      <w:r>
        <w:rPr>
          <w:rFonts w:hint="eastAsia" w:ascii="宋体" w:hAnsi="宋体" w:eastAsia="宋体" w:cs="宋体"/>
          <w:b/>
          <w:color w:val="000000" w:themeColor="text1"/>
          <w:sz w:val="24"/>
          <w:szCs w:val="24"/>
          <w14:textFill>
            <w14:solidFill>
              <w14:schemeClr w14:val="tx1"/>
            </w14:solidFill>
          </w14:textFill>
        </w:rPr>
        <w:t>2.4.1 中华人民共和国财政部令第87号--政府采购货物和服务招标投标管理办法</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第二十七条 采购人或者采购代理机构可以对已发出的</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文件、资格预审文件、投标邀请书进行必要的澄清或者修改，但不得改变采购标的和资格条件。澄清或者修改应当在原公告发布媒体上发布澄清公告。澄清或者修改的内容为</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、资格预审文件、投标邀请书的组成部分。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澄清或者修改的内容可能影响</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编制的，采购人或者采购代理机构应当在投标截止时间至少15日前，以书面形式通知所有获取</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的潜在投标人；不足15日的，采购人或者采购代理机构应当顺延提交</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的截止时间。</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bookmarkEnd w:id="27"/>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2.4.2 关于做好政府采购信息公开工作的通知--财库[2015]135号</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6.更正事项。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采购人或者采购代理机构对已发出的</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名称及首次公告日期，更正事项、内容及日期，</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联系人和电话。</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澄清或者修改的内容可能影响</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日前、提交资格预审申请文件截止时间至少</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日前，或者提交首次响应文件截止之日</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个工作日前；不足上述时间的，应当顺延提交</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、资格预审申请文件或响应文件的截止时间。</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2.4.3财政部关于印发《政府采购竞争性磋商采购方式管理暂行办法》的通知--财库〔2014〕214号</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第十条 从磋商文件发出之日起至供应商提交首次响应文件截止之日止不得少于10日。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28" w:name="_Toc421778367"/>
      <w:bookmarkStart w:id="29" w:name="_Toc27230"/>
      <w:bookmarkStart w:id="30" w:name="_Toc425240466"/>
      <w:bookmarkStart w:id="31" w:name="_Toc526842685"/>
      <w:r>
        <w:rPr>
          <w:rFonts w:hint="eastAsia" w:ascii="宋体" w:hAnsi="宋体" w:eastAsia="宋体" w:cs="宋体"/>
          <w:b/>
          <w:color w:val="000000" w:themeColor="text1"/>
          <w:sz w:val="24"/>
          <w:szCs w:val="24"/>
          <w14:textFill>
            <w14:solidFill>
              <w14:schemeClr w14:val="tx1"/>
            </w14:solidFill>
          </w14:textFill>
        </w:rPr>
        <w:t>3．磋商响应文件</w:t>
      </w:r>
      <w:bookmarkEnd w:id="25"/>
      <w:bookmarkEnd w:id="28"/>
      <w:bookmarkEnd w:id="29"/>
      <w:bookmarkEnd w:id="30"/>
      <w:bookmarkEnd w:id="31"/>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 磋商响应文件的组成</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磋商响应文件应包括下列内容：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函</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已标价工程量清单</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3）法定代表人身份证明</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4）法定代表人授权委托书</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）技术方案</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）商务方案</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）陕西省政府采购供应商拒绝政府采购领域商业贿赂承诺书</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）资格审查资料</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）其它资料</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3.1.2本次</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，任何不完全的</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将按无效</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3.2 磋商报价</w:t>
      </w:r>
    </w:p>
    <w:p>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3.2.2所有根据合同或其它原因应由磋商单位支付的税款和其它应交纳的费用都要包括在磋商单位提交的磋商报价中。</w:t>
      </w:r>
    </w:p>
    <w:p>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3.2.5凡因对磋商文件阅读不深、理解不透、误解、疏漏或因对市场行情了解不清而造成的后果和风险均由磋商单位自负。</w:t>
      </w:r>
    </w:p>
    <w:p>
      <w:pPr>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3.2.6供应商应对此项目进行全面响应，不得将其中所列的所有货物内容拆开报价。</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3.2.7凡本磋商文件要求（或允许）及供应商认为需要进行</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的各项费用项目（不论是否要求进入报价），若</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时未报或未在磋商响应文件中予以说明，采购人将认为这些费用供应商已计取，并包含在总报价中（项目内容、项目量调整除外）。</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3.2.8供应商不得以低于成本的报价参加</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3.2.9第二次报价。</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进入评审阶段，磋商小组与供应商磋商后，各有效供应商进行第二次报价。此报价作为最终报价评定的依据。</w:t>
      </w:r>
      <w:r>
        <w:rPr>
          <w:rFonts w:hint="eastAsia" w:ascii="宋体" w:hAnsi="宋体" w:eastAsia="宋体" w:cs="宋体"/>
          <w:color w:val="000000"/>
          <w:sz w:val="24"/>
          <w:szCs w:val="24"/>
          <w:lang w:val="en-US" w:eastAsia="zh-CN"/>
        </w:rPr>
        <w:t>以二次报价为最终成交价（二次报价单由代理公司提供）。</w:t>
      </w:r>
      <w:r>
        <w:rPr>
          <w:rFonts w:hint="eastAsia" w:ascii="宋体" w:hAnsi="宋体" w:eastAsia="宋体" w:cs="宋体"/>
          <w:color w:val="000000"/>
          <w:sz w:val="24"/>
          <w:szCs w:val="24"/>
        </w:rPr>
        <w:t xml:space="preserve"> </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3.2.10最低磋商报价不作为成交的唯一条件，须经磋商报价、技术部分、商务部分等综合评定。</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 投标有效期</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在供应商须知前附表规定的投标有效期内，供应商不得要求撤销或修改其磋商响应文件。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3.4 磋商保证金</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2" w:name="_Toc343511515"/>
      <w:bookmarkStart w:id="33" w:name="_Hlk522170699"/>
      <w:r>
        <w:rPr>
          <w:rFonts w:hint="eastAsia" w:ascii="宋体" w:hAnsi="宋体" w:eastAsia="宋体" w:cs="宋体"/>
          <w:sz w:val="24"/>
          <w:szCs w:val="24"/>
        </w:rPr>
        <w:t>3.4.1 供应商在递交磋商响应文件的同时，应按供应商须知前附表规定的金额、担保形式</w:t>
      </w:r>
      <w:r>
        <w:rPr>
          <w:rFonts w:hint="eastAsia" w:ascii="宋体" w:hAnsi="宋体" w:eastAsia="宋体" w:cs="宋体"/>
          <w:sz w:val="24"/>
          <w:szCs w:val="24"/>
          <w:lang w:eastAsia="zh-CN"/>
        </w:rPr>
        <w:t>缴纳磋商保证金，</w:t>
      </w:r>
      <w:r>
        <w:rPr>
          <w:rFonts w:hint="eastAsia" w:ascii="宋体" w:hAnsi="宋体" w:eastAsia="宋体" w:cs="宋体"/>
          <w:sz w:val="24"/>
          <w:szCs w:val="24"/>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4"/>
          <w:szCs w:val="24"/>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 供应商不按本章第3.4.1项要求提交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保证金的，其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作废标处理。</w:t>
      </w:r>
    </w:p>
    <w:bookmarkEnd w:id="32"/>
    <w:bookmarkEnd w:id="33"/>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4" w:name="_Toc343511517"/>
      <w:r>
        <w:rPr>
          <w:rFonts w:hint="eastAsia" w:ascii="宋体" w:hAnsi="宋体" w:eastAsia="宋体" w:cs="宋体"/>
          <w:color w:val="000000" w:themeColor="text1"/>
          <w:sz w:val="24"/>
          <w:szCs w:val="24"/>
          <w14:textFill>
            <w14:solidFill>
              <w14:schemeClr w14:val="tx1"/>
            </w14:solidFill>
          </w14:textFill>
        </w:rPr>
        <w:t>3.4.3</w:t>
      </w:r>
      <w:bookmarkEnd w:id="34"/>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要求供应商提交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保证金的，</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保证金不得超过</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预算金额的2%。</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要求提交</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的，投标无效。</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采购代理机构应当自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通知书发出之日起5个工作日内退还未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供应商的</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保证金，向未</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的供应商扣除银行交易手续费后退还</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保证金及银行同期存款利息。自政府采购合同签订之日起5个工作日内退还</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供应商的</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保证金向</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供应商扣除银行交易手续费后退还</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保证金及银行同期存款利息。</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3.4.4采购人在</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中要求供应商提交</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不得超过</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项目估算价的2%。</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有效期应当与投标有效期一致。</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依法必须进行</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的项目的境内投标单位，以现金或者支票形式提交的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应当从其基本账户转出。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采购人不得挪用</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3.4.5采购人终止</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的潜在供应商。已经发售资格预审文件、</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或者已经收取</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的，采购人应当及时退还所收取的资格预审文件、</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的费用，以及所收取的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及银行同期存款利息。</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3.4.6供应商撤回已提交的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的，应当自收到供应商书面撤回通知之日起5日内退还。</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投标截止后供应商撤销</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的，采购人可以不退还</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3.4.7</w:t>
      </w:r>
      <w:r>
        <w:rPr>
          <w:rFonts w:hint="eastAsia" w:ascii="宋体" w:hAnsi="宋体" w:eastAsia="宋体" w:cs="宋体"/>
          <w:color w:val="000000"/>
          <w:sz w:val="24"/>
          <w:szCs w:val="24"/>
        </w:rPr>
        <w:t>采购人和</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人应当依照采购投标法和本条例的规定签订书面合同，合同的标的、价款、质量、履行期限等主要条款应当与采购文件和</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人的响应文件的内容一致。采购人和</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人不得再行订立背离合同实质性内容的其他协议。</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3.4.8</w:t>
      </w:r>
      <w:bookmarkStart w:id="35" w:name="_Toc343511518"/>
      <w:bookmarkStart w:id="36" w:name="_Hlk522172384"/>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4"/>
          <w:szCs w:val="24"/>
          <w:lang w:eastAsia="zh-CN"/>
        </w:rPr>
        <w:t>磋商保证金</w:t>
      </w:r>
      <w:r>
        <w:rPr>
          <w:rFonts w:hint="eastAsia" w:ascii="宋体" w:hAnsi="宋体" w:eastAsia="宋体" w:cs="宋体"/>
          <w:color w:val="000000"/>
          <w:sz w:val="24"/>
          <w:szCs w:val="24"/>
        </w:rPr>
        <w:t>不予退还。对依法必须进行采购的项目的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人，由有关行政监督部门责令改正，可以处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项目金额10‰以下的罚款。</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3.4.9有下列情形之一的，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将不予退还</w:t>
      </w:r>
      <w:bookmarkEnd w:id="3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公司有权扣留其</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，以弥补采购人损失。</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7" w:name="_Hlk522172370"/>
      <w:r>
        <w:rPr>
          <w:rFonts w:hint="eastAsia" w:ascii="宋体" w:hAnsi="宋体" w:eastAsia="宋体" w:cs="宋体"/>
          <w:color w:val="000000" w:themeColor="text1"/>
          <w:sz w:val="24"/>
          <w:szCs w:val="24"/>
          <w14:textFill>
            <w14:solidFill>
              <w14:schemeClr w14:val="tx1"/>
            </w14:solidFill>
          </w14:textFill>
        </w:rPr>
        <w:t>（1）供应商在规定的投标有效期内撤销或修改其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（2）中标人在收到</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通知书后，无正当理由拒签合同协议书或未按</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规定提交履约担保。</w:t>
      </w:r>
    </w:p>
    <w:bookmarkEnd w:id="36"/>
    <w:bookmarkEnd w:id="37"/>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（3）供应商与采购人、其他供应商或者采购代理机构恶意串通的。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（4）供应商中标后无正当理由放弃中标的</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（5）供应商中标后未能按规定交纳</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代理服务费。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（6）供应商中标后将中标项目转让给他人，或者在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中未说明，且未经采购人同意，将中标项目分包给他人的。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中提供伪造、套改、虚假资料参加投标的。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（8）供应商不按法定程序进行质疑和投诉,捏造事实，查无实据，造成恶劣影响，导致采购活动无法正常进行的。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规定的其他情形。</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3.5 资格审查内容</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具有独立承担民事责任能力的法人、其他组织或自然人，法人或其他组织提供营业执照（事业单位法人证书），自然人提供身份证明；</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提供营业执照、税务登记证、组织机构代码证或三证合一的营业执照（供应商无需提供营业执照年检报告，在资格审查时通过互联网或者相关信息系统查询）；</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2.银行开户许可证或开户行基本信息； </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.法定代表人授权委托书及被授权人身份证（法定代表人直接参加时，只须出示法定代表人身份证）； </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.提供参加政府采购活动前3年内经营活动中没有重大违法记录声明； </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5.税收缴纳证明：自2023年</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月1日以来已缴纳的至少一个月的纳税证明或完税证明，纳税证明或完税证明上应有代收机构或税务机关的公章。依法免税的供应商应提供相关文件证明；</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6.社会保障资金缴纳证明：自2023年</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月1日以来至少一个月的已缴存的社会保障资金缴存单据或社保机构开具的社会保险参保缴费情况证明。依法不需要缴纳社会保障资金的磋商供应商应提供相关文件证明；</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7.财务状况报告：提供202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或202</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需具备建筑工程施工总承包叁级及以上资质（含叁级），或建筑装修装饰工程专业承包贰级及以上资质（含贰级），并在人员、设备、资金等方面具有相应的施工能力，具有有效的安全生产许可证，其中拟派项目经理须具备建筑工程专业二级及以上注册建造师执业资格，具备有效的安全生产考核合格证书，且在本单位注册，未担任其他在建工程项目的项目经理；</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根据财政部《关于在政府采购活动中查询及使用信用记录有关问题的通知》（财库〔2016〕125号）要求，供应商不得被列入【信用中国（www.creditchina.gov.cn）】“重大税收违法案件当事人名单”，【中国执行信息公开网（http://zxgk.court.gov.cn）】“失信被执行人”，【中国政府采购网（www.ccgp.gov.cn）】“政府采购严重违法失信行为记录名单”；</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.提供磋商保证金的银行转账或电汇凭证并确保响应文件递交截止时间前到达采购文件指定账户；</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.本项目专门面向中小企业采购（提供中小企业声明函）。</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.本项目不接受联合体磋商。</w:t>
      </w:r>
    </w:p>
    <w:p>
      <w:pPr>
        <w:pStyle w:val="17"/>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sz w:val="24"/>
          <w:szCs w:val="24"/>
          <w:highlight w:val="none"/>
          <w:lang w:eastAsia="zh-CN"/>
        </w:rPr>
        <w:t>以上资格证明文件为供应商的必备文件，开标当天，请将上述资格证明文件胶装同</w:t>
      </w:r>
      <w:r>
        <w:rPr>
          <w:rFonts w:hint="eastAsia" w:ascii="宋体" w:hAnsi="宋体" w:eastAsia="宋体" w:cs="宋体"/>
          <w:b/>
          <w:color w:val="000000"/>
          <w:sz w:val="24"/>
          <w:szCs w:val="24"/>
          <w:highlight w:val="none"/>
          <w:lang w:val="en-US" w:eastAsia="zh-CN"/>
        </w:rPr>
        <w:t>响应</w:t>
      </w:r>
      <w:r>
        <w:rPr>
          <w:rFonts w:hint="eastAsia" w:ascii="宋体" w:hAnsi="宋体" w:eastAsia="宋体" w:cs="宋体"/>
          <w:b/>
          <w:color w:val="000000"/>
          <w:sz w:val="24"/>
          <w:szCs w:val="24"/>
          <w:highlight w:val="none"/>
          <w:lang w:eastAsia="zh-CN"/>
        </w:rPr>
        <w:t>文件一起单独密封递交（密封要求同</w:t>
      </w:r>
      <w:r>
        <w:rPr>
          <w:rFonts w:hint="eastAsia" w:ascii="宋体" w:hAnsi="宋体" w:eastAsia="宋体" w:cs="宋体"/>
          <w:b/>
          <w:color w:val="000000"/>
          <w:sz w:val="24"/>
          <w:szCs w:val="24"/>
          <w:highlight w:val="none"/>
          <w:lang w:val="en-US" w:eastAsia="zh-CN"/>
        </w:rPr>
        <w:t>响应</w:t>
      </w:r>
      <w:r>
        <w:rPr>
          <w:rFonts w:hint="eastAsia" w:ascii="宋体" w:hAnsi="宋体" w:eastAsia="宋体" w:cs="宋体"/>
          <w:b/>
          <w:color w:val="000000"/>
          <w:sz w:val="24"/>
          <w:szCs w:val="24"/>
          <w:highlight w:val="none"/>
          <w:lang w:eastAsia="zh-CN"/>
        </w:rPr>
        <w:t>文件），以便对其磋商资格进行审查。有给定格式的需按照</w:t>
      </w:r>
      <w:r>
        <w:rPr>
          <w:rFonts w:hint="eastAsia" w:ascii="宋体" w:hAnsi="宋体" w:eastAsia="宋体" w:cs="宋体"/>
          <w:b/>
          <w:color w:val="000000"/>
          <w:sz w:val="24"/>
          <w:szCs w:val="24"/>
          <w:highlight w:val="none"/>
          <w:lang w:val="en-US" w:eastAsia="zh-CN"/>
        </w:rPr>
        <w:t>磋商</w:t>
      </w:r>
      <w:r>
        <w:rPr>
          <w:rFonts w:hint="eastAsia" w:ascii="宋体" w:hAnsi="宋体" w:eastAsia="宋体" w:cs="宋体"/>
          <w:b/>
          <w:color w:val="000000"/>
          <w:sz w:val="24"/>
          <w:szCs w:val="24"/>
          <w:highlight w:val="none"/>
          <w:lang w:eastAsia="zh-CN"/>
        </w:rPr>
        <w:t>文件给定格式提供，若供应商资格证明文件不符合审查要求，将按无效处理</w:t>
      </w:r>
      <w:r>
        <w:rPr>
          <w:rFonts w:hint="eastAsia" w:ascii="宋体" w:hAnsi="宋体" w:eastAsia="宋体" w:cs="宋体"/>
          <w:b/>
          <w:color w:val="000000"/>
          <w:sz w:val="24"/>
          <w:szCs w:val="24"/>
          <w:highlight w:val="none"/>
        </w:rPr>
        <w:t>。</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3.6 备选投标方案</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除供应商须知前附表另有规定外，供应商不得递交备选投标方案。</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3.7 磋商响应文件的编制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3.7.1 磋商响应文件应按第六章“磋商响应文件格式”进行编写，如有必要，可以增加附页，作为磋商响应文件的组成部分。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3.7.2 磋商响应文件应当对磋商文件有关</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、投标有效期、技术标准和要求、磋商范围等实质性内容作出响应。</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 磋商响应文件应尽量避免涂改、行间插字或删除。如果出现上述情况，改动之处应加盖供应商单位公章。</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_Hlk525815536"/>
      <w:r>
        <w:rPr>
          <w:rFonts w:hint="eastAsia" w:ascii="宋体" w:hAnsi="宋体" w:eastAsia="宋体" w:cs="宋体"/>
          <w:color w:val="000000" w:themeColor="text1"/>
          <w:sz w:val="24"/>
          <w:szCs w:val="24"/>
          <w14:textFill>
            <w14:solidFill>
              <w14:schemeClr w14:val="tx1"/>
            </w14:solidFill>
          </w14:textFill>
        </w:rPr>
        <w:t>3.7.5磋商响应文件的正本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资格证明文件</w:t>
      </w:r>
      <w:r>
        <w:rPr>
          <w:rFonts w:hint="eastAsia" w:ascii="宋体" w:hAnsi="宋体" w:eastAsia="宋体" w:cs="宋体"/>
          <w:color w:val="000000" w:themeColor="text1"/>
          <w:sz w:val="24"/>
          <w:szCs w:val="24"/>
          <w14:textFill>
            <w14:solidFill>
              <w14:schemeClr w14:val="tx1"/>
            </w14:solidFill>
          </w14:textFill>
        </w:rPr>
        <w:t>和所有的副本必须全部打印装订成册，并编制目录，统一装订、编码，必须在每一页的下方清楚标明。</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3.7.6磋商响应文件的正本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资格证明文件</w:t>
      </w:r>
      <w:r>
        <w:rPr>
          <w:rFonts w:hint="eastAsia" w:ascii="宋体" w:hAnsi="宋体" w:eastAsia="宋体" w:cs="宋体"/>
          <w:color w:val="000000" w:themeColor="text1"/>
          <w:sz w:val="24"/>
          <w:szCs w:val="24"/>
          <w14:textFill>
            <w14:solidFill>
              <w14:schemeClr w14:val="tx1"/>
            </w14:solidFill>
          </w14:textFill>
        </w:rPr>
        <w:t>和所有的副本必须逐页加盖供应商单位公章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未按本章第3.7.1项至第3.7.</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项规定，出现任何一项未按要求编制的磋商响应文件，采购人（或采购代理机构）不予受理，磋商响应文件按无效文件处理。</w:t>
      </w:r>
    </w:p>
    <w:bookmarkEnd w:id="38"/>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39" w:name="_Toc425240467"/>
      <w:bookmarkStart w:id="40" w:name="_Toc20940"/>
      <w:bookmarkStart w:id="41" w:name="_Toc421778368"/>
      <w:bookmarkStart w:id="42" w:name="_Toc420591646"/>
      <w:bookmarkStart w:id="43" w:name="_Toc526842686"/>
      <w:r>
        <w:rPr>
          <w:rFonts w:hint="eastAsia" w:ascii="宋体" w:hAnsi="宋体" w:eastAsia="宋体" w:cs="宋体"/>
          <w:b/>
          <w:color w:val="000000" w:themeColor="text1"/>
          <w:sz w:val="24"/>
          <w:szCs w:val="24"/>
          <w14:textFill>
            <w14:solidFill>
              <w14:schemeClr w14:val="tx1"/>
            </w14:solidFill>
          </w14:textFill>
        </w:rPr>
        <w:t>4．投标</w:t>
      </w:r>
      <w:bookmarkEnd w:id="39"/>
      <w:bookmarkEnd w:id="40"/>
      <w:bookmarkEnd w:id="41"/>
      <w:bookmarkEnd w:id="42"/>
      <w:bookmarkEnd w:id="43"/>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4.1 磋商响应文件的密封和标记</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w:t>
      </w:r>
      <w:bookmarkStart w:id="44" w:name="_Hlk518638585"/>
      <w:r>
        <w:rPr>
          <w:rFonts w:hint="eastAsia" w:ascii="宋体" w:hAnsi="宋体" w:eastAsia="宋体" w:cs="宋体"/>
          <w:b w:val="0"/>
          <w:bCs/>
          <w:color w:val="000000"/>
          <w:sz w:val="24"/>
          <w:szCs w:val="24"/>
        </w:rPr>
        <w:t>磋商响应文件</w:t>
      </w:r>
      <w:bookmarkEnd w:id="44"/>
      <w:r>
        <w:rPr>
          <w:rFonts w:hint="eastAsia" w:ascii="宋体" w:hAnsi="宋体" w:eastAsia="宋体" w:cs="宋体"/>
          <w:b w:val="0"/>
          <w:bCs/>
          <w:color w:val="000000"/>
          <w:sz w:val="24"/>
          <w:szCs w:val="24"/>
        </w:rPr>
        <w:t>的正本须单独包装</w:t>
      </w:r>
      <w:r>
        <w:rPr>
          <w:rFonts w:hint="eastAsia" w:ascii="宋体" w:hAnsi="宋体" w:eastAsia="宋体" w:cs="宋体"/>
          <w:b w:val="0"/>
          <w:bCs/>
          <w:color w:val="000000"/>
          <w:sz w:val="24"/>
          <w:szCs w:val="24"/>
          <w:lang w:eastAsia="zh-CN"/>
        </w:rPr>
        <w:t>在</w:t>
      </w:r>
      <w:r>
        <w:rPr>
          <w:rFonts w:hint="eastAsia" w:ascii="宋体" w:hAnsi="宋体" w:eastAsia="宋体" w:cs="宋体"/>
          <w:b w:val="0"/>
          <w:bCs/>
          <w:color w:val="000000"/>
          <w:sz w:val="24"/>
          <w:szCs w:val="24"/>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sz w:val="24"/>
          <w:szCs w:val="24"/>
          <w:lang w:eastAsia="zh-CN"/>
        </w:rPr>
        <w:t>签字或盖章和其委托代理人签字或盖章</w:t>
      </w:r>
      <w:r>
        <w:rPr>
          <w:rFonts w:hint="eastAsia" w:ascii="宋体" w:hAnsi="宋体" w:eastAsia="宋体" w:cs="宋体"/>
          <w:b w:val="0"/>
          <w:bCs/>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 磋商响应</w:t>
      </w:r>
      <w:bookmarkStart w:id="45" w:name="_Hlk518638885"/>
      <w:r>
        <w:rPr>
          <w:rFonts w:hint="eastAsia" w:ascii="宋体" w:hAnsi="宋体" w:eastAsia="宋体" w:cs="宋体"/>
          <w:color w:val="000000" w:themeColor="text1"/>
          <w:sz w:val="24"/>
          <w:szCs w:val="24"/>
          <w14:textFill>
            <w14:solidFill>
              <w14:schemeClr w14:val="tx1"/>
            </w14:solidFill>
          </w14:textFill>
        </w:rPr>
        <w:t>文件的封套上应清楚地标记“正本”、“副本”字样，资格证明文件的封套上应清楚地标记 “资格证明文件”字样</w:t>
      </w:r>
      <w:bookmarkEnd w:id="45"/>
      <w:r>
        <w:rPr>
          <w:rFonts w:hint="eastAsia" w:ascii="宋体" w:hAnsi="宋体" w:eastAsia="宋体" w:cs="宋体"/>
          <w:color w:val="000000" w:themeColor="text1"/>
          <w:sz w:val="24"/>
          <w:szCs w:val="24"/>
          <w14:textFill>
            <w14:solidFill>
              <w14:schemeClr w14:val="tx1"/>
            </w14:solidFill>
          </w14:textFill>
        </w:rPr>
        <w:t>，其他内容见供应商须知前附表。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4.1.3未按本章第4.1.1项至第4.1.2项规定，出现任何一项未按要求编制的磋商响应文件，采购人（或采购代理机构）不予受理，磋商响应文件按无效文件处理。</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4.2 磋商响应文件的递交</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000000"/>
          <w:sz w:val="24"/>
          <w:szCs w:val="24"/>
        </w:rPr>
        <w:t>4.2.1 供应商应在供应商须知前附表第4.2.2 项规定的提交首次响应文件截止之日前递交磋商响应文件。</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4.2.2 供应商递交磋商响应文件的地点：见供应商须知前附表。</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4.2.3 除供应商须知前附表另有规定外，供应商所递交的磋商响应文件不予退还。</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4.2.4 </w:t>
      </w:r>
      <w:bookmarkStart w:id="46" w:name="_Hlk522174718"/>
      <w:r>
        <w:rPr>
          <w:rFonts w:hint="eastAsia" w:ascii="宋体" w:hAnsi="宋体" w:eastAsia="宋体" w:cs="宋体"/>
          <w:color w:val="000000"/>
          <w:sz w:val="24"/>
          <w:szCs w:val="24"/>
        </w:rPr>
        <w:t>采购人收到磋商响应文件后，供应商须登记填写《磋商响应文件递交登记表》。</w:t>
      </w:r>
    </w:p>
    <w:bookmarkEnd w:id="46"/>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4.2.5逾期送达的或者未送达指定地点的磋商响应文件，采购人不予受理。</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4.2.6每家单位只允许提交壹套《磋商响应文件》。否则，采购人有权取消其</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资格。</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4.3 磋商响应文件的修改与撤回</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4.3.1 在供应商须知前附表第4.2.2 项规定的提交首次响应文件截止之日前，供应商可以修改或撤回已递交的磋商响应文件，但应以书面形式通知采购人。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w:t>
      </w:r>
      <w:r>
        <w:rPr>
          <w:rFonts w:hint="eastAsia" w:ascii="宋体" w:hAnsi="宋体" w:eastAsia="宋体" w:cs="宋体"/>
          <w:color w:val="000000"/>
          <w:sz w:val="24"/>
          <w:szCs w:val="24"/>
        </w:rPr>
        <w:t>递交登记表</w:t>
      </w:r>
      <w:r>
        <w:rPr>
          <w:rFonts w:hint="eastAsia" w:ascii="宋体" w:hAnsi="宋体" w:eastAsia="宋体" w:cs="宋体"/>
          <w:color w:val="000000" w:themeColor="text1"/>
          <w:sz w:val="24"/>
          <w:szCs w:val="24"/>
          <w14:textFill>
            <w14:solidFill>
              <w14:schemeClr w14:val="tx1"/>
            </w14:solidFill>
          </w14:textFill>
        </w:rPr>
        <w:t>》“备注”栏注明，此《磋商响应文件递交登记表》作为向供应商出具的签收凭证存根。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4.3.3 修改的内容为磋商响应文件的组成部分。修改的磋商响应文件应按照本章第3条、第4条规定进行编制、密封、标记和递交，并标明“修改”字样。</w:t>
      </w:r>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47" w:name="_Toc526842687"/>
      <w:bookmarkStart w:id="48" w:name="_Toc421778369"/>
      <w:bookmarkStart w:id="49" w:name="_Toc420591647"/>
      <w:bookmarkStart w:id="50" w:name="_Toc425240468"/>
      <w:bookmarkStart w:id="51" w:name="_Toc20463"/>
      <w:r>
        <w:rPr>
          <w:rFonts w:hint="eastAsia" w:ascii="宋体" w:hAnsi="宋体" w:eastAsia="宋体" w:cs="宋体"/>
          <w:b/>
          <w:color w:val="000000" w:themeColor="text1"/>
          <w:sz w:val="24"/>
          <w:szCs w:val="24"/>
          <w14:textFill>
            <w14:solidFill>
              <w14:schemeClr w14:val="tx1"/>
            </w14:solidFill>
          </w14:textFill>
        </w:rPr>
        <w:t>5．磋商</w:t>
      </w:r>
      <w:bookmarkEnd w:id="47"/>
      <w:bookmarkEnd w:id="48"/>
      <w:bookmarkEnd w:id="49"/>
      <w:bookmarkEnd w:id="50"/>
      <w:bookmarkEnd w:id="51"/>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5.1 磋商时间和地点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2" w:name="_Hlk522256941"/>
      <w:r>
        <w:rPr>
          <w:rFonts w:hint="eastAsia" w:ascii="宋体" w:hAnsi="宋体" w:eastAsia="宋体" w:cs="宋体"/>
          <w:color w:val="000000" w:themeColor="text1"/>
          <w:sz w:val="24"/>
          <w:szCs w:val="24"/>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w:t>
      </w:r>
      <w:r>
        <w:rPr>
          <w:rFonts w:hint="eastAsia" w:ascii="宋体" w:hAnsi="宋体" w:eastAsia="宋体" w:cs="宋体"/>
          <w:color w:val="000000" w:themeColor="text1"/>
          <w:sz w:val="24"/>
          <w:szCs w:val="24"/>
          <w:lang w:eastAsia="zh-CN"/>
          <w14:textFill>
            <w14:solidFill>
              <w14:schemeClr w14:val="tx1"/>
            </w14:solidFill>
          </w14:textFill>
        </w:rPr>
        <w:t>磋商供应商</w:t>
      </w:r>
      <w:r>
        <w:rPr>
          <w:rFonts w:hint="eastAsia" w:ascii="宋体" w:hAnsi="宋体" w:eastAsia="宋体" w:cs="宋体"/>
          <w:color w:val="000000" w:themeColor="text1"/>
          <w:sz w:val="24"/>
          <w:szCs w:val="24"/>
          <w14:textFill>
            <w14:solidFill>
              <w14:schemeClr w14:val="tx1"/>
            </w14:solidFill>
          </w14:textFill>
        </w:rPr>
        <w:t>未参加开标的，视同认可开标结果。</w:t>
      </w:r>
    </w:p>
    <w:bookmarkEnd w:id="52"/>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5.2磋商程序（摘要）</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主持人按下列程序进行磋商：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（1）宣布项目名称及磋商响应文件接收截止时间，终止一切磋商响应文件的接收工作，并宣布磋商会议开始。</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（2）宣布磋商会议纪律。</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（3）介绍政府采购监督管理部门、采购人、监标人、采购代理机构工作人员。</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（4）宣布本项目供应商签到名单，确认供应商身份。</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（5）请采购人、监标人和供应商委托代理人共同查验资格证明文件的密封情况，并由监标人宣布审核结果。</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（6）由采购人和监标人对供应商进行资格审查。开标现场，由监标人对各供应商进行资格审查，并公布资格审查结果，资格审查不通过，该供应商无权进入下一步开标程序。</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（9）启封磋商响应文件，休会（请各供应商代表不要远离会场，保持通信畅通，以便磋商小组及时通知磋商响应文件中需要进行澄清或说明的事项）。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（10）将磋商响应文件送交磋商小组评审； </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（12）磋商结束。</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5.3磋商现场需带的原件：见供应商须知前附表。</w:t>
      </w:r>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53" w:name="_Toc420591648"/>
      <w:bookmarkStart w:id="54" w:name="_Toc526842688"/>
      <w:bookmarkStart w:id="55" w:name="_Toc421778370"/>
      <w:bookmarkStart w:id="56" w:name="_Toc425240469"/>
      <w:bookmarkStart w:id="57" w:name="_Toc15987"/>
      <w:r>
        <w:rPr>
          <w:rFonts w:hint="eastAsia" w:ascii="宋体" w:hAnsi="宋体" w:eastAsia="宋体" w:cs="宋体"/>
          <w:b/>
          <w:color w:val="000000" w:themeColor="text1"/>
          <w:sz w:val="24"/>
          <w:szCs w:val="24"/>
          <w14:textFill>
            <w14:solidFill>
              <w14:schemeClr w14:val="tx1"/>
            </w14:solidFill>
          </w14:textFill>
        </w:rPr>
        <w:t>6．评标</w:t>
      </w:r>
      <w:bookmarkEnd w:id="53"/>
      <w:bookmarkEnd w:id="54"/>
      <w:bookmarkEnd w:id="55"/>
      <w:bookmarkEnd w:id="56"/>
      <w:bookmarkEnd w:id="57"/>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6.1 磋商小组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 评标由采购人依法组建的磋商小组负责。磋商小组由采购人</w:t>
      </w:r>
      <w:r>
        <w:rPr>
          <w:rFonts w:hint="eastAsia" w:ascii="宋体" w:hAnsi="宋体" w:cs="宋体"/>
          <w:color w:val="000000" w:themeColor="text1"/>
          <w:sz w:val="24"/>
          <w:szCs w:val="24"/>
          <w:lang w:val="en-US" w:eastAsia="zh-CN"/>
          <w14:textFill>
            <w14:solidFill>
              <w14:schemeClr w14:val="tx1"/>
            </w14:solidFill>
          </w14:textFill>
        </w:rPr>
        <w:t>代表和评审专家共3人以上单数组成，其中评审专家人数不得少于磋商小组成员总数的2/3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采购人代表不得以评审专家身份参加本部门或本单位采购项目的评审。采购代理机构人员不得参加本机构代理的采购项目的评审。</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6.1.2 磋商小组成员有下列情形之一的，应当回避：</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(1）供应商或供应商的主要负责人的近亲属；</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(2）项目主管部门或者行政监督部门的人员；</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(3）与供应商有经济利益关系，可能影响对投标公正评审的；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6.2 评标原则</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评标活动遵循公平、公正、科学和择优的原则。</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6.3 评标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8" w:name="_Toc421778371"/>
      <w:bookmarkStart w:id="59" w:name="_Toc420591649"/>
      <w:bookmarkStart w:id="60" w:name="_Toc425240470"/>
      <w:r>
        <w:rPr>
          <w:rFonts w:hint="eastAsia" w:ascii="宋体" w:hAnsi="宋体" w:eastAsia="宋体" w:cs="宋体"/>
          <w:color w:val="000000" w:themeColor="text1"/>
          <w:sz w:val="24"/>
          <w:szCs w:val="24"/>
          <w14:textFill>
            <w14:solidFill>
              <w14:schemeClr w14:val="tx1"/>
            </w14:solidFill>
          </w14:textFill>
        </w:rPr>
        <w:t>6.3.2政府采购评审专家应当遵守评审工作纪律，不得泄露评审文件、评审情况和评审中获悉的商业秘密。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小组或者询价小组在评审过程中发现供应商有行贿、提供虚假材料或者串通等违法行为的，应当及时向财政部门报告。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政府采购评审专家在评审过程中受到非法干预的，应当及时向财政、监察等部门举报。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6.3.3评标委员会、竞争性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4"/>
          <w:szCs w:val="24"/>
          <w:lang w:val="en-US" w:eastAsia="zh-CN"/>
        </w:rPr>
        <w:t>磋商</w:t>
      </w:r>
      <w:r>
        <w:rPr>
          <w:rFonts w:hint="eastAsia" w:ascii="宋体" w:hAnsi="宋体" w:eastAsia="宋体" w:cs="宋体"/>
          <w:color w:val="000000" w:themeColor="text1"/>
          <w:sz w:val="24"/>
          <w:szCs w:val="24"/>
          <w14:textFill>
            <w14:solidFill>
              <w14:schemeClr w14:val="tx1"/>
            </w14:solidFill>
          </w14:textFill>
        </w:rPr>
        <w:t>小组或者询价小组应当停止评审并向采购人或者采购代理机构说明情况。</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评标委员会、竞争性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6.3.4采购人、采购代理机构不得向评标委员会、竞争性</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小组或者询价小组的评审专家作倾向性、误导性的解释或者说明。</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、竞争性谈判文件、询价通知书随中标、成交结果同时公告。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1" w:name="_Hlk522178150"/>
      <w:r>
        <w:rPr>
          <w:rFonts w:hint="eastAsia" w:ascii="宋体" w:hAnsi="宋体" w:eastAsia="宋体" w:cs="宋体"/>
          <w:color w:val="000000" w:themeColor="text1"/>
          <w:sz w:val="24"/>
          <w:szCs w:val="24"/>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规定的评标标准和方法，客观、公正地对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提出评审意见。</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没有规定的评标标准和方法不得作为评标的依据。</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6.3.7有下列情形之一的，评标委员会应当否决其投标：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未经投标单位盖章和单位负责人签字；</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（二）投标联合体没有提交共同投标协议；</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（三）投标人不符合国家或者</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规定的资格条件；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（四）同一投标人提交两个以上不同的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，但</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要求提交备选投标的除外；</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低于成本或者高于</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设定的最高投标限价；</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没有对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的实质性要求和条件作出响应；</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（七）投标人有串通投标、弄虚作假、行贿等违法行为。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6.3.8</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的范围或者改变</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的实质性内容。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评标委员会不得暗示或者诱导投标人作出澄清、说明，不得接受投标人主动提出的澄清、说明。</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（一）以行贿谋取中标；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（三）串通投标行为损害招标人、其他投标人或者国家、集体、公民的合法利益，造成直接经济损失30万元以上；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（四）其他串通投标情节严重的行为。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法律、行政法规对串通</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行为的处罚另有规定的，从其规定。</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（一）伪造、变造资格、资质证书或者其他许可证件骗取中标；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（二）3年内2次以上使用他人名义投标；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（三）弄虚作假骗取中标给招标人造成直接经济损失30万元以上；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（四）其他弄虚作假骗取中标情节严重的行为。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6.3.11出让或者出租资格、资质证书供他人投标的，依照法律、行政法规的规定给予行政处罚；构成犯罪的，依法追究刑事责任。</w:t>
      </w:r>
      <w:bookmarkEnd w:id="61"/>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62" w:name="_Toc26000"/>
      <w:bookmarkStart w:id="63" w:name="_Toc526842689"/>
      <w:r>
        <w:rPr>
          <w:rFonts w:hint="eastAsia" w:ascii="宋体" w:hAnsi="宋体" w:eastAsia="宋体" w:cs="宋体"/>
          <w:b/>
          <w:color w:val="000000" w:themeColor="text1"/>
          <w:sz w:val="24"/>
          <w:szCs w:val="24"/>
          <w14:textFill>
            <w14:solidFill>
              <w14:schemeClr w14:val="tx1"/>
            </w14:solidFill>
          </w14:textFill>
        </w:rPr>
        <w:t>7．合同授予</w:t>
      </w:r>
      <w:bookmarkEnd w:id="58"/>
      <w:bookmarkEnd w:id="59"/>
      <w:bookmarkEnd w:id="60"/>
      <w:bookmarkEnd w:id="62"/>
      <w:bookmarkEnd w:id="63"/>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7.1 定标方式</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4" w:name="_Hlk522179251"/>
      <w:r>
        <w:rPr>
          <w:rFonts w:hint="eastAsia" w:ascii="宋体" w:hAnsi="宋体" w:eastAsia="宋体" w:cs="宋体"/>
          <w:color w:val="000000" w:themeColor="text1"/>
          <w:sz w:val="24"/>
          <w:szCs w:val="24"/>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7.1.2评标完成后，评标委员会应当向招标人提交书面评标报告和</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候选人名单。</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4"/>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7.2 成交通知</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5" w:name="_Hlk522179377"/>
      <w:r>
        <w:rPr>
          <w:rFonts w:hint="eastAsia" w:ascii="宋体" w:hAnsi="宋体" w:eastAsia="宋体" w:cs="宋体"/>
          <w:color w:val="000000" w:themeColor="text1"/>
          <w:sz w:val="24"/>
          <w:szCs w:val="24"/>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的供应商。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、竞争性谈判文件、询价通知书随中标、成交结果同时公告。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7.2.3中标结果公告公示期一个工作日。</w:t>
      </w:r>
      <w:bookmarkEnd w:id="65"/>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7.3 履约担保</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6" w:name="_Hlk522179747"/>
      <w:r>
        <w:rPr>
          <w:rFonts w:hint="eastAsia" w:ascii="宋体" w:hAnsi="宋体" w:eastAsia="宋体" w:cs="宋体"/>
          <w:color w:val="000000" w:themeColor="text1"/>
          <w:sz w:val="24"/>
          <w:szCs w:val="24"/>
          <w14:textFill>
            <w14:solidFill>
              <w14:schemeClr w14:val="tx1"/>
            </w14:solidFill>
          </w14:textFill>
        </w:rPr>
        <w:t>7.3.1在签订合同前，成交供应商应按供应商须知前附表规定的金额、担保形式和磋商文件第四章“合同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拟签订文本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”规定的履约担保格式向采购人提交履约担保。</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7.3.2 成交供应商不能按本章第7.3.1项要求提交履约担保的，视为放弃中标，其</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不予退还，给采购人造成的损失超过</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数额的，成交供应商还应当对超过部分予以赔偿。</w:t>
      </w:r>
    </w:p>
    <w:bookmarkEnd w:id="66"/>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7.4 签订合同</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bookmarkStart w:id="67" w:name="_Toc526842690"/>
      <w:bookmarkStart w:id="68" w:name="_Toc20459"/>
      <w:bookmarkStart w:id="69" w:name="_Toc425240471"/>
      <w:bookmarkStart w:id="70" w:name="_Toc421778372"/>
      <w:bookmarkStart w:id="71" w:name="_Toc420591650"/>
      <w:r>
        <w:rPr>
          <w:rFonts w:hint="eastAsia" w:ascii="宋体" w:hAnsi="宋体" w:eastAsia="宋体" w:cs="宋体"/>
          <w:b w:val="0"/>
          <w:bCs/>
          <w:color w:val="000000" w:themeColor="text1"/>
          <w:sz w:val="24"/>
          <w:szCs w:val="24"/>
          <w14:textFill>
            <w14:solidFill>
              <w14:schemeClr w14:val="tx1"/>
            </w14:solidFill>
          </w14:textFill>
        </w:rPr>
        <w:t>7.4.1 采购人和成交供应商应当自成交通知书发出之日起</w:t>
      </w:r>
      <w:r>
        <w:rPr>
          <w:rFonts w:hint="eastAsia" w:ascii="宋体" w:hAnsi="宋体" w:eastAsia="宋体" w:cs="宋体"/>
          <w:b w:val="0"/>
          <w:bCs/>
          <w:color w:val="000000" w:themeColor="text1"/>
          <w:sz w:val="24"/>
          <w:szCs w:val="24"/>
          <w:lang w:val="en-US" w:eastAsia="zh-CN"/>
          <w14:textFill>
            <w14:solidFill>
              <w14:schemeClr w14:val="tx1"/>
            </w14:solidFill>
          </w14:textFill>
        </w:rPr>
        <w:t>15</w:t>
      </w:r>
      <w:r>
        <w:rPr>
          <w:rFonts w:hint="eastAsia" w:ascii="宋体" w:hAnsi="宋体" w:eastAsia="宋体" w:cs="宋体"/>
          <w:b w:val="0"/>
          <w:bCs/>
          <w:color w:val="000000" w:themeColor="text1"/>
          <w:sz w:val="24"/>
          <w:szCs w:val="24"/>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4"/>
          <w:szCs w:val="24"/>
          <w:lang w:eastAsia="zh-CN"/>
          <w14:textFill>
            <w14:solidFill>
              <w14:schemeClr w14:val="tx1"/>
            </w14:solidFill>
          </w14:textFill>
        </w:rPr>
        <w:t>采购人</w:t>
      </w:r>
      <w:r>
        <w:rPr>
          <w:rFonts w:hint="eastAsia" w:ascii="宋体" w:hAnsi="宋体" w:eastAsia="宋体" w:cs="宋体"/>
          <w:b w:val="0"/>
          <w:bCs/>
          <w:color w:val="000000" w:themeColor="text1"/>
          <w:sz w:val="24"/>
          <w:szCs w:val="24"/>
          <w14:textFill>
            <w14:solidFill>
              <w14:schemeClr w14:val="tx1"/>
            </w14:solidFill>
          </w14:textFill>
        </w:rPr>
        <w:t>指定账户。</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bookmarkStart w:id="72" w:name="_Hlk522179758"/>
      <w:r>
        <w:rPr>
          <w:rFonts w:hint="eastAsia" w:ascii="宋体" w:hAnsi="宋体" w:eastAsia="宋体" w:cs="宋体"/>
          <w:b w:val="0"/>
          <w:bCs/>
          <w:color w:val="000000" w:themeColor="text1"/>
          <w:sz w:val="24"/>
          <w:szCs w:val="24"/>
          <w14:textFill>
            <w14:solidFill>
              <w14:schemeClr w14:val="tx1"/>
            </w14:solidFill>
          </w14:textFill>
        </w:rPr>
        <w:t>7.4.2 发出中标通知书后，采购人无正当理由拒签合同的，采购人向中标供应商退还</w:t>
      </w:r>
      <w:r>
        <w:rPr>
          <w:rFonts w:hint="eastAsia" w:ascii="宋体" w:hAnsi="宋体" w:eastAsia="宋体" w:cs="宋体"/>
          <w:b w:val="0"/>
          <w:bCs/>
          <w:color w:val="000000" w:themeColor="text1"/>
          <w:sz w:val="24"/>
          <w:szCs w:val="24"/>
          <w:lang w:eastAsia="zh-CN"/>
          <w14:textFill>
            <w14:solidFill>
              <w14:schemeClr w14:val="tx1"/>
            </w14:solidFill>
          </w14:textFill>
        </w:rPr>
        <w:t>磋商保证金</w:t>
      </w:r>
      <w:r>
        <w:rPr>
          <w:rFonts w:hint="eastAsia" w:ascii="宋体" w:hAnsi="宋体" w:eastAsia="宋体" w:cs="宋体"/>
          <w:b w:val="0"/>
          <w:bCs/>
          <w:color w:val="000000" w:themeColor="text1"/>
          <w:sz w:val="24"/>
          <w:szCs w:val="24"/>
          <w14:textFill>
            <w14:solidFill>
              <w14:schemeClr w14:val="tx1"/>
            </w14:solidFill>
          </w14:textFill>
        </w:rPr>
        <w:t xml:space="preserve">；给中标供应商造成损失的，还应当赔偿损失。 </w:t>
      </w:r>
    </w:p>
    <w:bookmarkEnd w:id="72"/>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7.4.3国务院财政部门应当会同国务院有关部门制定政府采购合同标准文本。</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7.4.4</w:t>
      </w:r>
      <w:r>
        <w:rPr>
          <w:rFonts w:hint="eastAsia" w:ascii="宋体" w:hAnsi="宋体" w:eastAsia="宋体" w:cs="宋体"/>
          <w:b w:val="0"/>
          <w:bCs/>
          <w:color w:val="000000" w:themeColor="text1"/>
          <w:sz w:val="24"/>
          <w:szCs w:val="24"/>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4"/>
          <w:szCs w:val="24"/>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4"/>
          <w:szCs w:val="24"/>
          <w:lang w:val="en-US" w:eastAsia="zh-CN"/>
          <w14:textFill>
            <w14:solidFill>
              <w14:schemeClr w14:val="tx1"/>
            </w14:solidFill>
          </w14:textFill>
        </w:rPr>
        <w:t>）。中标或成交供应商合同主要义务履行完毕后，采购人或采购代理机构应按照合同约定及时退还。</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7.4.5中标或者成交供应商拒绝与采购人签订合同的，采购人可以按照评审报告推荐的中标或者成交候选人名单排序，确定下一候选人为中标或者成交供应商，也可以重新开展政府采购活动。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7.4.6采购人应当自政府采购合同签订之日起2个工作日内，将政府采购合同在省级以上人民政府财政部门指定的媒体上公告，但政府采购合同中涉及国家秘密、商业秘密的内容除外。</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7.4.7采购人应当按照政府采购合同规定，及时向中标或者成交供应商支付采购资金。</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7.4.8政府</w:t>
      </w:r>
      <w:r>
        <w:rPr>
          <w:rFonts w:hint="eastAsia" w:ascii="宋体" w:hAnsi="宋体" w:eastAsia="宋体" w:cs="宋体"/>
          <w:b w:val="0"/>
          <w:bCs/>
          <w:color w:val="000000" w:themeColor="text1"/>
          <w:sz w:val="24"/>
          <w:szCs w:val="24"/>
          <w:lang w:eastAsia="zh-CN"/>
          <w14:textFill>
            <w14:solidFill>
              <w14:schemeClr w14:val="tx1"/>
            </w14:solidFill>
          </w14:textFill>
        </w:rPr>
        <w:t>项目</w:t>
      </w:r>
      <w:r>
        <w:rPr>
          <w:rFonts w:hint="eastAsia" w:ascii="宋体" w:hAnsi="宋体" w:eastAsia="宋体" w:cs="宋体"/>
          <w:b w:val="0"/>
          <w:bCs/>
          <w:color w:val="000000" w:themeColor="text1"/>
          <w:sz w:val="24"/>
          <w:szCs w:val="24"/>
          <w14:textFill>
            <w14:solidFill>
              <w14:schemeClr w14:val="tx1"/>
            </w14:solidFill>
          </w14:textFill>
        </w:rPr>
        <w:t>资金支付程序，按照国家有关</w:t>
      </w:r>
      <w:r>
        <w:rPr>
          <w:rFonts w:hint="eastAsia" w:ascii="宋体" w:hAnsi="宋体" w:eastAsia="宋体" w:cs="宋体"/>
          <w:b w:val="0"/>
          <w:bCs/>
          <w:color w:val="000000" w:themeColor="text1"/>
          <w:sz w:val="24"/>
          <w:szCs w:val="24"/>
          <w:lang w:eastAsia="zh-CN"/>
          <w14:textFill>
            <w14:solidFill>
              <w14:schemeClr w14:val="tx1"/>
            </w14:solidFill>
          </w14:textFill>
        </w:rPr>
        <w:t>财政资金</w:t>
      </w:r>
      <w:r>
        <w:rPr>
          <w:rFonts w:hint="eastAsia" w:ascii="宋体" w:hAnsi="宋体" w:eastAsia="宋体" w:cs="宋体"/>
          <w:b w:val="0"/>
          <w:bCs/>
          <w:color w:val="000000" w:themeColor="text1"/>
          <w:sz w:val="24"/>
          <w:szCs w:val="24"/>
          <w14:textFill>
            <w14:solidFill>
              <w14:schemeClr w14:val="tx1"/>
            </w14:solidFill>
          </w14:textFill>
        </w:rPr>
        <w:t>支付管理的规定执行。</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bookmarkStart w:id="73" w:name="_Hlk522179832"/>
      <w:r>
        <w:rPr>
          <w:rFonts w:hint="eastAsia" w:ascii="宋体" w:hAnsi="宋体" w:eastAsia="宋体" w:cs="宋体"/>
          <w:b w:val="0"/>
          <w:bCs/>
          <w:color w:val="000000" w:themeColor="text1"/>
          <w:sz w:val="24"/>
          <w:szCs w:val="24"/>
          <w14:textFill>
            <w14:solidFill>
              <w14:schemeClr w14:val="tx1"/>
            </w14:solidFill>
          </w14:textFill>
        </w:rPr>
        <w:t>7.4.9招标人和中标人应当依照招标投标法和本条例的规定签订书面合同，合同的标的、价款、质量、履行期限等主要条款应当与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4"/>
          <w:szCs w:val="24"/>
          <w:lang w:eastAsia="zh-CN"/>
          <w14:textFill>
            <w14:solidFill>
              <w14:schemeClr w14:val="tx1"/>
            </w14:solidFill>
          </w14:textFill>
        </w:rPr>
        <w:t>磋商文件</w:t>
      </w:r>
      <w:r>
        <w:rPr>
          <w:rFonts w:hint="eastAsia" w:ascii="宋体" w:hAnsi="宋体" w:eastAsia="宋体" w:cs="宋体"/>
          <w:b w:val="0"/>
          <w:bCs/>
          <w:color w:val="000000" w:themeColor="text1"/>
          <w:sz w:val="24"/>
          <w:szCs w:val="24"/>
          <w14:textFill>
            <w14:solidFill>
              <w14:schemeClr w14:val="tx1"/>
            </w14:solidFill>
          </w14:textFill>
        </w:rPr>
        <w:t>和中标人的</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的内容一致。招标人和中标人不得再行订立背离合同实质性内容的其他协议。</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7.4.10</w:t>
      </w:r>
      <w:r>
        <w:rPr>
          <w:rFonts w:hint="eastAsia" w:ascii="宋体" w:hAnsi="宋体" w:eastAsia="宋体" w:cs="宋体"/>
          <w:b w:val="0"/>
          <w:bCs/>
          <w:color w:val="000000" w:themeColor="text1"/>
          <w:sz w:val="24"/>
          <w:szCs w:val="24"/>
          <w:lang w:eastAsia="zh-CN"/>
          <w14:textFill>
            <w14:solidFill>
              <w14:schemeClr w14:val="tx1"/>
            </w14:solidFill>
          </w14:textFill>
        </w:rPr>
        <w:t>磋商文件</w:t>
      </w:r>
      <w:r>
        <w:rPr>
          <w:rFonts w:hint="eastAsia" w:ascii="宋体" w:hAnsi="宋体" w:eastAsia="宋体" w:cs="宋体"/>
          <w:b w:val="0"/>
          <w:bCs/>
          <w:color w:val="000000" w:themeColor="text1"/>
          <w:sz w:val="24"/>
          <w:szCs w:val="24"/>
          <w14:textFill>
            <w14:solidFill>
              <w14:schemeClr w14:val="tx1"/>
            </w14:solidFill>
          </w14:textFill>
        </w:rPr>
        <w:t>要求</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人提交履约保证金的，中标人应当按照</w:t>
      </w:r>
      <w:r>
        <w:rPr>
          <w:rFonts w:hint="eastAsia" w:ascii="宋体" w:hAnsi="宋体" w:eastAsia="宋体" w:cs="宋体"/>
          <w:b w:val="0"/>
          <w:bCs/>
          <w:color w:val="000000" w:themeColor="text1"/>
          <w:sz w:val="24"/>
          <w:szCs w:val="24"/>
          <w:lang w:eastAsia="zh-CN"/>
          <w14:textFill>
            <w14:solidFill>
              <w14:schemeClr w14:val="tx1"/>
            </w14:solidFill>
          </w14:textFill>
        </w:rPr>
        <w:t>磋商文件</w:t>
      </w:r>
      <w:r>
        <w:rPr>
          <w:rFonts w:hint="eastAsia" w:ascii="宋体" w:hAnsi="宋体" w:eastAsia="宋体" w:cs="宋体"/>
          <w:b w:val="0"/>
          <w:bCs/>
          <w:color w:val="000000" w:themeColor="text1"/>
          <w:sz w:val="24"/>
          <w:szCs w:val="24"/>
          <w14:textFill>
            <w14:solidFill>
              <w14:schemeClr w14:val="tx1"/>
            </w14:solidFill>
          </w14:textFill>
        </w:rPr>
        <w:t>的要求提交。履约保证金不得超过</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合同金额的</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7.4.11</w:t>
      </w: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应当按照合同约定履行义务，完成</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w:t>
      </w: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不得向他人转让</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项目，也不得将</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项目肢解后分别向他人转让。</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按照合同约定或者经招标人同意，可以将</w:t>
      </w:r>
      <w:r>
        <w:rPr>
          <w:rFonts w:hint="eastAsia" w:ascii="宋体" w:hAnsi="宋体" w:eastAsia="宋体" w:cs="宋体"/>
          <w:b w:val="0"/>
          <w:bCs/>
          <w:color w:val="000000" w:themeColor="text1"/>
          <w:sz w:val="24"/>
          <w:szCs w:val="24"/>
          <w:lang w:eastAsia="zh-CN"/>
          <w14:textFill>
            <w14:solidFill>
              <w14:schemeClr w14:val="tx1"/>
            </w14:solidFill>
          </w14:textFill>
        </w:rPr>
        <w:t>成交</w:t>
      </w:r>
      <w:r>
        <w:rPr>
          <w:rFonts w:hint="eastAsia" w:ascii="宋体" w:hAnsi="宋体" w:eastAsia="宋体" w:cs="宋体"/>
          <w:b w:val="0"/>
          <w:bCs/>
          <w:color w:val="000000" w:themeColor="text1"/>
          <w:sz w:val="24"/>
          <w:szCs w:val="24"/>
          <w14:textFill>
            <w14:solidFill>
              <w14:schemeClr w14:val="tx1"/>
            </w14:solidFill>
          </w14:textFill>
        </w:rPr>
        <w:t>项目的部分非主体、非关键性工作分包给他人完成。接受分包的人应当具备相应的资格条件，并不得再次分包。</w:t>
      </w:r>
    </w:p>
    <w:p>
      <w:pPr>
        <w:pageBreakBefore w:val="0"/>
        <w:widowControl w:val="0"/>
        <w:kinsoku/>
        <w:wordWrap/>
        <w:overflowPunct/>
        <w:topLinePunct w:val="0"/>
        <w:autoSpaceDE/>
        <w:autoSpaceDN/>
        <w:bidi w:val="0"/>
        <w:adjustRightInd/>
        <w:spacing w:line="480" w:lineRule="auto"/>
        <w:ind w:firstLine="480" w:firstLineChars="200"/>
        <w:textAlignment w:val="auto"/>
        <w:outlineLvl w:val="1"/>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成交供应商</w:t>
      </w:r>
      <w:r>
        <w:rPr>
          <w:rFonts w:hint="eastAsia" w:ascii="宋体" w:hAnsi="宋体" w:eastAsia="宋体" w:cs="宋体"/>
          <w:b w:val="0"/>
          <w:bCs/>
          <w:color w:val="000000" w:themeColor="text1"/>
          <w:sz w:val="24"/>
          <w:szCs w:val="24"/>
          <w14:textFill>
            <w14:solidFill>
              <w14:schemeClr w14:val="tx1"/>
            </w14:solidFill>
          </w14:textFill>
        </w:rPr>
        <w:t>应当就分包项目向招标人负责，接受分包的人就分包项目承担连带责任。</w:t>
      </w:r>
    </w:p>
    <w:bookmarkEnd w:id="73"/>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8．重新招标和不再招标</w:t>
      </w:r>
      <w:bookmarkEnd w:id="67"/>
      <w:bookmarkEnd w:id="68"/>
      <w:bookmarkEnd w:id="69"/>
      <w:bookmarkEnd w:id="70"/>
      <w:bookmarkEnd w:id="71"/>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8.1 重新招标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有下列情形之一的，采购人将重新招标：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（l）提交首次响应文件截止之日止，供应商少于3个的；</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（2）经磋商小组评审后否决所有投标的。</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8.2 不再招标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重新招标后供应商仍少于3个或者所有投标被否决的，属于必须审批或核准的工程建设项目，经原审批或核准部门批准后不再进行招标。</w:t>
      </w:r>
    </w:p>
    <w:p>
      <w:pPr>
        <w:pageBreakBefore w:val="0"/>
        <w:widowControl w:val="0"/>
        <w:kinsoku/>
        <w:wordWrap/>
        <w:overflowPunct/>
        <w:topLinePunct w:val="0"/>
        <w:autoSpaceDE/>
        <w:autoSpaceDN/>
        <w:bidi w:val="0"/>
        <w:adjustRightInd/>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74" w:name="_Toc2742"/>
      <w:bookmarkStart w:id="75" w:name="_Toc420591651"/>
      <w:bookmarkStart w:id="76" w:name="_Toc421778373"/>
      <w:bookmarkStart w:id="77" w:name="_Toc526842691"/>
      <w:bookmarkStart w:id="78" w:name="_Toc425240472"/>
      <w:r>
        <w:rPr>
          <w:rFonts w:hint="eastAsia" w:ascii="宋体" w:hAnsi="宋体" w:eastAsia="宋体" w:cs="宋体"/>
          <w:b/>
          <w:color w:val="000000" w:themeColor="text1"/>
          <w:sz w:val="24"/>
          <w:szCs w:val="24"/>
          <w14:textFill>
            <w14:solidFill>
              <w14:schemeClr w14:val="tx1"/>
            </w14:solidFill>
          </w14:textFill>
        </w:rPr>
        <w:t>9．纪律和监督</w:t>
      </w:r>
      <w:bookmarkEnd w:id="74"/>
      <w:bookmarkEnd w:id="75"/>
      <w:bookmarkEnd w:id="76"/>
      <w:bookmarkEnd w:id="77"/>
      <w:bookmarkEnd w:id="78"/>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9.1 对采购人的纪律要求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采购人不得泄漏招标投标活动中应当保密的情况和资料，不得与供应商串通损害国家利益、社会公共利益或者他人合法权益。</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9.2 对供应商的纪律要求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9.2.2采购人员与供应商有利害关系而不依法回避的，由财政部门给予警告，并处2000元以上2万元以下的罚款。</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9.2.3有政府采购法第七十一条、第七十二条规定的违法行为之一，影响或者可能影响中标、成交结果的，依照下列规定处理：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（一）未确定中标或者成交供应商的，终止本次政府采购活动，重新开展政府采购活动。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（四）政府采购合同已经履行，给采购人、供应商造成损失的，由责任人承担赔偿责任。</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9.2.4供应商有下列情形之一的，依照政府采购法第七十七条第一款的规定追究法律责任：</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（一）向评标委员会、竞争性</w:t>
      </w:r>
      <w:r>
        <w:rPr>
          <w:rFonts w:hint="eastAsia" w:ascii="宋体" w:hAnsi="宋体" w:eastAsia="宋体" w:cs="宋体"/>
          <w:color w:val="auto"/>
          <w:sz w:val="24"/>
          <w:szCs w:val="24"/>
          <w:lang w:val="en-US" w:eastAsia="zh-CN"/>
        </w:rPr>
        <w:t>磋商</w:t>
      </w:r>
      <w:r>
        <w:rPr>
          <w:rFonts w:hint="eastAsia" w:ascii="宋体" w:hAnsi="宋体" w:eastAsia="宋体" w:cs="宋体"/>
          <w:color w:val="000000" w:themeColor="text1"/>
          <w:sz w:val="24"/>
          <w:szCs w:val="24"/>
          <w14:textFill>
            <w14:solidFill>
              <w14:schemeClr w14:val="tx1"/>
            </w14:solidFill>
          </w14:textFill>
        </w:rPr>
        <w:t>小组或者询价小组成员行贿或者提供其他不正当利益；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（二）中标或者成交后无正当理由拒不与采购人签订政府采购合同；</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（三）未按照采购文件确定的事项签订政府采购合同；</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（四）将政府采购合同转包；</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（五）提供假冒伪劣产品；</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（六）擅自变更、中止或者终止政府采购合同。</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9.2.5供应商捏造事实、提供虚假材料或者以非法手段取得证明材料进行投诉的，由财政部门列入不良行为记录名单，禁止其1至3年内参加政府采购活动。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或者响应文件；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或者响应文件；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（三）供应商之间协商报价、技术方案等</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或者响应文件的实质性内容；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（四）属于同一集团、协会、商会等组织成员的供应商按照该组织要求协同参加政府采购活动；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（五）供应商之间事先约定由某一特定供应商中标、成交；</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（六）供应商之间商定部分供应商放弃参加政府采购活动或者放弃中标、成交；</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（七）供应商与采购人或者采购代理机构之间、供应商相互之间，为谋求特定供应商中标、成交或者排斥其他供应商的其他串通行为。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9.2.7禁止投标人相互串通投标。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有下列情形之一的，属于投标人相互串通投标：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（一）投标人之间协商</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的实质性内容；</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（二）投标人之间约定中标人；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（三）投标人之间约定部分投标人放弃投标或者中标；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（四）属于同一集团、协会、商会等组织成员的投标人按照该组织要求协同投标；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（五）投标人之间为谋取中标或者排斥特定投标人而采取的其他联合行动。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9.2.8有下列情形之一的，视为投标人相互串通投标：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由同一单位或者个人编制；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（二）不同投标人委托同一单位或者个人办理投标事宜；</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载明的项目管理成员为同一人；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异常一致或者</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呈规律性差异；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（五）不同投标人的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相互混装；</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（六）不同投标人的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从同一单位或者个人的账户转出。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9.2.9禁止招标人与投标人串通投标。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有下列情形之一的，属于招标人与投标人串通投标：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（一）招标人在开标前开启</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并将有关信息泄露给其他投标人；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（二）招标人直接或者间接向投标人泄露标底、评标委员会成员等信息；</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（三）招标人明示或者暗示投标人压低或者抬高</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（四）招标人授意投标人撤换、修改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（五）招标人明示或者暗示投标人为特定投标人中标提供方便；</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（六）招标人与投标人为谋求特定投标人中标而采取的其他串通行为。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9.2.10使用通过受让或者租借等方式获取的资格、资质证书投标的，属于招标投标法第三十三条规定的以他人名义投标。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投标人有下列情形之一的，属于招标投标法第三十三条规定的以其他方式弄虚作假的行为：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（一）使用伪造、变造的许可证件；</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（二）提供虚假的财务状况或者业绩；</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（三）提供虚假的项目负责人或者主要技术人员简历、劳动关系证明；</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（四）提供虚假的信用状况；</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（五）其他弄虚作假的行为。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（一）以行贿谋取中标；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（二）3年内2次以上串通投标；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（三）串通投标行为损害招标人、其他投标人或者国家、集体、公民的合法利益，造成直接经济损失30万元以上；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（四）其他串通投标情节严重的行为。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法律、行政法规对串通</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行为的处罚另有规定的，从其规定。</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（一）伪造、变造资格、资质证书或者其他许可证件骗取中标；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（二）3年内2次以上使用他人名义投标；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（三）弄虚作假骗取中标给招标人造成直接经济损失30万元以上；</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（四）其他弄虚作假骗取中标情节严重的行为。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9.2.13出让或者出租资格、资质证书供他人投标的，依照法律、行政法规的规定给予行政处罚；构成犯罪的，依法追究刑事责任。</w:t>
      </w:r>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9.3 对磋商小组成员的纪律要求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政府采购评审专家与供应商存在利害关系未回避的，处2万元以上5万元以下的罚款，禁止其参加政府采购评审活动。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政府采购评审专家有上述违法行为的，其评审意见无效，不得获取评审费；有违法所得的，没收违法所得；给他人造成损失的，依法承担民事责任。</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9" w:name="_Hlk522181179"/>
      <w:r>
        <w:rPr>
          <w:rFonts w:hint="eastAsia" w:ascii="宋体" w:hAnsi="宋体" w:eastAsia="宋体" w:cs="宋体"/>
          <w:color w:val="000000" w:themeColor="text1"/>
          <w:sz w:val="24"/>
          <w:szCs w:val="24"/>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（一）应当回避而不回避；</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（二）擅离职守；</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（三）不按照</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规定的评标标准和方法评标；</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（四）私下接触投标人；</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（五）向招标人征询确定中标人的意向或者接受任何单位或者个人明示或者暗示提出的倾向或者排斥特定投标人的要求；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（六）对依法应当否决的投标不提出否决意见；</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（七）暗示或者诱导投标人作出澄清、说明或者接受投标人主动提出的澄清、说明；</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（八）其他不客观、不公正履行职务的行为。</w:t>
      </w:r>
      <w:bookmarkEnd w:id="79"/>
    </w:p>
    <w:p>
      <w:pPr>
        <w:pageBreakBefore w:val="0"/>
        <w:widowControl w:val="0"/>
        <w:kinsoku/>
        <w:wordWrap/>
        <w:overflowPunct/>
        <w:topLinePunct w:val="0"/>
        <w:autoSpaceDE/>
        <w:autoSpaceDN/>
        <w:bidi w:val="0"/>
        <w:adjustRightIn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9.4 对与评标活动有关的工作人员的纪律要求</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ageBreakBefore w:val="0"/>
        <w:widowControl w:val="0"/>
        <w:kinsoku/>
        <w:wordWrap/>
        <w:overflowPunct/>
        <w:topLinePunct w:val="0"/>
        <w:autoSpaceDE/>
        <w:autoSpaceDN/>
        <w:bidi w:val="0"/>
        <w:adjustRightIn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（一）要求对依法必须进行招标的项目不招标，或者要求对依法应当公开招标的项目不公开招标；</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（二）要求评标委员会成员或者招标人以其指定的投标人作为中标候选人或者中标人，或者以其他方式非法干涉评标活动，影响中标结果；</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（三）以其他方式非法干涉招标投标活动。</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9.5 投诉</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9.5.1供应商和其他利害关系人认为本次招标活动违反法律、法规和规章规定的，有权向有关行政监督部门投诉。</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9.5.2供应商的质疑和投诉，详见《中华人民共和国财政部令第94号--政府采购质疑和投诉办法》有关规定。</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9.5.3投诉人不得以投诉为名排挤竞争对手，不得进行虚假、恶意投诉，阻碍招标投标活动的正常进行。</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9.6评标过程的监控</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本项目评标过程实行全程录音、录像监控，供应商在评标过程中所进行的试图影响评标结果的不公正活动，可能导致其投标被拒绝。</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9.7质疑</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9.7.1供应商对采购事项有疑问的，应当按照《政府采购质疑和投诉办法》规定，以书面形式向采购人或代理机构提出，经法定代表人签字并加盖公章。</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9.7.3供应商对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提出质疑的，其质疑应当被视为无效质疑。在法定质疑期内对采购文件只能是一次性提出针对同一采购程序环节的质疑。</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9.7.5对采购文件提出质疑的，应当在获取采购文件或者采购文件公告期限届满之日起7个工作日内提出。</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9.7.7有下列情形之一的，属于无效质疑，代理机构可不予受理：</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（1）未在有效期限内提出质疑的；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（2）质疑未以书面形式提出的；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（3）所提交材料未明示属于质疑材料的；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的授权代表签署本人姓名或印盖本人姓名章的，没有法定代表人的特别授权；质疑书加盖合同专用章的；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（5）质疑书未提供有效联系人或联系方式的；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（6）质疑事项已经进入投诉或者诉讼程序的；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（7）其它不符合受理条件的情形。</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9.7.10质疑人有下列情形之一的，代理机构应驳回质疑：</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（1）质疑缺乏事实和法律依据的；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（2）质疑人捏造事实、提供虚假材料，或在一定期限内多次质疑而无实据的；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（3）质疑已经处理并答复后，质疑人就同一事项又提起质疑且未提供新的有效证据的；</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（4）其他根据相关法律、法规应当予以驳回的情形。</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质疑答复导致中标、成交结果改变的，采购人或者采购代理机构应当将有关情况书面报告本级财政部门。</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pStyle w:val="17"/>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p>
    <w:p>
      <w:pPr>
        <w:pageBreakBefore w:val="0"/>
        <w:kinsoku/>
        <w:wordWrap/>
        <w:overflowPunct/>
        <w:topLinePunct w:val="0"/>
        <w:autoSpaceDE/>
        <w:autoSpaceDN/>
        <w:bidi w:val="0"/>
        <w:spacing w:line="48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质疑函范本</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一、质疑供应商基本信息</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质疑供应商：</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二、质疑项目基本情况</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质疑项目的名称：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质疑项目的编号：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采购文件获取日期：</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三、质疑事项具体内容</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质疑事项1：</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质疑事项2</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四、与质疑事项相关的质疑请求</w:t>
      </w:r>
    </w:p>
    <w:p>
      <w:pPr>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 xml:space="preserve">)：                   公章：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质疑函制作说明：</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1.供应商提出质疑时，应提交质疑函和必要的证明材料。</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szCs w:val="24"/>
          <w14:textFill>
            <w14:solidFill>
              <w14:schemeClr w14:val="tx1"/>
            </w14:solidFill>
          </w14:textFill>
        </w:rPr>
        <w:t>供应商签署的授权委托书。授权委托书应载明代理人的姓名或者名称、代理事项、具体权限、期限和相关事项。</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3.质疑供应商若对项目的某一分包进行质疑，质疑函中应列明具体分包号。</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4.质疑函的质疑事项应具体、明确，并有必要的事实依据和法律依据。</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5.质疑函的质疑请求应与质疑事项相关。</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附件2</w:t>
      </w:r>
    </w:p>
    <w:p>
      <w:pPr>
        <w:pageBreakBefore w:val="0"/>
        <w:kinsoku/>
        <w:wordWrap/>
        <w:overflowPunct/>
        <w:topLinePunct w:val="0"/>
        <w:autoSpaceDE/>
        <w:autoSpaceDN/>
        <w:bidi w:val="0"/>
        <w:spacing w:line="48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投诉书范本</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一、投诉相关主体基本情况</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510"/>
        </w:tabs>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510"/>
        </w:tabs>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被投诉人1：</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被投诉人2</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相关供应商：</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二、投诉项目基本情况</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编号：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采购文件公告:</w:t>
      </w:r>
      <w:r>
        <w:rPr>
          <w:rFonts w:hint="eastAsia" w:ascii="宋体" w:hAnsi="宋体" w:eastAsia="宋体" w:cs="宋体"/>
          <w:color w:val="000000" w:themeColor="text1"/>
          <w:sz w:val="24"/>
          <w:szCs w:val="24"/>
          <w:u w:val="single"/>
          <w14:textFill>
            <w14:solidFill>
              <w14:schemeClr w14:val="tx1"/>
            </w14:solidFill>
          </w14:textFill>
        </w:rPr>
        <w:t xml:space="preserve">是/否 </w:t>
      </w:r>
      <w:r>
        <w:rPr>
          <w:rFonts w:hint="eastAsia" w:ascii="宋体" w:hAnsi="宋体" w:eastAsia="宋体" w:cs="宋体"/>
          <w:color w:val="000000" w:themeColor="text1"/>
          <w:sz w:val="24"/>
          <w:szCs w:val="24"/>
          <w14:textFill>
            <w14:solidFill>
              <w14:schemeClr w14:val="tx1"/>
            </w14:solidFill>
          </w14:textFill>
        </w:rPr>
        <w:t xml:space="preserve">    公告期限：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采购结果公告:</w:t>
      </w:r>
      <w:r>
        <w:rPr>
          <w:rFonts w:hint="eastAsia" w:ascii="宋体" w:hAnsi="宋体" w:eastAsia="宋体" w:cs="宋体"/>
          <w:color w:val="000000" w:themeColor="text1"/>
          <w:sz w:val="24"/>
          <w:szCs w:val="24"/>
          <w:u w:val="single"/>
          <w14:textFill>
            <w14:solidFill>
              <w14:schemeClr w14:val="tx1"/>
            </w14:solidFill>
          </w14:textFill>
        </w:rPr>
        <w:t xml:space="preserve">是/否 </w:t>
      </w:r>
      <w:r>
        <w:rPr>
          <w:rFonts w:hint="eastAsia" w:ascii="宋体" w:hAnsi="宋体" w:eastAsia="宋体" w:cs="宋体"/>
          <w:color w:val="000000" w:themeColor="text1"/>
          <w:sz w:val="24"/>
          <w:szCs w:val="24"/>
          <w14:textFill>
            <w14:solidFill>
              <w14:schemeClr w14:val="tx1"/>
            </w14:solidFill>
          </w14:textFill>
        </w:rPr>
        <w:t xml:space="preserve">    公告期限：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三、质疑基本情况</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提出质疑，质疑事项为：</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采购人/代理机构</w:t>
      </w:r>
      <w:r>
        <w:rPr>
          <w:rFonts w:hint="eastAsia" w:ascii="宋体" w:hAnsi="宋体" w:eastAsia="宋体" w:cs="宋体"/>
          <w:color w:val="000000" w:themeColor="text1"/>
          <w:sz w:val="24"/>
          <w:szCs w:val="24"/>
          <w14:textFill>
            <w14:solidFill>
              <w14:schemeClr w14:val="tx1"/>
            </w14:solidFill>
          </w14:textFill>
        </w:rPr>
        <w:t>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日,就质疑事项作出了答复/没有在法定期限内作出答复。</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四、投诉事项具体内容</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 1：</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投诉事项2</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u w:val="dott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五、与投诉事项相关的投诉请求</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pageBreakBefore w:val="0"/>
        <w:kinsoku/>
        <w:wordWrap/>
        <w:overflowPunct/>
        <w:topLinePunct w:val="0"/>
        <w:autoSpaceDE/>
        <w:autoSpaceDN/>
        <w:bidi w:val="0"/>
        <w:spacing w:line="48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投诉书制作说明：</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szCs w:val="24"/>
          <w14:textFill>
            <w14:solidFill>
              <w14:schemeClr w14:val="tx1"/>
            </w14:solidFill>
          </w14:textFill>
        </w:rPr>
        <w:t>投诉人签署的授权委托书。授权委托书应当载明代理人的姓名或者名称、代理事项、具体权限、期限和相关事项。</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3.投诉人若对项目的某一分包进行投诉，投诉书应列明具体分包号。</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4.投诉书应简要列明质疑事项，质疑函、质疑答复等作为附件材料提供。</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5.投诉书的投诉事项应具体、明确，并有必要的事实依据和法律依据。</w:t>
      </w:r>
    </w:p>
    <w:p>
      <w:pPr>
        <w:pageBreakBefore w:val="0"/>
        <w:widowControl/>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6.投诉书的投诉请求应与投诉事项相关。</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footerReference r:id="rId10" w:type="first"/>
          <w:footerReference r:id="rId9"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p>
    <w:p>
      <w:pPr>
        <w:pageBreakBefore w:val="0"/>
        <w:kinsoku/>
        <w:wordWrap/>
        <w:overflowPunct/>
        <w:topLinePunct w:val="0"/>
        <w:autoSpaceDE/>
        <w:autoSpaceDN/>
        <w:bidi w:val="0"/>
        <w:spacing w:line="480" w:lineRule="auto"/>
        <w:ind w:firstLine="482" w:firstLineChars="200"/>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80" w:name="_Toc25074"/>
      <w:bookmarkStart w:id="81" w:name="_Toc526842692"/>
      <w:bookmarkStart w:id="82" w:name="_Toc421778374"/>
      <w:bookmarkStart w:id="83" w:name="_Toc425240473"/>
      <w:bookmarkStart w:id="84" w:name="_Toc420591652"/>
      <w:r>
        <w:rPr>
          <w:rFonts w:hint="eastAsia" w:ascii="宋体" w:hAnsi="宋体" w:eastAsia="宋体" w:cs="宋体"/>
          <w:b/>
          <w:color w:val="000000" w:themeColor="text1"/>
          <w:sz w:val="24"/>
          <w:szCs w:val="24"/>
          <w14:textFill>
            <w14:solidFill>
              <w14:schemeClr w14:val="tx1"/>
            </w14:solidFill>
          </w14:textFill>
        </w:rPr>
        <w:t>10、需要补充的其他内容</w:t>
      </w:r>
      <w:bookmarkEnd w:id="80"/>
      <w:bookmarkEnd w:id="81"/>
      <w:bookmarkStart w:id="85" w:name="_Toc356305901"/>
    </w:p>
    <w:bookmarkEnd w:id="82"/>
    <w:bookmarkEnd w:id="83"/>
    <w:bookmarkEnd w:id="84"/>
    <w:bookmarkEnd w:id="85"/>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bookmarkStart w:id="86" w:name="_Hlk525811728"/>
      <w:r>
        <w:rPr>
          <w:rFonts w:hint="eastAsia" w:ascii="宋体" w:hAnsi="宋体" w:eastAsia="宋体" w:cs="宋体"/>
          <w:b/>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合格投标人不足3家的有关法律条文</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（1）中华人民共和国财政部令第87号--政府采购货物和服务招标投标管理办法</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第四十一条 开标时，应当由投标人或者其推选的代表检查</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的密封情况；经确认无误后，由采购人或者采购代理机构工作人员当众拆封，宣布投标人名称、投标价格和</w:t>
      </w:r>
      <w:r>
        <w:rPr>
          <w:rFonts w:hint="eastAsia" w:ascii="宋体" w:hAnsi="宋体" w:eastAsia="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规定的需要宣布的其他内容。</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投标人不足3家的，不得开标。</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第四十四条 公开招标</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开标结束后，采购人或者采购代理机构应当依法对投标人的资格进行审查。</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合格投标人不足3家的，不得评标。</w:t>
      </w:r>
    </w:p>
    <w:bookmarkEnd w:id="86"/>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bookmarkStart w:id="87" w:name="_Toc525798436"/>
      <w:r>
        <w:rPr>
          <w:rFonts w:hint="eastAsia" w:ascii="宋体" w:hAnsi="宋体" w:eastAsia="宋体" w:cs="宋体"/>
          <w:b/>
          <w:color w:val="000000" w:themeColor="text1"/>
          <w:sz w:val="24"/>
          <w:szCs w:val="24"/>
          <w14:textFill>
            <w14:solidFill>
              <w14:schemeClr w14:val="tx1"/>
            </w14:solidFill>
          </w14:textFill>
        </w:rPr>
        <w:t>财政部关于政府采购竞争性磋商采购方式管理暂行办法有关问题的补充通知</w:t>
      </w:r>
      <w:bookmarkEnd w:id="87"/>
      <w:r>
        <w:rPr>
          <w:rFonts w:hint="eastAsia" w:ascii="宋体" w:hAnsi="宋体" w:eastAsia="宋体" w:cs="宋体"/>
          <w:b/>
          <w:color w:val="000000" w:themeColor="text1"/>
          <w:sz w:val="24"/>
          <w:szCs w:val="24"/>
          <w14:textFill>
            <w14:solidFill>
              <w14:schemeClr w14:val="tx1"/>
            </w14:solidFill>
          </w14:textFill>
        </w:rPr>
        <w:t>--财库〔2015〕124号</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ageBreakBefore w:val="0"/>
        <w:kinsoku/>
        <w:wordWrap/>
        <w:overflowPunct/>
        <w:topLinePunct w:val="0"/>
        <w:autoSpaceDE/>
        <w:autoSpaceDN/>
        <w:bidi w:val="0"/>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（3）财政部关于印发《政府采购竞争性磋商采购方式管理暂行办法》的通知--财库〔2014〕214号</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最后报价是供应商响应文件的有效组成部分。符合本办法第三条第四项情形的，提交最后报价的供应商可以为2家。</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bookmarkStart w:id="88" w:name="_Toc454100766"/>
      <w:bookmarkStart w:id="89" w:name="_Toc359828156"/>
      <w:bookmarkStart w:id="90" w:name="_Toc363113718"/>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代理服务费</w:t>
      </w:r>
      <w:bookmarkEnd w:id="88"/>
      <w:bookmarkEnd w:id="89"/>
      <w:bookmarkEnd w:id="90"/>
    </w:p>
    <w:p>
      <w:pPr>
        <w:pageBreakBefore w:val="0"/>
        <w:kinsoku/>
        <w:wordWrap/>
        <w:overflowPunct/>
        <w:topLinePunct w:val="0"/>
        <w:autoSpaceDE/>
        <w:autoSpaceDN/>
        <w:bidi w:val="0"/>
        <w:spacing w:line="480" w:lineRule="auto"/>
        <w:ind w:firstLine="480" w:firstLineChars="200"/>
        <w:textAlignment w:val="auto"/>
        <w:rPr>
          <w:rFonts w:hint="eastAsia"/>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color w:val="000000"/>
          <w:sz w:val="24"/>
          <w:szCs w:val="24"/>
        </w:rPr>
        <w:t>10.6.1</w:t>
      </w:r>
      <w:r>
        <w:rPr>
          <w:rFonts w:hint="eastAsia" w:ascii="宋体" w:hAnsi="宋体" w:eastAsia="宋体" w:cs="宋体"/>
          <w:color w:val="000000"/>
          <w:sz w:val="24"/>
          <w:szCs w:val="24"/>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pPr>
        <w:pStyle w:val="3"/>
        <w:numPr>
          <w:ilvl w:val="0"/>
          <w:numId w:val="4"/>
        </w:numPr>
        <w:jc w:val="center"/>
        <w:rPr>
          <w:rFonts w:hint="eastAsia" w:ascii="宋体" w:hAnsi="宋体" w:eastAsia="宋体" w:cs="宋体"/>
          <w:color w:val="000000" w:themeColor="text1"/>
          <w:sz w:val="32"/>
          <w:szCs w:val="32"/>
          <w14:textFill>
            <w14:solidFill>
              <w14:schemeClr w14:val="tx1"/>
            </w14:solidFill>
          </w14:textFill>
        </w:rPr>
      </w:pPr>
      <w:bookmarkStart w:id="91" w:name="_Toc9686"/>
      <w:bookmarkStart w:id="92" w:name="_Toc421778376"/>
      <w:r>
        <w:rPr>
          <w:rFonts w:hint="eastAsia" w:ascii="宋体" w:hAnsi="宋体" w:eastAsia="宋体" w:cs="宋体"/>
          <w:color w:val="000000" w:themeColor="text1"/>
          <w:sz w:val="32"/>
          <w:szCs w:val="32"/>
          <w14:textFill>
            <w14:solidFill>
              <w14:schemeClr w14:val="tx1"/>
            </w14:solidFill>
          </w14:textFill>
        </w:rPr>
        <w:t>评标办法</w:t>
      </w:r>
      <w:bookmarkEnd w:id="91"/>
      <w:bookmarkEnd w:id="92"/>
    </w:p>
    <w:p>
      <w:pPr>
        <w:pStyle w:val="4"/>
        <w:spacing w:before="0" w:after="0" w:line="360" w:lineRule="auto"/>
        <w:jc w:val="center"/>
        <w:rPr>
          <w:rFonts w:hint="eastAsia"/>
          <w:highlight w:val="yellow"/>
        </w:rPr>
      </w:pPr>
      <w:bookmarkStart w:id="93"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3"/>
    </w:p>
    <w:tbl>
      <w:tblPr>
        <w:tblStyle w:val="3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82" w:type="dxa"/>
            <w:gridSpan w:val="2"/>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4" w:name="_Toc343511683"/>
            <w:bookmarkStart w:id="95" w:name="_Toc123211617"/>
            <w:bookmarkStart w:id="96" w:name="_Toc395711817"/>
            <w:bookmarkStart w:id="97" w:name="_Toc179632617"/>
            <w:bookmarkStart w:id="98" w:name="_Toc152042376"/>
            <w:bookmarkStart w:id="99" w:name="_Toc152045599"/>
            <w:bookmarkStart w:id="100" w:name="_Toc397410656"/>
            <w:bookmarkStart w:id="101" w:name="_Toc397410469"/>
            <w:bookmarkStart w:id="102" w:name="_Toc343511682"/>
            <w:bookmarkStart w:id="103" w:name="_Toc221523517"/>
            <w:bookmarkStart w:id="104" w:name="_Toc361406429"/>
            <w:bookmarkStart w:id="105" w:name="_Toc225592722"/>
            <w:bookmarkStart w:id="106" w:name="_Toc397585236"/>
            <w:bookmarkStart w:id="107" w:name="_Toc169940988"/>
            <w:bookmarkStart w:id="108" w:name="_Toc246996985"/>
            <w:bookmarkStart w:id="109" w:name="_Toc456197085"/>
            <w:bookmarkStart w:id="110" w:name="_Toc18142"/>
            <w:bookmarkStart w:id="111" w:name="_Toc394320898"/>
            <w:bookmarkStart w:id="112" w:name="_Toc397585167"/>
            <w:bookmarkStart w:id="113" w:name="_Toc361406350"/>
            <w:bookmarkStart w:id="114" w:name="_Toc247085757"/>
            <w:bookmarkStart w:id="115" w:name="_Toc145989485"/>
            <w:bookmarkStart w:id="116" w:name="_Toc144974566"/>
            <w:bookmarkStart w:id="117" w:name="_Toc112236889"/>
            <w:bookmarkStart w:id="118" w:name="_Toc132684599"/>
            <w:bookmarkStart w:id="119" w:name="_Toc246996242"/>
            <w:r>
              <w:rPr>
                <w:rFonts w:hint="eastAsia" w:ascii="宋体" w:hAnsi="宋体" w:eastAsia="宋体" w:cs="宋体"/>
                <w:b/>
                <w:color w:val="000000" w:themeColor="text1"/>
                <w:sz w:val="24"/>
                <w:szCs w:val="24"/>
                <w14:textFill>
                  <w14:solidFill>
                    <w14:schemeClr w14:val="tx1"/>
                  </w14:solidFill>
                </w14:textFill>
              </w:rPr>
              <w:t>条款号</w:t>
            </w:r>
            <w:bookmarkEnd w:id="94"/>
          </w:p>
        </w:tc>
        <w:tc>
          <w:tcPr>
            <w:tcW w:w="2286"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4"/>
            <w:r>
              <w:rPr>
                <w:rFonts w:hint="eastAsia" w:ascii="宋体" w:hAnsi="宋体" w:eastAsia="宋体" w:cs="宋体"/>
                <w:b/>
                <w:color w:val="000000" w:themeColor="text1"/>
                <w:sz w:val="24"/>
                <w:szCs w:val="24"/>
                <w14:textFill>
                  <w14:solidFill>
                    <w14:schemeClr w14:val="tx1"/>
                  </w14:solidFill>
                </w14:textFill>
              </w:rPr>
              <w:t>评审因素</w:t>
            </w:r>
            <w:bookmarkEnd w:id="120"/>
          </w:p>
        </w:tc>
        <w:tc>
          <w:tcPr>
            <w:tcW w:w="6439"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1"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Align w:val="center"/>
          </w:tcPr>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restar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6"/>
            <w:r>
              <w:rPr>
                <w:rFonts w:hint="eastAsia" w:ascii="宋体" w:hAnsi="宋体" w:eastAsia="宋体" w:cs="宋体"/>
                <w:color w:val="000000" w:themeColor="text1"/>
                <w:sz w:val="24"/>
                <w:szCs w:val="24"/>
                <w14:textFill>
                  <w14:solidFill>
                    <w14:schemeClr w14:val="tx1"/>
                  </w14:solidFill>
                </w14:textFill>
              </w:rPr>
              <w:t>2.1.1</w:t>
            </w:r>
            <w:bookmarkEnd w:id="122"/>
          </w:p>
        </w:tc>
        <w:tc>
          <w:tcPr>
            <w:tcW w:w="772" w:type="dxa"/>
            <w:vMerge w:val="restar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7"/>
            <w:r>
              <w:rPr>
                <w:rFonts w:hint="eastAsia" w:ascii="宋体" w:hAnsi="宋体" w:eastAsia="宋体" w:cs="宋体"/>
                <w:color w:val="000000" w:themeColor="text1"/>
                <w:sz w:val="24"/>
                <w:szCs w:val="24"/>
                <w14:textFill>
                  <w14:solidFill>
                    <w14:schemeClr w14:val="tx1"/>
                  </w14:solidFill>
                </w14:textFill>
              </w:rPr>
              <w:t>形式</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3"/>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4"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4"/>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5" w:name="_Toc343511689"/>
            <w:r>
              <w:rPr>
                <w:rFonts w:hint="eastAsia" w:ascii="宋体" w:hAnsi="宋体" w:eastAsia="宋体" w:cs="宋体"/>
                <w:color w:val="000000" w:themeColor="text1"/>
                <w:sz w:val="24"/>
                <w:szCs w:val="24"/>
                <w14:textFill>
                  <w14:solidFill>
                    <w14:schemeClr w14:val="tx1"/>
                  </w14:solidFill>
                </w14:textFill>
              </w:rPr>
              <w:t>与营业执照一致</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0"/>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函签字盖章</w:t>
            </w:r>
            <w:bookmarkEnd w:id="126"/>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7" w:name="_Toc343511692"/>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文件格式</w:t>
            </w:r>
            <w:bookmarkEnd w:id="127"/>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8" w:name="_Toc343511693"/>
            <w:r>
              <w:rPr>
                <w:rFonts w:hint="eastAsia" w:ascii="宋体" w:hAnsi="宋体" w:eastAsia="宋体" w:cs="宋体"/>
                <w:color w:val="000000" w:themeColor="text1"/>
                <w:sz w:val="24"/>
                <w:szCs w:val="24"/>
                <w14:textFill>
                  <w14:solidFill>
                    <w14:schemeClr w14:val="tx1"/>
                  </w14:solidFill>
                </w14:textFill>
              </w:rPr>
              <w:t>符合第</w:t>
            </w: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lang w:val="en-US" w:eastAsia="zh-CN"/>
                <w14:textFill>
                  <w14:solidFill>
                    <w14:schemeClr w14:val="tx1"/>
                  </w14:solidFill>
                </w14:textFill>
              </w:rPr>
              <w:t>磋商响应</w:t>
            </w:r>
            <w:r>
              <w:rPr>
                <w:rFonts w:hint="eastAsia" w:ascii="宋体" w:hAnsi="宋体" w:eastAsia="宋体" w:cs="宋体"/>
                <w:color w:val="000000" w:themeColor="text1"/>
                <w:sz w:val="24"/>
                <w:szCs w:val="24"/>
                <w14:textFill>
                  <w14:solidFill>
                    <w14:schemeClr w14:val="tx1"/>
                  </w14:solidFill>
                </w14:textFill>
              </w:rPr>
              <w:t>文件格式”的要求</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9" w:name="_Toc343511694"/>
            <w:r>
              <w:rPr>
                <w:rFonts w:hint="eastAsia" w:ascii="宋体" w:hAnsi="宋体" w:eastAsia="宋体" w:cs="宋体"/>
                <w:color w:val="000000" w:themeColor="text1"/>
                <w:sz w:val="24"/>
                <w:szCs w:val="24"/>
                <w14:textFill>
                  <w14:solidFill>
                    <w14:schemeClr w14:val="tx1"/>
                  </w14:solidFill>
                </w14:textFill>
              </w:rPr>
              <w:t>报价唯一</w:t>
            </w:r>
            <w:bookmarkEnd w:id="129"/>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0"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restar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0"/>
            <w:r>
              <w:rPr>
                <w:rFonts w:hint="eastAsia" w:ascii="宋体" w:hAnsi="宋体" w:eastAsia="宋体" w:cs="宋体"/>
                <w:color w:val="000000" w:themeColor="text1"/>
                <w:sz w:val="24"/>
                <w:szCs w:val="24"/>
                <w14:textFill>
                  <w14:solidFill>
                    <w14:schemeClr w14:val="tx1"/>
                  </w14:solidFill>
                </w14:textFill>
              </w:rPr>
              <w:t>2.1.</w:t>
            </w:r>
            <w:bookmarkEnd w:id="131"/>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1"/>
            <w:r>
              <w:rPr>
                <w:rFonts w:hint="eastAsia" w:ascii="宋体" w:hAnsi="宋体" w:eastAsia="宋体" w:cs="宋体"/>
                <w:color w:val="000000" w:themeColor="text1"/>
                <w:sz w:val="24"/>
                <w:szCs w:val="24"/>
                <w14:textFill>
                  <w14:solidFill>
                    <w14:schemeClr w14:val="tx1"/>
                  </w14:solidFill>
                </w14:textFill>
              </w:rPr>
              <w:t>响应性</w:t>
            </w:r>
            <w:bookmarkEnd w:id="132"/>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3" w:name="_Toc343511712"/>
            <w:r>
              <w:rPr>
                <w:rFonts w:hint="eastAsia" w:ascii="宋体" w:hAnsi="宋体" w:eastAsia="宋体" w:cs="宋体"/>
                <w:color w:val="000000" w:themeColor="text1"/>
                <w:sz w:val="24"/>
                <w:szCs w:val="24"/>
                <w14:textFill>
                  <w14:solidFill>
                    <w14:schemeClr w14:val="tx1"/>
                  </w14:solidFill>
                </w14:textFill>
              </w:rPr>
              <w:t>评审</w:t>
            </w:r>
            <w:bookmarkEnd w:id="133"/>
            <w:bookmarkStart w:id="134" w:name="_Toc343511713"/>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4"/>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5" w:name="_Toc34351171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5"/>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6"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7" w:name="_Toc343511716"/>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7"/>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9"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质保期</w:t>
            </w:r>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符合第二章“供应商须知”第1.3.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0" w:name="_Toc34351172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40"/>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1"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工程量清单</w:t>
            </w:r>
          </w:p>
        </w:tc>
        <w:tc>
          <w:tcPr>
            <w:tcW w:w="643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bookmarkStart w:id="142" w:name="_Toc343511729"/>
            <w:r>
              <w:rPr>
                <w:rFonts w:hint="eastAsia" w:ascii="宋体" w:hAnsi="宋体" w:eastAsia="宋体" w:cs="宋体"/>
                <w:color w:val="000000" w:themeColor="text1"/>
                <w:sz w:val="24"/>
                <w:szCs w:val="24"/>
                <w14:textFill>
                  <w14:solidFill>
                    <w14:schemeClr w14:val="tx1"/>
                  </w14:solidFill>
                </w14:textFill>
              </w:rPr>
              <w:t>符合第五章“</w:t>
            </w:r>
            <w:r>
              <w:rPr>
                <w:rFonts w:hint="eastAsia" w:ascii="宋体" w:hAnsi="宋体" w:cs="宋体"/>
                <w:color w:val="000000" w:themeColor="text1"/>
                <w:sz w:val="24"/>
                <w:szCs w:val="24"/>
                <w:lang w:eastAsia="zh-CN"/>
                <w14:textFill>
                  <w14:solidFill>
                    <w14:schemeClr w14:val="tx1"/>
                  </w14:solidFill>
                </w14:textFill>
              </w:rPr>
              <w:t>工程量清单</w:t>
            </w:r>
            <w:r>
              <w:rPr>
                <w:rFonts w:hint="eastAsia" w:ascii="宋体" w:hAnsi="宋体" w:eastAsia="宋体" w:cs="宋体"/>
                <w:color w:val="000000" w:themeColor="text1"/>
                <w:sz w:val="24"/>
                <w:szCs w:val="24"/>
                <w14:textFill>
                  <w14:solidFill>
                    <w14:schemeClr w14:val="tx1"/>
                  </w14:solidFill>
                </w14:textFill>
              </w:rPr>
              <w:t>”。</w:t>
            </w:r>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3" w:name="_Toc343511732"/>
            <w:r>
              <w:rPr>
                <w:rFonts w:hint="eastAsia" w:ascii="宋体" w:hAnsi="宋体" w:eastAsia="宋体" w:cs="宋体"/>
                <w:b/>
                <w:color w:val="000000" w:themeColor="text1"/>
                <w:sz w:val="24"/>
                <w:szCs w:val="24"/>
                <w14:textFill>
                  <w14:solidFill>
                    <w14:schemeClr w14:val="tx1"/>
                  </w14:solidFill>
                </w14:textFill>
              </w:rPr>
              <w:t>条款号</w:t>
            </w:r>
            <w:bookmarkEnd w:id="143"/>
          </w:p>
        </w:tc>
        <w:tc>
          <w:tcPr>
            <w:tcW w:w="2286"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4"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4"/>
          </w:p>
        </w:tc>
        <w:tc>
          <w:tcPr>
            <w:tcW w:w="6439"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5"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6" w:name="_Toc343511735"/>
            <w:r>
              <w:rPr>
                <w:rFonts w:hint="eastAsia" w:ascii="宋体" w:hAnsi="宋体" w:eastAsia="宋体" w:cs="宋体"/>
                <w:b/>
                <w:bCs/>
                <w:color w:val="000000" w:themeColor="text1"/>
                <w:sz w:val="24"/>
                <w:szCs w:val="24"/>
                <w14:textFill>
                  <w14:solidFill>
                    <w14:schemeClr w14:val="tx1"/>
                  </w14:solidFill>
                </w14:textFill>
              </w:rPr>
              <w:t>2.2.1</w:t>
            </w:r>
            <w:bookmarkEnd w:id="146"/>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7" w:name="_Toc343511736"/>
            <w:r>
              <w:rPr>
                <w:rFonts w:hint="eastAsia" w:ascii="宋体" w:hAnsi="宋体" w:eastAsia="宋体" w:cs="宋体"/>
                <w:color w:val="000000" w:themeColor="text1"/>
                <w:sz w:val="24"/>
                <w:szCs w:val="24"/>
                <w14:textFill>
                  <w14:solidFill>
                    <w14:schemeClr w14:val="tx1"/>
                  </w14:solidFill>
                </w14:textFill>
              </w:rPr>
              <w:t>分值构成</w:t>
            </w:r>
            <w:bookmarkEnd w:id="147"/>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8" w:name="_Toc343511737"/>
            <w:r>
              <w:rPr>
                <w:rFonts w:hint="eastAsia" w:ascii="宋体" w:hAnsi="宋体" w:eastAsia="宋体" w:cs="宋体"/>
                <w:color w:val="000000" w:themeColor="text1"/>
                <w:sz w:val="24"/>
                <w:szCs w:val="24"/>
                <w14:textFill>
                  <w14:solidFill>
                    <w14:schemeClr w14:val="tx1"/>
                  </w14:solidFill>
                </w14:textFill>
              </w:rPr>
              <w:t>(总分100分)</w:t>
            </w:r>
            <w:bookmarkEnd w:id="148"/>
          </w:p>
        </w:tc>
        <w:tc>
          <w:tcPr>
            <w:tcW w:w="6439"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9"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49"/>
            <w:r>
              <w:rPr>
                <w:rFonts w:hint="eastAsia" w:ascii="宋体" w:hAnsi="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0"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bookmarkEnd w:id="150"/>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151" w:name="_Toc343511740"/>
            <w:r>
              <w:rPr>
                <w:rFonts w:hint="eastAsia" w:ascii="宋体" w:hAnsi="宋体" w:eastAsia="宋体" w:cs="宋体"/>
                <w:b/>
                <w:bCs/>
                <w:color w:val="000000" w:themeColor="text1"/>
                <w:sz w:val="24"/>
                <w:szCs w:val="24"/>
                <w14:textFill>
                  <w14:solidFill>
                    <w14:schemeClr w14:val="tx1"/>
                  </w14:solidFill>
                </w14:textFill>
              </w:rPr>
              <w:t>2.2.2</w:t>
            </w:r>
            <w:bookmarkEnd w:id="151"/>
          </w:p>
        </w:tc>
        <w:tc>
          <w:tcPr>
            <w:tcW w:w="2286" w:type="dxa"/>
            <w:vAlign w:val="center"/>
          </w:tcPr>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152" w:name="_Toc343511741"/>
            <w:r>
              <w:rPr>
                <w:rFonts w:hint="eastAsia" w:ascii="宋体" w:hAnsi="宋体" w:eastAsia="宋体" w:cs="宋体"/>
                <w:b/>
                <w:bCs/>
                <w:color w:val="000000" w:themeColor="text1"/>
                <w:sz w:val="24"/>
                <w:szCs w:val="24"/>
                <w14:textFill>
                  <w14:solidFill>
                    <w14:schemeClr w14:val="tx1"/>
                  </w14:solidFill>
                </w14:textFill>
              </w:rPr>
              <w:t>评标方法</w:t>
            </w:r>
            <w:bookmarkEnd w:id="152"/>
          </w:p>
        </w:tc>
        <w:tc>
          <w:tcPr>
            <w:tcW w:w="6439" w:type="dxa"/>
            <w:vAlign w:val="center"/>
          </w:tcPr>
          <w:p>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bookmarkStart w:id="153" w:name="_Toc343511742"/>
            <w:r>
              <w:rPr>
                <w:rFonts w:hint="eastAsia" w:ascii="宋体" w:hAnsi="宋体" w:eastAsia="宋体" w:cs="宋体"/>
                <w:b/>
                <w:bCs/>
                <w:color w:val="000000" w:themeColor="text1"/>
                <w:sz w:val="24"/>
                <w:szCs w:val="24"/>
                <w14:textFill>
                  <w14:solidFill>
                    <w14:schemeClr w14:val="tx1"/>
                  </w14:solidFill>
                </w14:textFill>
              </w:rPr>
              <w:t>详细评审</w:t>
            </w:r>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44</w:t>
            </w:r>
            <w:r>
              <w:rPr>
                <w:rFonts w:hint="eastAsia" w:ascii="宋体" w:hAnsi="宋体" w:eastAsia="宋体" w:cs="宋体"/>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482" w:type="dxa"/>
            <w:gridSpan w:val="2"/>
            <w:vMerge w:val="restar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4" w:name="_Hlk521924147"/>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14:textFill>
                  <w14:solidFill>
                    <w14:schemeClr w14:val="tx1"/>
                  </w14:solidFill>
                </w14:textFill>
              </w:rPr>
              <w:t>标</w:t>
            </w:r>
          </w:p>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部分</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施工组织设计</w:t>
            </w:r>
            <w:r>
              <w:rPr>
                <w:rFonts w:hint="eastAsia" w:ascii="宋体" w:hAnsi="宋体" w:eastAsia="宋体" w:cs="宋体"/>
                <w:color w:val="000000"/>
                <w:kern w:val="0"/>
                <w:sz w:val="24"/>
                <w:szCs w:val="24"/>
                <w:lang w:val="en-US" w:eastAsia="zh-CN" w:bidi="ar"/>
              </w:rPr>
              <w:t>（满分</w:t>
            </w:r>
            <w:r>
              <w:rPr>
                <w:rFonts w:hint="eastAsia" w:ascii="宋体" w:hAnsi="宋体" w:cs="宋体"/>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overflowPunct w:val="0"/>
              <w:topLinePunct/>
              <w:autoSpaceDE w:val="0"/>
              <w:adjustRightInd w:val="0"/>
              <w:spacing w:line="360" w:lineRule="auto"/>
              <w:jc w:val="left"/>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 xml:space="preserve"> </w:t>
            </w:r>
          </w:p>
        </w:tc>
        <w:tc>
          <w:tcPr>
            <w:tcW w:w="6439" w:type="dxa"/>
            <w:vAlign w:val="center"/>
          </w:tcPr>
          <w:p>
            <w:pPr>
              <w:keepNext w:val="0"/>
              <w:keepLines w:val="0"/>
              <w:widowControl/>
              <w:numPr>
                <w:ilvl w:val="0"/>
                <w:numId w:val="0"/>
              </w:numPr>
              <w:suppressLineNumbers w:val="0"/>
              <w:spacing w:line="480" w:lineRule="auto"/>
              <w:jc w:val="both"/>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一、评审内容</w:t>
            </w:r>
          </w:p>
          <w:p>
            <w:pPr>
              <w:keepNext w:val="0"/>
              <w:keepLines w:val="0"/>
              <w:widowControl/>
              <w:numPr>
                <w:ilvl w:val="0"/>
                <w:numId w:val="0"/>
              </w:numPr>
              <w:suppressLineNumbers w:val="0"/>
              <w:spacing w:line="480" w:lineRule="auto"/>
              <w:ind w:firstLine="480" w:firstLineChars="200"/>
              <w:jc w:val="both"/>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根据投标人提供的施工计划和方案</w:t>
            </w:r>
            <w:r>
              <w:rPr>
                <w:rFonts w:hint="eastAsia" w:ascii="宋体" w:hAnsi="宋体" w:cs="宋体"/>
                <w:color w:val="000000"/>
                <w:kern w:val="0"/>
                <w:sz w:val="24"/>
                <w:szCs w:val="24"/>
                <w:lang w:val="en-US" w:eastAsia="zh-CN" w:bidi="ar"/>
              </w:rPr>
              <w:t>，内容</w:t>
            </w:r>
            <w:r>
              <w:rPr>
                <w:rFonts w:hint="eastAsia" w:ascii="宋体" w:hAnsi="宋体" w:eastAsia="宋体" w:cs="宋体"/>
                <w:color w:val="000000"/>
                <w:kern w:val="0"/>
                <w:sz w:val="24"/>
                <w:szCs w:val="24"/>
                <w:lang w:val="en-US" w:eastAsia="zh-CN" w:bidi="ar"/>
              </w:rPr>
              <w:t>包括</w:t>
            </w:r>
            <w:r>
              <w:rPr>
                <w:rFonts w:hint="eastAsia" w:ascii="宋体" w:hAnsi="宋体" w:eastAsia="宋体" w:cs="宋体"/>
                <w:b w:val="0"/>
                <w:bCs w:val="0"/>
                <w:snapToGrid w:val="0"/>
                <w:color w:val="000000"/>
                <w:kern w:val="0"/>
                <w:sz w:val="24"/>
                <w:szCs w:val="24"/>
                <w:lang w:val="en-US" w:eastAsia="zh-CN"/>
              </w:rPr>
              <w:t>①总体</w:t>
            </w:r>
            <w:r>
              <w:rPr>
                <w:rFonts w:hint="eastAsia" w:ascii="宋体" w:hAnsi="宋体" w:eastAsia="宋体" w:cs="宋体"/>
                <w:color w:val="000000"/>
                <w:kern w:val="0"/>
                <w:sz w:val="24"/>
                <w:szCs w:val="24"/>
                <w:lang w:val="en-US" w:eastAsia="zh-CN" w:bidi="ar"/>
              </w:rPr>
              <w:t>工程措施方案</w:t>
            </w:r>
            <w:r>
              <w:rPr>
                <w:rFonts w:hint="eastAsia" w:ascii="宋体" w:hAnsi="宋体" w:eastAsia="宋体" w:cs="宋体"/>
                <w:snapToGrid w:val="0"/>
                <w:color w:val="000000"/>
                <w:kern w:val="0"/>
                <w:sz w:val="24"/>
                <w:szCs w:val="24"/>
                <w:lang w:val="en-US" w:eastAsia="zh-CN"/>
              </w:rPr>
              <w:t>②</w:t>
            </w:r>
            <w:r>
              <w:rPr>
                <w:rFonts w:hint="eastAsia" w:ascii="宋体" w:hAnsi="宋体" w:eastAsia="宋体" w:cs="宋体"/>
                <w:color w:val="000000"/>
                <w:kern w:val="0"/>
                <w:sz w:val="24"/>
                <w:szCs w:val="24"/>
                <w:lang w:val="en-US" w:eastAsia="zh-CN" w:bidi="ar"/>
              </w:rPr>
              <w:t>进度安排计划</w:t>
            </w:r>
            <w:r>
              <w:rPr>
                <w:rFonts w:hint="eastAsia" w:ascii="宋体" w:hAnsi="宋体" w:eastAsia="宋体" w:cs="宋体"/>
                <w:b w:val="0"/>
                <w:bCs w:val="0"/>
                <w:snapToGrid w:val="0"/>
                <w:kern w:val="0"/>
                <w:sz w:val="24"/>
                <w:szCs w:val="24"/>
                <w:lang w:val="en-US" w:eastAsia="zh-CN"/>
              </w:rPr>
              <w:t>③</w:t>
            </w:r>
            <w:r>
              <w:rPr>
                <w:rFonts w:hint="eastAsia" w:ascii="宋体" w:hAnsi="宋体" w:eastAsia="宋体" w:cs="宋体"/>
                <w:color w:val="000000"/>
                <w:kern w:val="0"/>
                <w:sz w:val="24"/>
                <w:szCs w:val="24"/>
                <w:lang w:val="en-US" w:eastAsia="zh-CN" w:bidi="ar"/>
              </w:rPr>
              <w:t>保障措施方案</w:t>
            </w:r>
            <w:r>
              <w:rPr>
                <w:rFonts w:hint="eastAsia" w:ascii="宋体" w:hAnsi="宋体" w:eastAsia="宋体" w:cs="宋体"/>
                <w:color w:val="000000"/>
                <w:sz w:val="24"/>
                <w:szCs w:val="24"/>
                <w:lang w:val="en-US" w:eastAsia="zh-CN"/>
              </w:rPr>
              <w:t>④应急方案⑤</w:t>
            </w:r>
            <w:r>
              <w:rPr>
                <w:rFonts w:hint="eastAsia" w:ascii="宋体" w:hAnsi="宋体" w:cs="宋体"/>
                <w:color w:val="000000"/>
                <w:sz w:val="24"/>
                <w:szCs w:val="24"/>
                <w:lang w:val="en-US" w:eastAsia="zh-CN"/>
              </w:rPr>
              <w:t>提供主要施工、试验检测仪器设备，</w:t>
            </w:r>
            <w:r>
              <w:rPr>
                <w:rFonts w:hint="eastAsia" w:ascii="宋体" w:hAnsi="宋体" w:cs="宋体"/>
                <w:color w:val="000000"/>
                <w:kern w:val="0"/>
                <w:sz w:val="24"/>
                <w:szCs w:val="24"/>
                <w:lang w:val="en-US" w:eastAsia="zh-CN" w:bidi="ar"/>
              </w:rPr>
              <w:t>满分26分。</w:t>
            </w:r>
          </w:p>
          <w:p>
            <w:pPr>
              <w:keepNext w:val="0"/>
              <w:keepLines w:val="0"/>
              <w:pageBreakBefore w:val="0"/>
              <w:widowControl w:val="0"/>
              <w:numPr>
                <w:ilvl w:val="0"/>
                <w:numId w:val="0"/>
              </w:numPr>
              <w:kinsoku/>
              <w:wordWrap/>
              <w:overflowPunct/>
              <w:topLinePunct w:val="0"/>
              <w:bidi w:val="0"/>
              <w:adjustRightInd/>
              <w:snapToGrid/>
              <w:spacing w:line="480" w:lineRule="auto"/>
              <w:jc w:val="both"/>
              <w:textAlignment w:val="auto"/>
              <w:rPr>
                <w:rFonts w:hint="eastAsia" w:ascii="宋体" w:hAnsi="宋体" w:eastAsia="宋体" w:cs="宋体"/>
                <w:b/>
                <w:bCs/>
                <w:snapToGrid w:val="0"/>
                <w:kern w:val="0"/>
                <w:sz w:val="24"/>
                <w:szCs w:val="24"/>
                <w:lang w:val="zh-CN" w:eastAsia="zh-CN"/>
              </w:rPr>
            </w:pPr>
            <w:r>
              <w:rPr>
                <w:rFonts w:hint="eastAsia" w:ascii="宋体" w:hAnsi="宋体" w:eastAsia="宋体" w:cs="宋体"/>
                <w:b/>
                <w:bCs/>
                <w:snapToGrid w:val="0"/>
                <w:kern w:val="0"/>
                <w:sz w:val="24"/>
                <w:szCs w:val="24"/>
                <w:lang w:val="zh-CN" w:eastAsia="zh-CN"/>
              </w:rPr>
              <w:t>二、评审标准</w:t>
            </w:r>
          </w:p>
          <w:p>
            <w:pPr>
              <w:keepNext w:val="0"/>
              <w:keepLines w:val="0"/>
              <w:pageBreakBefore w:val="0"/>
              <w:widowControl w:val="0"/>
              <w:numPr>
                <w:ilvl w:val="0"/>
                <w:numId w:val="0"/>
              </w:numPr>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zh-CN" w:eastAsia="zh-CN"/>
              </w:rPr>
            </w:pPr>
            <w:r>
              <w:rPr>
                <w:rFonts w:hint="eastAsia" w:ascii="宋体" w:hAnsi="宋体" w:eastAsia="宋体" w:cs="宋体"/>
                <w:b w:val="0"/>
                <w:bCs w:val="0"/>
                <w:snapToGrid w:val="0"/>
                <w:kern w:val="0"/>
                <w:sz w:val="24"/>
                <w:szCs w:val="24"/>
                <w:lang w:val="zh-CN" w:eastAsia="zh-CN"/>
              </w:rPr>
              <w:t>1</w:t>
            </w:r>
            <w:r>
              <w:rPr>
                <w:rFonts w:hint="eastAsia" w:ascii="宋体" w:hAnsi="宋体" w:eastAsia="宋体" w:cs="宋体"/>
                <w:b w:val="0"/>
                <w:bCs w:val="0"/>
                <w:snapToGrid w:val="0"/>
                <w:kern w:val="0"/>
                <w:sz w:val="24"/>
                <w:szCs w:val="24"/>
                <w:lang w:val="en-US" w:eastAsia="zh-CN"/>
              </w:rPr>
              <w:t>.</w:t>
            </w:r>
            <w:r>
              <w:rPr>
                <w:rFonts w:hint="eastAsia" w:ascii="宋体" w:hAnsi="宋体" w:eastAsia="宋体" w:cs="宋体"/>
                <w:b w:val="0"/>
                <w:bCs w:val="0"/>
                <w:snapToGrid w:val="0"/>
                <w:kern w:val="0"/>
                <w:sz w:val="24"/>
                <w:szCs w:val="24"/>
                <w:lang w:val="zh-CN" w:eastAsia="zh-CN"/>
              </w:rPr>
              <w:t>完整性：切合本项目实际情况，</w:t>
            </w:r>
            <w:r>
              <w:rPr>
                <w:rFonts w:hint="eastAsia" w:ascii="宋体" w:hAnsi="宋体" w:eastAsia="宋体" w:cs="宋体"/>
                <w:b w:val="0"/>
                <w:bCs w:val="0"/>
                <w:snapToGrid w:val="0"/>
                <w:kern w:val="0"/>
                <w:sz w:val="24"/>
                <w:szCs w:val="24"/>
                <w:lang w:val="en-US" w:eastAsia="zh-CN"/>
              </w:rPr>
              <w:t>施工计划和方案</w:t>
            </w:r>
            <w:r>
              <w:rPr>
                <w:rFonts w:hint="eastAsia" w:ascii="宋体" w:hAnsi="宋体" w:eastAsia="宋体" w:cs="宋体"/>
                <w:b w:val="0"/>
                <w:bCs w:val="0"/>
                <w:snapToGrid w:val="0"/>
                <w:kern w:val="0"/>
                <w:sz w:val="24"/>
                <w:szCs w:val="24"/>
                <w:lang w:val="zh-CN" w:eastAsia="zh-CN"/>
              </w:rPr>
              <w:t>内容</w:t>
            </w:r>
            <w:r>
              <w:rPr>
                <w:rFonts w:hint="eastAsia" w:ascii="宋体" w:hAnsi="宋体" w:eastAsia="宋体" w:cs="宋体"/>
                <w:b w:val="0"/>
                <w:bCs w:val="0"/>
                <w:snapToGrid w:val="0"/>
                <w:kern w:val="0"/>
                <w:sz w:val="24"/>
                <w:szCs w:val="24"/>
                <w:lang w:val="en-US" w:eastAsia="zh-CN"/>
              </w:rPr>
              <w:t>全面</w:t>
            </w:r>
            <w:r>
              <w:rPr>
                <w:rFonts w:hint="eastAsia" w:ascii="宋体" w:hAnsi="宋体" w:eastAsia="宋体" w:cs="宋体"/>
                <w:b w:val="0"/>
                <w:bCs w:val="0"/>
                <w:snapToGrid w:val="0"/>
                <w:kern w:val="0"/>
                <w:sz w:val="24"/>
                <w:szCs w:val="24"/>
                <w:lang w:val="zh-CN" w:eastAsia="zh-CN"/>
              </w:rPr>
              <w:t>，对招标文件中各项要求有详细描述及其他内容的补充；</w:t>
            </w:r>
          </w:p>
          <w:p>
            <w:pPr>
              <w:keepNext w:val="0"/>
              <w:keepLines w:val="0"/>
              <w:pageBreakBefore w:val="0"/>
              <w:widowControl w:val="0"/>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合理性：</w:t>
            </w:r>
            <w:r>
              <w:rPr>
                <w:rFonts w:hint="eastAsia" w:ascii="宋体" w:hAnsi="宋体" w:eastAsia="宋体" w:cs="宋体"/>
                <w:color w:val="000000"/>
                <w:sz w:val="24"/>
                <w:szCs w:val="24"/>
                <w:lang w:val="en-US" w:eastAsia="zh-CN"/>
              </w:rPr>
              <w:t>方案</w:t>
            </w:r>
            <w:r>
              <w:rPr>
                <w:rFonts w:hint="eastAsia" w:ascii="宋体" w:hAnsi="宋体" w:eastAsia="宋体" w:cs="宋体"/>
                <w:color w:val="000000"/>
                <w:sz w:val="24"/>
                <w:szCs w:val="24"/>
                <w:lang w:val="zh-CN" w:eastAsia="zh-CN"/>
              </w:rPr>
              <w:t>符合项目实际特点，合理、恰当；</w:t>
            </w:r>
          </w:p>
          <w:p>
            <w:pPr>
              <w:keepNext w:val="0"/>
              <w:keepLines w:val="0"/>
              <w:pageBreakBefore w:val="0"/>
              <w:widowControl w:val="0"/>
              <w:kinsoku/>
              <w:wordWrap/>
              <w:overflowPunct/>
              <w:topLinePunct w:val="0"/>
              <w:bidi w:val="0"/>
              <w:adjustRightInd/>
              <w:snapToGrid/>
              <w:spacing w:line="48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针对性：切合本项目实际情况，根据招标文件要求提出针对本项目实际操作性强的措施方案。</w:t>
            </w:r>
          </w:p>
          <w:p>
            <w:pPr>
              <w:pStyle w:val="17"/>
              <w:spacing w:line="480" w:lineRule="auto"/>
              <w:rPr>
                <w:rFonts w:hint="eastAsia"/>
                <w:lang w:eastAsia="zh-CN"/>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val="zh-CN" w:eastAsia="zh-CN"/>
              </w:rPr>
              <w:t>上述</w:t>
            </w: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项</w:t>
            </w:r>
            <w:r>
              <w:rPr>
                <w:rFonts w:hint="eastAsia" w:ascii="宋体" w:hAnsi="宋体" w:eastAsia="宋体" w:cs="宋体"/>
                <w:b/>
                <w:bCs/>
                <w:color w:val="000000"/>
                <w:sz w:val="24"/>
                <w:szCs w:val="24"/>
                <w:lang w:val="zh-CN" w:eastAsia="zh-CN"/>
              </w:rPr>
              <w:t>评审内容均满足</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val="zh-CN" w:eastAsia="zh-CN"/>
              </w:rPr>
              <w:t>项评审标准得(</w:t>
            </w:r>
            <w:r>
              <w:rPr>
                <w:rFonts w:hint="eastAsia" w:ascii="宋体" w:hAnsi="宋体" w:cs="宋体"/>
                <w:b/>
                <w:bCs/>
                <w:color w:val="000000"/>
                <w:sz w:val="24"/>
                <w:szCs w:val="24"/>
                <w:lang w:val="en-US" w:eastAsia="zh-CN"/>
              </w:rPr>
              <w:t>16</w:t>
            </w:r>
            <w:r>
              <w:rPr>
                <w:rFonts w:hint="eastAsia" w:ascii="宋体" w:hAnsi="宋体" w:eastAsia="宋体" w:cs="宋体"/>
                <w:b/>
                <w:bCs/>
                <w:color w:val="000000"/>
                <w:sz w:val="24"/>
                <w:szCs w:val="24"/>
                <w:lang w:val="en-US" w:eastAsia="zh-CN"/>
              </w:rPr>
              <w:t>-</w:t>
            </w:r>
            <w:r>
              <w:rPr>
                <w:rFonts w:hint="eastAsia" w:ascii="宋体" w:hAnsi="宋体" w:cs="宋体"/>
                <w:b/>
                <w:bCs/>
                <w:color w:val="000000"/>
                <w:sz w:val="24"/>
                <w:szCs w:val="24"/>
                <w:lang w:val="en-US" w:eastAsia="zh-CN"/>
              </w:rPr>
              <w:t>26</w:t>
            </w:r>
            <w:r>
              <w:rPr>
                <w:rFonts w:hint="eastAsia" w:ascii="宋体" w:hAnsi="宋体" w:eastAsia="宋体" w:cs="宋体"/>
                <w:b/>
                <w:bCs/>
                <w:color w:val="000000"/>
                <w:sz w:val="24"/>
                <w:szCs w:val="24"/>
                <w:lang w:val="zh-CN" w:eastAsia="zh-CN"/>
              </w:rPr>
              <w:t xml:space="preserve">） 分；满足 </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zh-CN" w:eastAsia="zh-CN"/>
              </w:rPr>
              <w:t>项评审标准得 (</w:t>
            </w:r>
            <w:r>
              <w:rPr>
                <w:rFonts w:hint="eastAsia" w:ascii="宋体" w:hAnsi="宋体" w:cs="宋体"/>
                <w:b/>
                <w:bCs/>
                <w:color w:val="000000"/>
                <w:sz w:val="24"/>
                <w:szCs w:val="24"/>
                <w:lang w:val="en-US" w:eastAsia="zh-CN"/>
              </w:rPr>
              <w:t>8-16</w:t>
            </w:r>
            <w:r>
              <w:rPr>
                <w:rFonts w:hint="eastAsia" w:ascii="宋体" w:hAnsi="宋体" w:eastAsia="宋体" w:cs="宋体"/>
                <w:b/>
                <w:bCs/>
                <w:color w:val="000000"/>
                <w:sz w:val="24"/>
                <w:szCs w:val="24"/>
                <w:lang w:val="zh-CN" w:eastAsia="zh-CN"/>
              </w:rPr>
              <w:t>）分；满足 1 项评审标准得(</w:t>
            </w:r>
            <w:r>
              <w:rPr>
                <w:rFonts w:hint="eastAsia" w:ascii="宋体" w:hAnsi="宋体" w:eastAsia="宋体" w:cs="宋体"/>
                <w:b/>
                <w:bCs/>
                <w:color w:val="000000"/>
                <w:sz w:val="24"/>
                <w:szCs w:val="24"/>
                <w:lang w:val="en-US" w:eastAsia="zh-CN"/>
              </w:rPr>
              <w:t>0-</w:t>
            </w:r>
            <w:r>
              <w:rPr>
                <w:rFonts w:hint="eastAsia" w:ascii="宋体" w:hAnsi="宋体" w:cs="宋体"/>
                <w:b/>
                <w:bCs/>
                <w:color w:val="000000"/>
                <w:sz w:val="24"/>
                <w:szCs w:val="24"/>
                <w:lang w:val="en-US" w:eastAsia="zh-CN"/>
              </w:rPr>
              <w:t>8</w:t>
            </w:r>
            <w:r>
              <w:rPr>
                <w:rFonts w:hint="eastAsia" w:ascii="宋体" w:hAnsi="宋体" w:eastAsia="宋体" w:cs="宋体"/>
                <w:b/>
                <w:bCs/>
                <w:color w:val="000000"/>
                <w:sz w:val="24"/>
                <w:szCs w:val="24"/>
                <w:lang w:val="zh-CN" w:eastAsia="zh-CN"/>
              </w:rPr>
              <w:t>）分；评审标准均不满足或评审内容缺项不得分。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1482" w:type="dxa"/>
            <w:gridSpan w:val="2"/>
            <w:vMerge w:val="continue"/>
            <w:vAlign w:val="center"/>
          </w:tcPr>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安全施工保障</w:t>
            </w:r>
          </w:p>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措施</w:t>
            </w:r>
          </w:p>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（满分</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分）</w:t>
            </w:r>
          </w:p>
          <w:p>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439" w:type="dxa"/>
            <w:vAlign w:val="center"/>
          </w:tcPr>
          <w:p>
            <w:pPr>
              <w:keepNext w:val="0"/>
              <w:keepLines w:val="0"/>
              <w:pageBreakBefore w:val="0"/>
              <w:widowControl w:val="0"/>
              <w:numPr>
                <w:ilvl w:val="0"/>
                <w:numId w:val="0"/>
              </w:numPr>
              <w:kinsoku/>
              <w:wordWrap/>
              <w:overflowPunct/>
              <w:topLinePunct w:val="0"/>
              <w:bidi w:val="0"/>
              <w:adjustRightInd/>
              <w:snapToGrid/>
              <w:spacing w:line="48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snapToGrid w:val="0"/>
                <w:kern w:val="0"/>
                <w:sz w:val="24"/>
                <w:szCs w:val="24"/>
                <w:lang w:val="en-US" w:eastAsia="zh-CN"/>
              </w:rPr>
              <w:t>一、评审内容</w:t>
            </w:r>
          </w:p>
          <w:p>
            <w:pPr>
              <w:keepNext w:val="0"/>
              <w:keepLines w:val="0"/>
              <w:pageBreakBefore w:val="0"/>
              <w:numPr>
                <w:ilvl w:val="0"/>
                <w:numId w:val="0"/>
              </w:numPr>
              <w:kinsoku/>
              <w:wordWrap/>
              <w:overflowPunct/>
              <w:topLinePunct w:val="0"/>
              <w:bidi w:val="0"/>
              <w:adjustRightInd/>
              <w:snapToGrid/>
              <w:spacing w:line="480" w:lineRule="auto"/>
              <w:ind w:firstLine="480" w:firstLineChars="200"/>
              <w:jc w:val="left"/>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color w:val="000000"/>
                <w:sz w:val="24"/>
                <w:szCs w:val="24"/>
                <w:lang w:val="en-US" w:eastAsia="zh-CN"/>
              </w:rPr>
              <w:t>供应商根据本项目特点，提出安全施工保障措施内容包括：</w:t>
            </w:r>
            <w:r>
              <w:rPr>
                <w:rFonts w:hint="eastAsia" w:ascii="宋体" w:hAnsi="宋体" w:eastAsia="宋体" w:cs="宋体"/>
                <w:b w:val="0"/>
                <w:bCs w:val="0"/>
                <w:snapToGrid w:val="0"/>
                <w:color w:val="000000"/>
                <w:kern w:val="0"/>
                <w:sz w:val="24"/>
                <w:szCs w:val="24"/>
                <w:lang w:val="en-US" w:eastAsia="zh-CN"/>
              </w:rPr>
              <w:t>①工人岗前培训</w:t>
            </w:r>
            <w:r>
              <w:rPr>
                <w:rFonts w:hint="eastAsia" w:ascii="宋体" w:hAnsi="宋体" w:eastAsia="宋体" w:cs="宋体"/>
                <w:snapToGrid w:val="0"/>
                <w:color w:val="000000"/>
                <w:kern w:val="0"/>
                <w:sz w:val="24"/>
                <w:szCs w:val="24"/>
                <w:lang w:val="en-US" w:eastAsia="zh-CN"/>
              </w:rPr>
              <w:t>②消防安全、环保措施</w:t>
            </w:r>
            <w:r>
              <w:rPr>
                <w:rFonts w:hint="eastAsia" w:ascii="宋体" w:hAnsi="宋体" w:eastAsia="宋体" w:cs="宋体"/>
                <w:b w:val="0"/>
                <w:bCs w:val="0"/>
                <w:snapToGrid w:val="0"/>
                <w:kern w:val="0"/>
                <w:sz w:val="24"/>
                <w:szCs w:val="24"/>
                <w:lang w:val="en-US" w:eastAsia="zh-CN"/>
              </w:rPr>
              <w:t>③配备安全设备和防护设施</w:t>
            </w:r>
            <w:r>
              <w:rPr>
                <w:rFonts w:hint="eastAsia" w:ascii="宋体" w:hAnsi="宋体" w:eastAsia="宋体" w:cs="宋体"/>
                <w:sz w:val="24"/>
                <w:szCs w:val="24"/>
              </w:rPr>
              <w:t>④全员安全责任制</w:t>
            </w:r>
            <w:r>
              <w:rPr>
                <w:rFonts w:hint="eastAsia" w:ascii="宋体" w:hAnsi="宋体" w:eastAsia="宋体" w:cs="宋体"/>
                <w:b w:val="0"/>
                <w:bCs w:val="0"/>
                <w:snapToGrid w:val="0"/>
                <w:kern w:val="0"/>
                <w:sz w:val="24"/>
                <w:szCs w:val="24"/>
                <w:lang w:val="en-US" w:eastAsia="zh-CN"/>
              </w:rPr>
              <w:t>，满分9分。</w:t>
            </w:r>
          </w:p>
          <w:p>
            <w:pPr>
              <w:keepNext w:val="0"/>
              <w:keepLines w:val="0"/>
              <w:pageBreakBefore w:val="0"/>
              <w:widowControl w:val="0"/>
              <w:numPr>
                <w:ilvl w:val="0"/>
                <w:numId w:val="0"/>
              </w:numPr>
              <w:kinsoku/>
              <w:wordWrap/>
              <w:overflowPunct/>
              <w:topLinePunct w:val="0"/>
              <w:bidi w:val="0"/>
              <w:adjustRightInd/>
              <w:snapToGrid/>
              <w:spacing w:line="480" w:lineRule="auto"/>
              <w:jc w:val="both"/>
              <w:textAlignment w:val="auto"/>
              <w:rPr>
                <w:rFonts w:hint="eastAsia" w:ascii="宋体" w:hAnsi="宋体" w:eastAsia="宋体" w:cs="宋体"/>
                <w:b/>
                <w:bCs/>
                <w:snapToGrid w:val="0"/>
                <w:kern w:val="0"/>
                <w:sz w:val="24"/>
                <w:szCs w:val="24"/>
                <w:lang w:val="zh-CN" w:eastAsia="zh-CN"/>
              </w:rPr>
            </w:pPr>
            <w:r>
              <w:rPr>
                <w:rFonts w:hint="eastAsia" w:ascii="宋体" w:hAnsi="宋体" w:eastAsia="宋体" w:cs="宋体"/>
                <w:b/>
                <w:bCs/>
                <w:snapToGrid w:val="0"/>
                <w:kern w:val="0"/>
                <w:sz w:val="24"/>
                <w:szCs w:val="24"/>
                <w:lang w:val="zh-CN" w:eastAsia="zh-CN"/>
              </w:rPr>
              <w:t>二、评审标准</w:t>
            </w:r>
          </w:p>
          <w:p>
            <w:pPr>
              <w:keepNext w:val="0"/>
              <w:keepLines w:val="0"/>
              <w:pageBreakBefore w:val="0"/>
              <w:kinsoku/>
              <w:wordWrap/>
              <w:overflowPunct/>
              <w:topLinePunct w:val="0"/>
              <w:bidi w:val="0"/>
              <w:adjustRightInd/>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1.完整性：切合本项目实际情况，方案内容齐全，对招标文件中各项要求有详细描述及其他内容的补充；</w:t>
            </w:r>
          </w:p>
          <w:p>
            <w:pPr>
              <w:keepNext w:val="0"/>
              <w:keepLines w:val="0"/>
              <w:pageBreakBefore w:val="0"/>
              <w:kinsoku/>
              <w:wordWrap/>
              <w:overflowPunct/>
              <w:topLinePunct w:val="0"/>
              <w:bidi w:val="0"/>
              <w:adjustRightInd/>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2.科学性：切合本项目实际情况，叙述清楚，符合客观实际情况；</w:t>
            </w:r>
          </w:p>
          <w:p>
            <w:pPr>
              <w:keepNext w:val="0"/>
              <w:keepLines w:val="0"/>
              <w:pageBreakBefore w:val="0"/>
              <w:kinsoku/>
              <w:wordWrap/>
              <w:overflowPunct/>
              <w:topLinePunct w:val="0"/>
              <w:bidi w:val="0"/>
              <w:adjustRightInd/>
              <w:snapToGrid/>
              <w:spacing w:line="480" w:lineRule="auto"/>
              <w:ind w:firstLine="480" w:firstLineChars="200"/>
              <w:jc w:val="left"/>
              <w:textAlignment w:val="auto"/>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3.合理性：方案内容符合项目实际特点，合理、恰当；</w:t>
            </w:r>
          </w:p>
          <w:p>
            <w:pPr>
              <w:keepNext w:val="0"/>
              <w:keepLines w:val="0"/>
              <w:widowControl/>
              <w:suppressLineNumbers w:val="0"/>
              <w:spacing w:line="480" w:lineRule="auto"/>
              <w:ind w:firstLine="482"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auto"/>
                <w:kern w:val="0"/>
                <w:sz w:val="24"/>
                <w:szCs w:val="24"/>
                <w:highlight w:val="none"/>
                <w:lang w:val="zh-CN" w:eastAsia="zh-CN" w:bidi="ar-SA"/>
              </w:rPr>
              <w:t xml:space="preserve">上述 </w:t>
            </w:r>
            <w:r>
              <w:rPr>
                <w:rFonts w:hint="eastAsia" w:ascii="宋体" w:hAnsi="宋体" w:eastAsia="宋体" w:cs="宋体"/>
                <w:b/>
                <w:bCs/>
                <w:color w:val="auto"/>
                <w:kern w:val="0"/>
                <w:sz w:val="24"/>
                <w:szCs w:val="24"/>
                <w:highlight w:val="none"/>
                <w:lang w:val="en-US" w:eastAsia="zh-CN" w:bidi="ar-SA"/>
              </w:rPr>
              <w:t>4</w:t>
            </w:r>
            <w:r>
              <w:rPr>
                <w:rFonts w:hint="eastAsia" w:ascii="宋体" w:hAnsi="宋体" w:eastAsia="宋体" w:cs="宋体"/>
                <w:b/>
                <w:bCs/>
                <w:color w:val="auto"/>
                <w:kern w:val="0"/>
                <w:sz w:val="24"/>
                <w:szCs w:val="24"/>
                <w:highlight w:val="none"/>
                <w:lang w:val="zh-CN" w:eastAsia="zh-CN" w:bidi="ar-SA"/>
              </w:rPr>
              <w:t xml:space="preserve"> 项评审内容均满足 3 项评审标准得（</w:t>
            </w:r>
            <w:r>
              <w:rPr>
                <w:rFonts w:hint="eastAsia" w:ascii="宋体" w:hAnsi="宋体" w:eastAsia="宋体" w:cs="宋体"/>
                <w:b/>
                <w:bCs/>
                <w:color w:val="auto"/>
                <w:kern w:val="0"/>
                <w:sz w:val="24"/>
                <w:szCs w:val="24"/>
                <w:highlight w:val="none"/>
                <w:lang w:val="en-US" w:eastAsia="zh-CN" w:bidi="ar-SA"/>
              </w:rPr>
              <w:t>6-9</w:t>
            </w:r>
            <w:r>
              <w:rPr>
                <w:rFonts w:hint="eastAsia" w:ascii="宋体" w:hAnsi="宋体" w:eastAsia="宋体" w:cs="宋体"/>
                <w:b/>
                <w:bCs/>
                <w:color w:val="auto"/>
                <w:kern w:val="0"/>
                <w:sz w:val="24"/>
                <w:szCs w:val="24"/>
                <w:highlight w:val="none"/>
                <w:lang w:val="zh-CN" w:eastAsia="zh-CN" w:bidi="ar-SA"/>
              </w:rPr>
              <w:t>）分；满足 2 项评审标准得（</w:t>
            </w:r>
            <w:r>
              <w:rPr>
                <w:rFonts w:hint="eastAsia" w:ascii="宋体" w:hAnsi="宋体" w:eastAsia="宋体" w:cs="宋体"/>
                <w:b/>
                <w:bCs/>
                <w:color w:val="auto"/>
                <w:kern w:val="0"/>
                <w:sz w:val="24"/>
                <w:szCs w:val="24"/>
                <w:highlight w:val="none"/>
                <w:lang w:val="en-US" w:eastAsia="zh-CN" w:bidi="ar-SA"/>
              </w:rPr>
              <w:t>3-6</w:t>
            </w:r>
            <w:r>
              <w:rPr>
                <w:rFonts w:hint="eastAsia" w:ascii="宋体" w:hAnsi="宋体" w:eastAsia="宋体" w:cs="宋体"/>
                <w:b/>
                <w:bCs/>
                <w:color w:val="auto"/>
                <w:kern w:val="0"/>
                <w:sz w:val="24"/>
                <w:szCs w:val="24"/>
                <w:highlight w:val="none"/>
                <w:lang w:val="zh-CN" w:eastAsia="zh-CN" w:bidi="ar-SA"/>
              </w:rPr>
              <w:t>）分；满足 1 项评审标准得</w:t>
            </w:r>
            <w:r>
              <w:rPr>
                <w:rFonts w:hint="eastAsia" w:ascii="宋体" w:hAnsi="宋体" w:eastAsia="宋体" w:cs="宋体"/>
                <w:b/>
                <w:bCs/>
                <w:color w:val="auto"/>
                <w:kern w:val="0"/>
                <w:sz w:val="24"/>
                <w:szCs w:val="24"/>
                <w:highlight w:val="none"/>
                <w:lang w:val="en-US" w:eastAsia="zh-CN" w:bidi="ar-SA"/>
              </w:rPr>
              <w:t>（0-3）</w:t>
            </w:r>
            <w:r>
              <w:rPr>
                <w:rFonts w:hint="eastAsia" w:ascii="宋体" w:hAnsi="宋体" w:eastAsia="宋体" w:cs="宋体"/>
                <w:b/>
                <w:bCs/>
                <w:color w:val="auto"/>
                <w:kern w:val="0"/>
                <w:sz w:val="24"/>
                <w:szCs w:val="24"/>
                <w:highlight w:val="none"/>
                <w:lang w:val="zh-CN" w:eastAsia="zh-CN" w:bidi="ar-SA"/>
              </w:rPr>
              <w:t>分；评审标准均不满足或评审内容缺项不得分。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240" w:firstLineChars="1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质量控制方案</w:t>
            </w:r>
          </w:p>
          <w:p>
            <w:pPr>
              <w:keepNext w:val="0"/>
              <w:keepLines w:val="0"/>
              <w:widowControl/>
              <w:suppressLineNumbers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（满分</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分）</w:t>
            </w:r>
          </w:p>
          <w:p>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439" w:type="dxa"/>
            <w:vAlign w:val="center"/>
          </w:tcPr>
          <w:p>
            <w:pPr>
              <w:spacing w:line="48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供应商制定针对本项目的质量控制方案，内容至少包含：质量管理组织架构、质量管理制度、质量控制措施三个方面。</w:t>
            </w:r>
          </w:p>
          <w:p>
            <w:pPr>
              <w:spacing w:line="48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1、“质量管理组织架构”职责分明的得3分，职责划分不清楚得1分，缺项不得分；</w:t>
            </w:r>
          </w:p>
          <w:p>
            <w:pPr>
              <w:spacing w:line="48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2、“质量管理制度”内容健全、合理的得3分，内容不健全，合理性较差得1分，缺项不得分；</w:t>
            </w:r>
          </w:p>
          <w:p>
            <w:pPr>
              <w:keepNext w:val="0"/>
              <w:keepLines w:val="0"/>
              <w:widowControl/>
              <w:suppressLineNumbers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3、“质量控制措施”完整、详实可靠、质量控制流程划分合理的得3分，措施不完整、合理性较差得1分，缺项不得分。</w:t>
            </w:r>
          </w:p>
        </w:tc>
      </w:tr>
      <w:bookmark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p>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部分</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pPr>
              <w:tabs>
                <w:tab w:val="left" w:pos="2292"/>
              </w:tabs>
              <w:spacing w:line="48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供应商提供自2021年1月1日至今类似项目业绩（以合同签订日期为准），每提供一个业绩得 </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分，最高</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 xml:space="preserve"> 分。</w:t>
            </w:r>
          </w:p>
          <w:p>
            <w:pPr>
              <w:tabs>
                <w:tab w:val="left" w:pos="2292"/>
              </w:tabs>
              <w:spacing w:line="480" w:lineRule="auto"/>
              <w:ind w:firstLine="482"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sz w:val="24"/>
                <w:szCs w:val="24"/>
                <w:lang w:val="en-US" w:eastAsia="zh-CN"/>
              </w:rPr>
              <w:t>注：以响应文件中所附业绩合同或中标通知书复印件或扫描件加盖公章为准。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项目组织管理及</w:t>
            </w:r>
          </w:p>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人员安排</w:t>
            </w:r>
          </w:p>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（满分</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分）</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439" w:type="dxa"/>
            <w:vAlign w:val="center"/>
          </w:tcPr>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default" w:ascii="宋体" w:hAnsi="宋体" w:eastAsia="宋体" w:cs="宋体"/>
                <w:b/>
                <w:bCs/>
                <w:snapToGrid w:val="0"/>
                <w:kern w:val="0"/>
                <w:sz w:val="24"/>
                <w:lang w:val="en-US" w:eastAsia="zh-CN"/>
              </w:rPr>
            </w:pPr>
            <w:r>
              <w:rPr>
                <w:rFonts w:hint="eastAsia" w:ascii="宋体" w:hAnsi="宋体" w:eastAsia="宋体" w:cs="宋体"/>
                <w:b/>
                <w:bCs/>
                <w:snapToGrid w:val="0"/>
                <w:kern w:val="0"/>
                <w:sz w:val="24"/>
                <w:lang w:val="en-US" w:eastAsia="zh-CN"/>
              </w:rPr>
              <w:t>一、评审内容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拟派项</w:t>
            </w:r>
            <w:r>
              <w:rPr>
                <w:rFonts w:hint="eastAsia" w:ascii="宋体" w:hAnsi="宋体" w:eastAsia="宋体" w:cs="宋体"/>
                <w:snapToGrid w:val="0"/>
                <w:color w:val="000000"/>
                <w:kern w:val="0"/>
                <w:sz w:val="24"/>
                <w:lang w:val="en-US" w:eastAsia="zh-CN"/>
              </w:rPr>
              <w:t>目组人员分工安排合理、职责划分明确，内容包括</w:t>
            </w:r>
            <w:r>
              <w:rPr>
                <w:rFonts w:hint="eastAsia" w:ascii="宋体" w:hAnsi="宋体" w:eastAsia="宋体" w:cs="宋体"/>
                <w:b w:val="0"/>
                <w:bCs w:val="0"/>
                <w:snapToGrid w:val="0"/>
                <w:color w:val="000000"/>
                <w:kern w:val="0"/>
                <w:sz w:val="24"/>
                <w:szCs w:val="24"/>
                <w:lang w:val="en-US" w:eastAsia="zh-CN"/>
              </w:rPr>
              <w:t>①</w:t>
            </w:r>
            <w:r>
              <w:rPr>
                <w:rFonts w:hint="eastAsia" w:ascii="宋体" w:hAnsi="宋体" w:eastAsia="宋体" w:cs="宋体"/>
                <w:color w:val="000000"/>
                <w:kern w:val="0"/>
                <w:sz w:val="24"/>
                <w:szCs w:val="24"/>
                <w:lang w:val="en-US" w:eastAsia="zh-CN" w:bidi="ar"/>
              </w:rPr>
              <w:t>项目组织管理及人员安排</w:t>
            </w:r>
            <w:r>
              <w:rPr>
                <w:rFonts w:hint="eastAsia" w:ascii="宋体" w:hAnsi="宋体" w:eastAsia="宋体" w:cs="宋体"/>
                <w:snapToGrid w:val="0"/>
                <w:color w:val="000000"/>
                <w:kern w:val="0"/>
                <w:sz w:val="24"/>
                <w:lang w:val="en-US" w:eastAsia="zh-CN"/>
              </w:rPr>
              <w:t>②</w:t>
            </w:r>
            <w:r>
              <w:rPr>
                <w:rFonts w:hint="eastAsia" w:ascii="宋体" w:hAnsi="宋体" w:eastAsia="宋体" w:cs="宋体"/>
                <w:color w:val="000000"/>
                <w:kern w:val="0"/>
                <w:sz w:val="24"/>
                <w:szCs w:val="24"/>
                <w:lang w:val="en-US" w:eastAsia="zh-CN" w:bidi="ar"/>
              </w:rPr>
              <w:t>岗位制度和岗位职责</w:t>
            </w:r>
            <w:r>
              <w:rPr>
                <w:rFonts w:hint="eastAsia" w:ascii="宋体" w:hAnsi="宋体" w:eastAsia="宋体" w:cs="宋体"/>
                <w:snapToGrid w:val="0"/>
                <w:color w:val="000000"/>
                <w:kern w:val="0"/>
                <w:sz w:val="24"/>
                <w:lang w:val="en-US" w:eastAsia="zh-CN"/>
              </w:rPr>
              <w:t>等内容，满分12</w:t>
            </w:r>
            <w:r>
              <w:rPr>
                <w:rFonts w:hint="eastAsia" w:ascii="宋体" w:hAnsi="宋体" w:eastAsia="宋体" w:cs="宋体"/>
                <w:snapToGrid w:val="0"/>
                <w:kern w:val="0"/>
                <w:sz w:val="24"/>
                <w:lang w:val="en-US" w:eastAsia="zh-CN"/>
              </w:rPr>
              <w:t>分。</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eastAsia="zh-CN"/>
              </w:rPr>
              <w:t>二、评审标准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1.完整性：切合本项目实际情况，方案内容齐全，对招标文件中各项要求有详细描述及其他内容的补充；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2.专业性：结合项目实际情况，指具有一定的专业知识，经验丰富，技术性高的人员。</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b/>
                <w:bCs/>
                <w:color w:val="000000"/>
                <w:sz w:val="24"/>
                <w:szCs w:val="24"/>
                <w:lang w:val="zh-CN" w:eastAsia="zh-CN"/>
              </w:rPr>
              <w:t xml:space="preserve">上述 2 项评审内容均满足 2 项评审标准得 </w:t>
            </w:r>
            <w:r>
              <w:rPr>
                <w:rFonts w:hint="eastAsia" w:ascii="宋体" w:hAnsi="宋体" w:eastAsia="宋体" w:cs="宋体"/>
                <w:b/>
                <w:bCs/>
                <w:color w:val="000000"/>
                <w:sz w:val="24"/>
                <w:szCs w:val="24"/>
                <w:lang w:val="en-US" w:eastAsia="zh-CN"/>
              </w:rPr>
              <w:t>(6-12)</w:t>
            </w:r>
            <w:r>
              <w:rPr>
                <w:rFonts w:hint="eastAsia" w:ascii="宋体" w:hAnsi="宋体" w:eastAsia="宋体" w:cs="宋体"/>
                <w:b/>
                <w:bCs/>
                <w:color w:val="000000"/>
                <w:sz w:val="24"/>
                <w:szCs w:val="24"/>
                <w:lang w:val="zh-CN" w:eastAsia="zh-CN"/>
              </w:rPr>
              <w:t xml:space="preserve">分；满足 1 项评审标准得 </w:t>
            </w:r>
            <w:r>
              <w:rPr>
                <w:rFonts w:hint="eastAsia" w:ascii="宋体" w:hAnsi="宋体" w:eastAsia="宋体" w:cs="宋体"/>
                <w:b/>
                <w:bCs/>
                <w:color w:val="000000"/>
                <w:sz w:val="24"/>
                <w:szCs w:val="24"/>
                <w:lang w:val="en-US" w:eastAsia="zh-CN"/>
              </w:rPr>
              <w:t>(0-6)</w:t>
            </w:r>
            <w:r>
              <w:rPr>
                <w:rFonts w:hint="eastAsia" w:ascii="宋体" w:hAnsi="宋体" w:eastAsia="宋体" w:cs="宋体"/>
                <w:b/>
                <w:bCs/>
                <w:color w:val="000000"/>
                <w:sz w:val="24"/>
                <w:szCs w:val="24"/>
                <w:lang w:val="zh-CN" w:eastAsia="zh-CN"/>
              </w:rPr>
              <w:t>分；评审标准均不满足或评审内容缺项不得分。</w:t>
            </w:r>
            <w:r>
              <w:rPr>
                <w:rFonts w:hint="eastAsia" w:ascii="宋体" w:hAnsi="宋体" w:cs="宋体"/>
                <w:b/>
                <w:bCs/>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后续服务</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满分8</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pPr>
              <w:pStyle w:val="106"/>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一、评审内容</w:t>
            </w:r>
          </w:p>
          <w:p>
            <w:pPr>
              <w:pStyle w:val="106"/>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rPr>
              <w:t>根据项目实际需求</w:t>
            </w:r>
            <w:r>
              <w:rPr>
                <w:rFonts w:hint="eastAsia" w:ascii="宋体" w:hAnsi="宋体" w:eastAsia="宋体" w:cs="宋体"/>
                <w:b w:val="0"/>
                <w:bCs w:val="0"/>
                <w:snapToGrid w:val="0"/>
                <w:kern w:val="0"/>
                <w:sz w:val="24"/>
                <w:szCs w:val="24"/>
                <w:lang w:eastAsia="zh-CN"/>
              </w:rPr>
              <w:t>，</w:t>
            </w:r>
            <w:r>
              <w:rPr>
                <w:rFonts w:hint="eastAsia" w:ascii="宋体" w:hAnsi="宋体" w:eastAsia="宋体" w:cs="宋体"/>
                <w:b w:val="0"/>
                <w:bCs w:val="0"/>
                <w:snapToGrid w:val="0"/>
                <w:kern w:val="0"/>
                <w:sz w:val="24"/>
                <w:szCs w:val="24"/>
                <w:lang w:val="en-US" w:eastAsia="zh-CN"/>
              </w:rPr>
              <w:t>提供</w:t>
            </w:r>
            <w:r>
              <w:rPr>
                <w:rFonts w:hint="eastAsia" w:ascii="宋体" w:hAnsi="宋体" w:eastAsia="宋体" w:cs="宋体"/>
                <w:b w:val="0"/>
                <w:bCs w:val="0"/>
                <w:snapToGrid w:val="0"/>
                <w:kern w:val="0"/>
                <w:sz w:val="24"/>
                <w:szCs w:val="24"/>
              </w:rPr>
              <w:t>针对本项目</w:t>
            </w:r>
            <w:r>
              <w:rPr>
                <w:rFonts w:hint="eastAsia" w:ascii="宋体" w:hAnsi="宋体" w:eastAsia="宋体" w:cs="宋体"/>
                <w:b w:val="0"/>
                <w:bCs w:val="0"/>
                <w:snapToGrid w:val="0"/>
                <w:kern w:val="0"/>
                <w:sz w:val="24"/>
                <w:szCs w:val="24"/>
                <w:lang w:val="en-US" w:eastAsia="zh-CN"/>
              </w:rPr>
              <w:t>的</w:t>
            </w:r>
            <w:r>
              <w:rPr>
                <w:rFonts w:hint="eastAsia" w:ascii="宋体" w:hAnsi="宋体" w:eastAsia="宋体" w:cs="宋体"/>
                <w:b w:val="0"/>
                <w:bCs w:val="0"/>
                <w:snapToGrid w:val="0"/>
                <w:kern w:val="0"/>
                <w:sz w:val="24"/>
                <w:szCs w:val="24"/>
              </w:rPr>
              <w:t>售后服务方案，</w:t>
            </w:r>
            <w:r>
              <w:rPr>
                <w:rFonts w:hint="eastAsia" w:ascii="宋体" w:hAnsi="宋体" w:eastAsia="宋体" w:cs="宋体"/>
                <w:b w:val="0"/>
                <w:bCs w:val="0"/>
                <w:snapToGrid w:val="0"/>
                <w:kern w:val="0"/>
                <w:sz w:val="24"/>
                <w:szCs w:val="24"/>
                <w:lang w:val="en-US" w:eastAsia="zh-CN"/>
              </w:rPr>
              <w:t>内容包括①设有专业技术服务队伍②后续服务响应时间、响应速度及响应方式③售后人员组成及经验，满分8分。</w:t>
            </w:r>
          </w:p>
          <w:p>
            <w:pPr>
              <w:keepNext w:val="0"/>
              <w:keepLines w:val="0"/>
              <w:pageBreakBefore w:val="0"/>
              <w:widowControl w:val="0"/>
              <w:kinsoku/>
              <w:wordWrap/>
              <w:overflowPunct/>
              <w:topLinePunct w:val="0"/>
              <w:bidi w:val="0"/>
              <w:adjustRightInd/>
              <w:snapToGrid/>
              <w:spacing w:line="48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二、评审标准</w:t>
            </w:r>
          </w:p>
          <w:p>
            <w:pPr>
              <w:pStyle w:val="106"/>
              <w:keepNext w:val="0"/>
              <w:keepLines w:val="0"/>
              <w:pageBreakBefore w:val="0"/>
              <w:widowControl w:val="0"/>
              <w:kinsoku/>
              <w:wordWrap/>
              <w:overflowPunct/>
              <w:topLinePunct w:val="0"/>
              <w:autoSpaceDE/>
              <w:autoSpaceDN/>
              <w:bidi w:val="0"/>
              <w:adjustRightInd/>
              <w:snapToGrid/>
              <w:spacing w:before="72" w:line="480" w:lineRule="auto"/>
              <w:ind w:left="107" w:right="99"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完整性：切合本项目实际情况，方案内容齐</w:t>
            </w:r>
            <w:r>
              <w:rPr>
                <w:rFonts w:hint="eastAsia" w:ascii="宋体" w:hAnsi="宋体" w:eastAsia="宋体" w:cs="宋体"/>
                <w:spacing w:val="-10"/>
                <w:sz w:val="24"/>
                <w:szCs w:val="24"/>
              </w:rPr>
              <w:t>全，对招标文件中各项要求有详细描述及其他内</w:t>
            </w:r>
            <w:r>
              <w:rPr>
                <w:rFonts w:hint="eastAsia" w:ascii="宋体" w:hAnsi="宋体" w:eastAsia="宋体" w:cs="宋体"/>
                <w:spacing w:val="-2"/>
                <w:sz w:val="24"/>
                <w:szCs w:val="24"/>
              </w:rPr>
              <w:t>容的补充；</w:t>
            </w:r>
          </w:p>
          <w:p>
            <w:pPr>
              <w:pStyle w:val="106"/>
              <w:keepNext w:val="0"/>
              <w:keepLines w:val="0"/>
              <w:pageBreakBefore w:val="0"/>
              <w:widowControl w:val="0"/>
              <w:kinsoku/>
              <w:wordWrap/>
              <w:overflowPunct/>
              <w:topLinePunct w:val="0"/>
              <w:autoSpaceDE/>
              <w:autoSpaceDN/>
              <w:bidi w:val="0"/>
              <w:adjustRightInd/>
              <w:snapToGrid/>
              <w:spacing w:line="480" w:lineRule="auto"/>
              <w:ind w:left="107" w:right="102"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科学性：切合本项目实际情况，叙述清楚，符合客观实际情况；</w:t>
            </w:r>
          </w:p>
          <w:p>
            <w:pPr>
              <w:pStyle w:val="106"/>
              <w:keepNext w:val="0"/>
              <w:keepLines w:val="0"/>
              <w:pageBreakBefore w:val="0"/>
              <w:widowControl w:val="0"/>
              <w:kinsoku/>
              <w:wordWrap/>
              <w:overflowPunct/>
              <w:topLinePunct w:val="0"/>
              <w:autoSpaceDE/>
              <w:autoSpaceDN/>
              <w:bidi w:val="0"/>
              <w:adjustRightInd/>
              <w:snapToGrid/>
              <w:spacing w:line="480" w:lineRule="auto"/>
              <w:ind w:left="107" w:right="-29" w:firstLine="472" w:firstLineChars="20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合理性：方案内容符合项目实际特点，合理、</w:t>
            </w:r>
            <w:r>
              <w:rPr>
                <w:rFonts w:hint="eastAsia" w:ascii="宋体" w:hAnsi="宋体" w:eastAsia="宋体" w:cs="宋体"/>
                <w:spacing w:val="-4"/>
                <w:sz w:val="24"/>
                <w:szCs w:val="24"/>
              </w:rPr>
              <w:t>恰当；</w:t>
            </w:r>
          </w:p>
          <w:p>
            <w:pPr>
              <w:keepNext w:val="0"/>
              <w:keepLines w:val="0"/>
              <w:widowControl/>
              <w:suppressLineNumbers w:val="0"/>
              <w:spacing w:line="480" w:lineRule="auto"/>
              <w:ind w:firstLine="482"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spacing w:val="0"/>
                <w:w w:val="100"/>
                <w:sz w:val="24"/>
                <w:szCs w:val="24"/>
              </w:rPr>
              <w:t xml:space="preserve">上述 </w:t>
            </w:r>
            <w:r>
              <w:rPr>
                <w:rFonts w:hint="eastAsia" w:ascii="宋体" w:hAnsi="宋体" w:eastAsia="宋体" w:cs="宋体"/>
                <w:b/>
                <w:spacing w:val="0"/>
                <w:w w:val="100"/>
                <w:sz w:val="24"/>
                <w:szCs w:val="24"/>
                <w:lang w:val="en-US" w:eastAsia="zh-CN"/>
              </w:rPr>
              <w:t>3</w:t>
            </w:r>
            <w:r>
              <w:rPr>
                <w:rFonts w:hint="eastAsia" w:ascii="宋体" w:hAnsi="宋体" w:eastAsia="宋体" w:cs="宋体"/>
                <w:b/>
                <w:spacing w:val="0"/>
                <w:w w:val="100"/>
                <w:sz w:val="24"/>
                <w:szCs w:val="24"/>
              </w:rPr>
              <w:t xml:space="preserve"> 项评审内容均满足 3 项评审标准得</w:t>
            </w:r>
            <w:r>
              <w:rPr>
                <w:rFonts w:hint="eastAsia" w:ascii="宋体" w:hAnsi="宋体" w:eastAsia="宋体" w:cs="宋体"/>
                <w:b/>
                <w:spacing w:val="0"/>
                <w:w w:val="100"/>
                <w:sz w:val="24"/>
                <w:szCs w:val="24"/>
                <w:lang w:eastAsia="zh-CN"/>
              </w:rPr>
              <w:t>（</w:t>
            </w:r>
            <w:r>
              <w:rPr>
                <w:rFonts w:hint="eastAsia" w:ascii="宋体" w:hAnsi="宋体" w:cs="宋体"/>
                <w:b/>
                <w:spacing w:val="0"/>
                <w:w w:val="100"/>
                <w:sz w:val="24"/>
                <w:szCs w:val="24"/>
                <w:lang w:val="en-US" w:eastAsia="zh-CN"/>
              </w:rPr>
              <w:t>6-8</w:t>
            </w:r>
            <w:r>
              <w:rPr>
                <w:rFonts w:hint="eastAsia" w:ascii="宋体" w:hAnsi="宋体" w:eastAsia="宋体" w:cs="宋体"/>
                <w:b/>
                <w:spacing w:val="0"/>
                <w:w w:val="100"/>
                <w:sz w:val="24"/>
                <w:szCs w:val="24"/>
                <w:lang w:eastAsia="zh-CN"/>
              </w:rPr>
              <w:t>）</w:t>
            </w:r>
            <w:r>
              <w:rPr>
                <w:rFonts w:hint="eastAsia" w:ascii="宋体" w:hAnsi="宋体" w:eastAsia="宋体" w:cs="宋体"/>
                <w:b/>
                <w:spacing w:val="0"/>
                <w:w w:val="100"/>
                <w:sz w:val="24"/>
                <w:szCs w:val="24"/>
              </w:rPr>
              <w:t xml:space="preserve">分；满足 2 项评审标准得 </w:t>
            </w:r>
            <w:r>
              <w:rPr>
                <w:rFonts w:hint="eastAsia" w:ascii="宋体" w:hAnsi="宋体" w:eastAsia="宋体" w:cs="宋体"/>
                <w:b/>
                <w:spacing w:val="0"/>
                <w:w w:val="100"/>
                <w:sz w:val="24"/>
                <w:szCs w:val="24"/>
                <w:lang w:val="en-US" w:eastAsia="zh-CN"/>
              </w:rPr>
              <w:t>（3-6）</w:t>
            </w:r>
            <w:r>
              <w:rPr>
                <w:rFonts w:hint="eastAsia" w:ascii="宋体" w:hAnsi="宋体" w:eastAsia="宋体" w:cs="宋体"/>
                <w:b/>
                <w:spacing w:val="0"/>
                <w:w w:val="100"/>
                <w:sz w:val="24"/>
                <w:szCs w:val="24"/>
              </w:rPr>
              <w:t>分；满足 1 项评审标准得</w:t>
            </w:r>
            <w:r>
              <w:rPr>
                <w:rFonts w:hint="eastAsia" w:ascii="宋体" w:hAnsi="宋体" w:eastAsia="宋体" w:cs="宋体"/>
                <w:b/>
                <w:spacing w:val="0"/>
                <w:w w:val="100"/>
                <w:sz w:val="24"/>
                <w:szCs w:val="24"/>
                <w:lang w:val="en-US" w:eastAsia="zh-CN"/>
              </w:rPr>
              <w:t>（0-3）</w:t>
            </w:r>
            <w:r>
              <w:rPr>
                <w:rFonts w:hint="eastAsia" w:ascii="宋体" w:hAnsi="宋体" w:eastAsia="宋体" w:cs="宋体"/>
                <w:b/>
                <w:spacing w:val="0"/>
                <w:w w:val="100"/>
                <w:sz w:val="24"/>
                <w:szCs w:val="24"/>
              </w:rPr>
              <w:t>分；评审标准均不满足或评审内容缺项不得分。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pPr>
              <w:widowControl/>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2.2.5</w:t>
            </w:r>
          </w:p>
        </w:tc>
        <w:tc>
          <w:tcPr>
            <w:tcW w:w="2286" w:type="dxa"/>
            <w:vAlign w:val="center"/>
          </w:tcPr>
          <w:p>
            <w:pPr>
              <w:spacing w:line="36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报价评分因素</w:t>
            </w:r>
          </w:p>
        </w:tc>
        <w:tc>
          <w:tcPr>
            <w:tcW w:w="6439" w:type="dxa"/>
            <w:vAlign w:val="center"/>
          </w:tcPr>
          <w:p>
            <w:pPr>
              <w:tabs>
                <w:tab w:val="left" w:pos="2292"/>
              </w:tabs>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评分标准（满分</w:t>
            </w:r>
            <w:r>
              <w:rPr>
                <w:rFonts w:hint="eastAsia" w:ascii="宋体" w:hAnsi="宋体" w:eastAsia="宋体" w:cs="宋体"/>
                <w:b/>
                <w:bCs/>
                <w:color w:val="000000" w:themeColor="text1"/>
                <w:sz w:val="24"/>
                <w:szCs w:val="24"/>
                <w:lang w:val="en-US" w:eastAsia="zh-CN"/>
                <w14:textFill>
                  <w14:solidFill>
                    <w14:schemeClr w14:val="tx1"/>
                  </w14:solidFill>
                </w14:textFill>
              </w:rPr>
              <w:t>30分</w:t>
            </w:r>
            <w:r>
              <w:rPr>
                <w:rFonts w:hint="eastAsia" w:ascii="宋体" w:hAnsi="宋体" w:eastAsia="宋体" w:cs="宋体"/>
                <w:b/>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center"/>
          </w:tcPr>
          <w:p>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1、供应商的磋商报价超过</w:t>
            </w:r>
            <w:r>
              <w:rPr>
                <w:rFonts w:hint="eastAsia" w:ascii="宋体" w:hAnsi="宋体" w:cs="宋体"/>
                <w:color w:val="auto"/>
                <w:sz w:val="24"/>
                <w:szCs w:val="24"/>
                <w:lang w:val="en-US" w:eastAsia="zh-CN"/>
              </w:rPr>
              <w:t>预算金额</w:t>
            </w:r>
            <w:r>
              <w:rPr>
                <w:rFonts w:hint="eastAsia" w:ascii="宋体" w:hAnsi="宋体" w:eastAsia="宋体" w:cs="宋体"/>
                <w:color w:val="auto"/>
                <w:sz w:val="24"/>
                <w:szCs w:val="24"/>
                <w:lang w:eastAsia="zh-CN"/>
              </w:rPr>
              <w:t>的视为废标，不再参与下一步评审。</w:t>
            </w:r>
          </w:p>
          <w:p>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2、未超出财政预算，实质性满足磋商文件要求且最后报价最低的报价为磋商基准价，其价格分为满分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pPr>
              <w:tabs>
                <w:tab w:val="left" w:pos="6060"/>
              </w:tabs>
              <w:spacing w:line="48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p>
    <w:p>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宜川县第二战区司令长官部秋林旧址二期陈列布展工程项目</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文件，由</w:t>
      </w:r>
      <w:r>
        <w:rPr>
          <w:rFonts w:hint="eastAsia" w:ascii="宋体" w:hAnsi="宋体" w:eastAsia="宋体" w:cs="宋体"/>
          <w:color w:val="000000" w:themeColor="text1"/>
          <w:sz w:val="24"/>
          <w:szCs w:val="24"/>
          <w:lang w:eastAsia="zh-CN"/>
          <w14:textFill>
            <w14:solidFill>
              <w14:schemeClr w14:val="tx1"/>
            </w14:solidFill>
          </w14:textFill>
        </w:rPr>
        <w:t>陕西宸永项目管理有限公司</w:t>
      </w:r>
      <w:r>
        <w:rPr>
          <w:rFonts w:hint="eastAsia" w:ascii="宋体" w:hAnsi="宋体" w:eastAsia="宋体" w:cs="宋体"/>
          <w:color w:val="000000" w:themeColor="text1"/>
          <w:sz w:val="24"/>
          <w:szCs w:val="24"/>
          <w14:textFill>
            <w14:solidFill>
              <w14:schemeClr w14:val="tx1"/>
            </w14:solidFill>
          </w14:textFill>
        </w:rPr>
        <w:t>根据采购人提出的采购要求和商务要求编制，经</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审定、备案后发售。</w:t>
      </w:r>
    </w:p>
    <w:p>
      <w:pPr>
        <w:pStyle w:val="4"/>
        <w:pageBreakBefore w:val="0"/>
        <w:widowControl w:val="0"/>
        <w:kinsoku/>
        <w:wordWrap/>
        <w:overflowPunct/>
        <w:topLinePunct w:val="0"/>
        <w:autoSpaceDE/>
        <w:autoSpaceDN/>
        <w:bidi w:val="0"/>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5" w:name="_Toc22424"/>
      <w:bookmarkStart w:id="156" w:name="_Toc526842695"/>
      <w:r>
        <w:rPr>
          <w:rFonts w:hint="eastAsia" w:ascii="宋体" w:hAnsi="宋体" w:eastAsia="宋体" w:cs="宋体"/>
          <w:color w:val="000000" w:themeColor="text1"/>
          <w:sz w:val="24"/>
          <w:szCs w:val="24"/>
          <w14:textFill>
            <w14:solidFill>
              <w14:schemeClr w14:val="tx1"/>
            </w14:solidFill>
          </w14:textFill>
        </w:rPr>
        <w:t>1. 评标方法</w:t>
      </w:r>
      <w:bookmarkEnd w:id="155"/>
      <w:bookmarkEnd w:id="156"/>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1.1评标原则</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（1）公平、公正、科学、择优；</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合理、方案可行；</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（3）价格合理,且不低于成本价；</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（4）禁止不正当竞争。</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本次评标采用综合评分法。</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按照《中华人民共和国招标投标法》的规定，本次评标采用“综合评估法”，即在最大限度地满足</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文件实质性要求前提下，按照</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文件中规定的各项因素和相应的权重分值进行综合评审后，以总得分最高的投标人作为中标候选人并依次排序。</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4"/>
          <w:szCs w:val="24"/>
          <w:lang w:eastAsia="zh-CN"/>
          <w14:textFill>
            <w14:solidFill>
              <w14:schemeClr w14:val="tx1"/>
            </w14:solidFill>
          </w14:textFill>
        </w:rPr>
        <w:t>工期</w:t>
      </w:r>
      <w:r>
        <w:rPr>
          <w:rFonts w:hint="eastAsia" w:ascii="宋体" w:hAnsi="宋体" w:eastAsia="宋体" w:cs="宋体"/>
          <w:color w:val="000000" w:themeColor="text1"/>
          <w:sz w:val="24"/>
          <w:szCs w:val="24"/>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名成交候选供应商，标明排列顺序，综合得分最高者为第一成交候选供应商。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1.3在评标过程中，供应商对采购人和磋商小组施加影响的任何行为，都将导致其投标资格被取消。</w:t>
      </w:r>
    </w:p>
    <w:p>
      <w:pPr>
        <w:pStyle w:val="4"/>
        <w:pageBreakBefore w:val="0"/>
        <w:widowControl w:val="0"/>
        <w:kinsoku/>
        <w:wordWrap/>
        <w:overflowPunct/>
        <w:topLinePunct w:val="0"/>
        <w:autoSpaceDE/>
        <w:autoSpaceDN/>
        <w:bidi w:val="0"/>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7" w:name="_Toc24205"/>
      <w:bookmarkStart w:id="158" w:name="_Toc526842696"/>
      <w:r>
        <w:rPr>
          <w:rFonts w:hint="eastAsia" w:ascii="宋体" w:hAnsi="宋体" w:eastAsia="宋体" w:cs="宋体"/>
          <w:color w:val="000000" w:themeColor="text1"/>
          <w:sz w:val="24"/>
          <w:szCs w:val="24"/>
          <w14:textFill>
            <w14:solidFill>
              <w14:schemeClr w14:val="tx1"/>
            </w14:solidFill>
          </w14:textFill>
        </w:rPr>
        <w:t>2. 评审标准</w:t>
      </w:r>
      <w:bookmarkEnd w:id="157"/>
      <w:bookmarkEnd w:id="158"/>
    </w:p>
    <w:p>
      <w:pPr>
        <w:pStyle w:val="6"/>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9" w:name="_Toc8321"/>
      <w:bookmarkStart w:id="160" w:name="_Toc526842697"/>
      <w:r>
        <w:rPr>
          <w:rFonts w:hint="eastAsia" w:ascii="宋体" w:hAnsi="宋体" w:eastAsia="宋体" w:cs="宋体"/>
          <w:color w:val="000000" w:themeColor="text1"/>
          <w:sz w:val="24"/>
          <w:szCs w:val="24"/>
          <w14:textFill>
            <w14:solidFill>
              <w14:schemeClr w14:val="tx1"/>
            </w14:solidFill>
          </w14:textFill>
        </w:rPr>
        <w:t>2.1 初步评审标准</w:t>
      </w:r>
      <w:bookmarkEnd w:id="159"/>
      <w:bookmarkEnd w:id="160"/>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sz w:val="24"/>
          <w:szCs w:val="24"/>
        </w:rPr>
      </w:pPr>
      <w:bookmarkStart w:id="161" w:name="_Toc526842698"/>
      <w:bookmarkStart w:id="162" w:name="_Toc526842699"/>
      <w:r>
        <w:rPr>
          <w:rFonts w:hint="eastAsia" w:ascii="宋体" w:hAnsi="宋体" w:eastAsia="宋体" w:cs="宋体"/>
          <w:color w:val="000000"/>
          <w:sz w:val="24"/>
          <w:szCs w:val="24"/>
        </w:rPr>
        <w:t>2.1.1形式评审标准：见评标办法前附表。</w:t>
      </w:r>
    </w:p>
    <w:p>
      <w:pPr>
        <w:pStyle w:val="6"/>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b w:val="0"/>
          <w:bCs/>
          <w:color w:val="000000"/>
          <w:sz w:val="24"/>
          <w:szCs w:val="24"/>
        </w:rPr>
      </w:pPr>
      <w:bookmarkStart w:id="163" w:name="_Toc3038"/>
      <w:r>
        <w:rPr>
          <w:rFonts w:hint="eastAsia" w:ascii="宋体" w:hAnsi="宋体" w:eastAsia="宋体" w:cs="宋体"/>
          <w:b w:val="0"/>
          <w:bCs/>
          <w:color w:val="000000"/>
          <w:sz w:val="24"/>
          <w:szCs w:val="24"/>
        </w:rPr>
        <w:t>2.1.2响应性评审标准：见评标办法前附表。</w:t>
      </w:r>
      <w:bookmarkEnd w:id="163"/>
    </w:p>
    <w:p>
      <w:pPr>
        <w:pStyle w:val="6"/>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4" w:name="_Toc21767"/>
      <w:r>
        <w:rPr>
          <w:rFonts w:hint="eastAsia" w:ascii="宋体" w:hAnsi="宋体" w:eastAsia="宋体" w:cs="宋体"/>
          <w:color w:val="000000" w:themeColor="text1"/>
          <w:sz w:val="24"/>
          <w:szCs w:val="24"/>
          <w14:textFill>
            <w14:solidFill>
              <w14:schemeClr w14:val="tx1"/>
            </w14:solidFill>
          </w14:textFill>
        </w:rPr>
        <w:t>2.2 详细评审标准</w:t>
      </w:r>
      <w:bookmarkEnd w:id="161"/>
      <w:bookmarkEnd w:id="164"/>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分值构成</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：见评标办法前附表；</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：见评标办法前附表。</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2.2.2评分标准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评分标准：见评标办法前附表；</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评分标准：见评标办法前附表。</w:t>
      </w:r>
    </w:p>
    <w:p>
      <w:pPr>
        <w:pStyle w:val="4"/>
        <w:pageBreakBefore w:val="0"/>
        <w:widowControl w:val="0"/>
        <w:kinsoku/>
        <w:wordWrap/>
        <w:overflowPunct/>
        <w:topLinePunct w:val="0"/>
        <w:autoSpaceDE/>
        <w:autoSpaceDN/>
        <w:bidi w:val="0"/>
        <w:spacing w:before="0" w:after="0"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5" w:name="_Toc15104"/>
      <w:r>
        <w:rPr>
          <w:rFonts w:hint="eastAsia" w:ascii="宋体" w:hAnsi="宋体" w:eastAsia="宋体" w:cs="宋体"/>
          <w:color w:val="000000" w:themeColor="text1"/>
          <w:sz w:val="24"/>
          <w:szCs w:val="24"/>
          <w14:textFill>
            <w14:solidFill>
              <w14:schemeClr w14:val="tx1"/>
            </w14:solidFill>
          </w14:textFill>
        </w:rPr>
        <w:t>3. 评标程序</w:t>
      </w:r>
      <w:bookmarkEnd w:id="162"/>
      <w:bookmarkEnd w:id="165"/>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3.1按照初审、详评、推荐成交候选供应商三个步骤进行评标。在上一步评审中被废标者，不进入下一步的评审。</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3.1.1对磋商响应文件的初审:</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按照以下内容对磋商响应文件初审，一项不合格即为废标。</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文件要求的格式编写磋商响应文件。</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（2）磋商响应文件的有效性。磋商响应文件的签署、加盖印章是否合格、有效；提供的各种证明文件、数据、资料是否齐全。</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提供的资格证明文件是否符合</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文件要求。</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（3）磋商响应文件的响应性。投标有效期是否符合</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是否按照</w:t>
      </w:r>
      <w:r>
        <w:rPr>
          <w:rFonts w:hint="eastAsia" w:ascii="宋体" w:hAnsi="宋体" w:eastAsia="宋体" w:cs="宋体"/>
          <w:bCs/>
          <w:color w:val="000000"/>
          <w:sz w:val="24"/>
          <w:szCs w:val="24"/>
          <w:lang w:eastAsia="zh-CN"/>
        </w:rPr>
        <w:t>磋商</w:t>
      </w:r>
      <w:r>
        <w:rPr>
          <w:rFonts w:hint="eastAsia" w:ascii="宋体" w:hAnsi="宋体" w:eastAsia="宋体" w:cs="宋体"/>
          <w:color w:val="000000" w:themeColor="text1"/>
          <w:sz w:val="24"/>
          <w:szCs w:val="24"/>
          <w14:textFill>
            <w14:solidFill>
              <w14:schemeClr w14:val="tx1"/>
            </w14:solidFill>
          </w14:textFill>
        </w:rPr>
        <w:t>文件的要求提交了有效足额的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3.1.2对于磋商响应文件中可能出现的不一致和算术计算错误按以下方法更正:</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（1）磋商响应文件中开标一览表（报价表）内容与磋商响应文件中明细表内容不一致的，以开标一览表（报价表）为准。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（2）用数字表示的金额和用文字表示的金额不一致的，以文字表示的金额为准。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（3）总价金额与按单价汇总金额不一致的，以单价金额计算结果为准；但单价金额小数点有明显错位的，以总价为准，并修正单价。</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4"/>
          <w:szCs w:val="24"/>
          <w:lang w:eastAsia="zh-CN"/>
          <w14:textFill>
            <w14:solidFill>
              <w14:schemeClr w14:val="tx1"/>
            </w14:solidFill>
          </w14:textFill>
        </w:rPr>
        <w:t>磋商报价</w:t>
      </w:r>
      <w:r>
        <w:rPr>
          <w:rFonts w:hint="eastAsia" w:ascii="宋体" w:hAnsi="宋体" w:eastAsia="宋体" w:cs="宋体"/>
          <w:color w:val="000000" w:themeColor="text1"/>
          <w:sz w:val="24"/>
          <w:szCs w:val="24"/>
          <w14:textFill>
            <w14:solidFill>
              <w14:schemeClr w14:val="tx1"/>
            </w14:solidFill>
          </w14:textFill>
        </w:rPr>
        <w:t>，修正后的价格对供应商具有约束力。如果供应商不接受修正后的价格，其投标将被拒绝。</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pPr>
        <w:pStyle w:val="6"/>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6" w:name="_Toc23340"/>
      <w:bookmarkStart w:id="167" w:name="_Toc526842700"/>
      <w:r>
        <w:rPr>
          <w:rFonts w:hint="eastAsia" w:ascii="宋体" w:hAnsi="宋体" w:eastAsia="宋体" w:cs="宋体"/>
          <w:color w:val="000000" w:themeColor="text1"/>
          <w:sz w:val="24"/>
          <w:szCs w:val="24"/>
          <w14:textFill>
            <w14:solidFill>
              <w14:schemeClr w14:val="tx1"/>
            </w14:solidFill>
          </w14:textFill>
        </w:rPr>
        <w:t>3.2初步评审</w:t>
      </w:r>
      <w:bookmarkEnd w:id="166"/>
      <w:bookmarkEnd w:id="167"/>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3.2.1磋商小组依据本章第2.1款规定的标准对磋商响应文件进行初步评审。有一项不符合评审标准的，磋商小组应当否决其投标。</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 供应商有以下情形之一的，磋商小组应当否决其投标：</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（1）第二章“供应商须知”第1.4.1项规定的任何一种情形的；</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（2）串通投标或弄虚作假或有其他违法行为的；</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（3）不按磋商小组要求澄清、说明或补正的。</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（1）磋商响应文件中的大写金额与小写金额不一致的，以大写金额为准；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（2）总价金额与依据单价计算出的结果不一致的，以单价金额为准修正总价，但单价金额小数点有明显错误的除外。</w:t>
      </w:r>
    </w:p>
    <w:p>
      <w:pPr>
        <w:pStyle w:val="6"/>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68" w:name="_Toc526842701"/>
      <w:bookmarkStart w:id="169" w:name="_Toc272"/>
      <w:r>
        <w:rPr>
          <w:rFonts w:hint="eastAsia" w:ascii="宋体" w:hAnsi="宋体" w:eastAsia="宋体" w:cs="宋体"/>
          <w:color w:val="000000" w:themeColor="text1"/>
          <w:sz w:val="24"/>
          <w:szCs w:val="24"/>
          <w14:textFill>
            <w14:solidFill>
              <w14:schemeClr w14:val="tx1"/>
            </w14:solidFill>
          </w14:textFill>
        </w:rPr>
        <w:t>3.3 详细评审</w:t>
      </w:r>
      <w:bookmarkEnd w:id="168"/>
      <w:bookmarkEnd w:id="169"/>
    </w:p>
    <w:p>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3.3.1评审内容及步骤</w:t>
      </w:r>
    </w:p>
    <w:p>
      <w:pPr>
        <w:pStyle w:val="9"/>
        <w:pageBreakBefore w:val="0"/>
        <w:widowControl w:val="0"/>
        <w:kinsoku/>
        <w:wordWrap/>
        <w:overflowPunct/>
        <w:topLinePunct w:val="0"/>
        <w:autoSpaceDE/>
        <w:autoSpaceDN/>
        <w:bidi w:val="0"/>
        <w:spacing w:line="480" w:lineRule="auto"/>
        <w:ind w:left="0" w:leftChars="0" w:firstLine="4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评标前磋商小组需先对供应商磋商响应文件中的资格证明文件（加盖单位公章的复印件）进行资格审查和符合性评审，然后再对通过资格审查和符合性评审的供应商进行技术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进行量化打分。</w:t>
      </w:r>
    </w:p>
    <w:p>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3.3.2技术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的评审：</w:t>
      </w:r>
    </w:p>
    <w:p>
      <w:pPr>
        <w:pageBreakBefore w:val="0"/>
        <w:widowControl w:val="0"/>
        <w:kinsoku/>
        <w:wordWrap/>
        <w:overflowPunct/>
        <w:topLinePunct w:val="0"/>
        <w:autoSpaceDE/>
        <w:autoSpaceDN/>
        <w:bidi w:val="0"/>
        <w:spacing w:line="48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进行详细评审。</w:t>
      </w:r>
    </w:p>
    <w:p>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3.3.3确定供应商的有效报价：</w:t>
      </w:r>
    </w:p>
    <w:p>
      <w:pPr>
        <w:pStyle w:val="22"/>
        <w:pageBreakBefore w:val="0"/>
        <w:widowControl w:val="0"/>
        <w:kinsoku/>
        <w:wordWrap/>
        <w:overflowPunct/>
        <w:topLinePunct w:val="0"/>
        <w:autoSpaceDE/>
        <w:autoSpaceDN/>
        <w:bidi w:val="0"/>
        <w:spacing w:line="480" w:lineRule="auto"/>
        <w:ind w:left="0"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3.3.4商务标评审，详见上述评标办法前附表。</w:t>
      </w:r>
    </w:p>
    <w:p>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3.3.5汇总上述技术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和商务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得分，按综合得分由高到低的顺序排序。</w:t>
      </w:r>
    </w:p>
    <w:p>
      <w:pPr>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3.3.6确定成交供应商：</w:t>
      </w:r>
    </w:p>
    <w:p>
      <w:pPr>
        <w:pageBreakBefore w:val="0"/>
        <w:widowControl w:val="0"/>
        <w:kinsoku/>
        <w:wordWrap/>
        <w:overflowPunct/>
        <w:topLinePunct w:val="0"/>
        <w:autoSpaceDE/>
        <w:autoSpaceDN/>
        <w:bidi w:val="0"/>
        <w:spacing w:line="480" w:lineRule="auto"/>
        <w:ind w:firstLine="472"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当确定的成交供应商放弃成交或不能够履行磋商响应文件承诺的条款，成交供应商按排名顺序依次递补或经采购人及监管同意后项目废标。</w:t>
      </w:r>
    </w:p>
    <w:p>
      <w:pPr>
        <w:pageBreakBefore w:val="0"/>
        <w:widowControl w:val="0"/>
        <w:tabs>
          <w:tab w:val="left" w:pos="6060"/>
        </w:tabs>
        <w:kinsoku/>
        <w:wordWrap/>
        <w:overflowPunct/>
        <w:topLinePunct w:val="0"/>
        <w:autoSpaceDE/>
        <w:autoSpaceDN/>
        <w:bidi w:val="0"/>
        <w:spacing w:line="48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3.3.7其他情况：</w:t>
      </w:r>
    </w:p>
    <w:p>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得分；如仍相同，则由评委无记名投票，以得票高低确定排序先后。</w:t>
      </w:r>
    </w:p>
    <w:p>
      <w:pPr>
        <w:pageBreakBefore w:val="0"/>
        <w:widowControl w:val="0"/>
        <w:tabs>
          <w:tab w:val="left" w:pos="6060"/>
        </w:tabs>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评标中采用插入法计算保留小数点后两位，第三位四舍五入。</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本办法由采购人负责解释，未尽事宜执行有关规定。</w:t>
      </w:r>
    </w:p>
    <w:p>
      <w:pPr>
        <w:pStyle w:val="6"/>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70" w:name="_Toc17944"/>
      <w:bookmarkStart w:id="171" w:name="_Toc526842702"/>
      <w:r>
        <w:rPr>
          <w:rFonts w:hint="eastAsia" w:ascii="宋体" w:hAnsi="宋体" w:eastAsia="宋体" w:cs="宋体"/>
          <w:color w:val="000000" w:themeColor="text1"/>
          <w:sz w:val="24"/>
          <w:szCs w:val="24"/>
          <w14:textFill>
            <w14:solidFill>
              <w14:schemeClr w14:val="tx1"/>
            </w14:solidFill>
          </w14:textFill>
        </w:rPr>
        <w:t>3.4 磋商响应文件的澄清和补正</w:t>
      </w:r>
      <w:bookmarkEnd w:id="170"/>
      <w:bookmarkEnd w:id="171"/>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 澄清、说明和补正不得改变磋商响应文件的实质性内容（算术性错误修正的除外）。供应商的书面澄清、说明和补正属于磋商响应文件的组成部分。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 磋商小组对供应商提交的澄清、说明或补正有疑问的，可以要求供应商进一步澄清、说明或补正，直至满足磋商小组的要求。</w:t>
      </w:r>
    </w:p>
    <w:p>
      <w:pPr>
        <w:pStyle w:val="6"/>
        <w:pageBreakBefore w:val="0"/>
        <w:widowControl w:val="0"/>
        <w:kinsoku/>
        <w:wordWrap/>
        <w:overflowPunct/>
        <w:topLinePunct w:val="0"/>
        <w:autoSpaceDE/>
        <w:autoSpaceDN/>
        <w:bidi w:val="0"/>
        <w:spacing w:line="48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72" w:name="_Toc526842703"/>
      <w:bookmarkStart w:id="173" w:name="_Toc13592"/>
      <w:r>
        <w:rPr>
          <w:rFonts w:hint="eastAsia" w:ascii="宋体" w:hAnsi="宋体" w:eastAsia="宋体" w:cs="宋体"/>
          <w:color w:val="000000" w:themeColor="text1"/>
          <w:sz w:val="24"/>
          <w:szCs w:val="24"/>
          <w14:textFill>
            <w14:solidFill>
              <w14:schemeClr w14:val="tx1"/>
            </w14:solidFill>
          </w14:textFill>
        </w:rPr>
        <w:t>3.5 评标结果</w:t>
      </w:r>
      <w:bookmarkEnd w:id="172"/>
      <w:bookmarkEnd w:id="173"/>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3.5.1磋商小组按照得分由高到低的顺序推荐成交候选供应商。</w:t>
      </w:r>
    </w:p>
    <w:p>
      <w:pPr>
        <w:pageBreakBefore w:val="0"/>
        <w:widowControl w:val="0"/>
        <w:kinsoku/>
        <w:wordWrap/>
        <w:overflowPunct/>
        <w:topLinePunct w:val="0"/>
        <w:autoSpaceDE/>
        <w:autoSpaceDN/>
        <w:bidi w:val="0"/>
        <w:spacing w:line="48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3.5.2 磋商小组完成评标后，应当向采购人提交书面评标报告。</w:t>
      </w:r>
    </w:p>
    <w:p>
      <w:pPr>
        <w:pStyle w:val="4"/>
        <w:pageBreakBefore w:val="0"/>
        <w:widowControl w:val="0"/>
        <w:kinsoku/>
        <w:wordWrap/>
        <w:overflowPunct/>
        <w:topLinePunct w:val="0"/>
        <w:autoSpaceDE/>
        <w:autoSpaceDN/>
        <w:bidi w:val="0"/>
        <w:spacing w:before="0" w:after="0" w:line="480" w:lineRule="auto"/>
        <w:rPr>
          <w:rFonts w:hint="eastAsia" w:ascii="宋体" w:hAnsi="宋体" w:eastAsia="宋体" w:cs="宋体"/>
          <w:color w:val="000000" w:themeColor="text1"/>
          <w:sz w:val="24"/>
          <w:szCs w:val="24"/>
          <w14:textFill>
            <w14:solidFill>
              <w14:schemeClr w14:val="tx1"/>
            </w14:solidFill>
          </w14:textFill>
        </w:rPr>
      </w:pPr>
      <w:bookmarkStart w:id="174" w:name="_Toc18242"/>
      <w:r>
        <w:rPr>
          <w:rFonts w:hint="eastAsia" w:ascii="宋体" w:hAnsi="宋体" w:eastAsia="宋体" w:cs="宋体"/>
          <w:color w:val="000000" w:themeColor="text1"/>
          <w:sz w:val="24"/>
          <w:szCs w:val="24"/>
          <w14:textFill>
            <w14:solidFill>
              <w14:schemeClr w14:val="tx1"/>
            </w14:solidFill>
          </w14:textFill>
        </w:rPr>
        <w:t>4.需要落实的政府采购政策</w:t>
      </w:r>
      <w:bookmarkEnd w:id="174"/>
      <w:bookmarkStart w:id="175" w:name="_Toc6400"/>
      <w:bookmarkStart w:id="176" w:name="_Toc9257"/>
      <w:bookmarkStart w:id="177" w:name="_Toc369361291"/>
      <w:bookmarkStart w:id="178" w:name="_Toc15026"/>
      <w:bookmarkStart w:id="179" w:name="_Toc487726885"/>
      <w:bookmarkStart w:id="180" w:name="_Toc332199024"/>
      <w:bookmarkStart w:id="181" w:name="_Toc290389727"/>
      <w:bookmarkStart w:id="182" w:name="_Toc332199115"/>
      <w:bookmarkStart w:id="183" w:name="_Toc526842704"/>
      <w:bookmarkStart w:id="184" w:name="_Toc500323106"/>
      <w:bookmarkStart w:id="185" w:name="_Toc360604917"/>
    </w:p>
    <w:p>
      <w:pPr>
        <w:pStyle w:val="4"/>
        <w:pageBreakBefore w:val="0"/>
        <w:widowControl w:val="0"/>
        <w:kinsoku/>
        <w:wordWrap/>
        <w:overflowPunct/>
        <w:topLinePunct w:val="0"/>
        <w:autoSpaceDE/>
        <w:autoSpaceDN/>
        <w:bidi w:val="0"/>
        <w:spacing w:before="0" w:after="0" w:line="48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w:t>
      </w:r>
      <w:r>
        <w:rPr>
          <w:rFonts w:hint="eastAsia" w:ascii="宋体" w:hAnsi="宋体" w:eastAsia="宋体" w:cs="宋体"/>
          <w:b/>
          <w:bCs w:val="0"/>
          <w:color w:val="000000"/>
          <w:sz w:val="24"/>
          <w:szCs w:val="24"/>
        </w:rPr>
        <w:t>《政府采购促进中小企业发展管理办法》的通知（财库〔2020〕46号）</w:t>
      </w:r>
      <w:bookmarkEnd w:id="17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186" w:name="_Toc26075"/>
      <w:bookmarkStart w:id="187" w:name="_Toc15061"/>
      <w:bookmarkStart w:id="188" w:name="_Toc2618"/>
      <w:bookmarkStart w:id="189" w:name="_Toc10056"/>
      <w:bookmarkStart w:id="190" w:name="_Toc28308"/>
      <w:bookmarkStart w:id="191" w:name="_Toc12159"/>
      <w:r>
        <w:rPr>
          <w:rFonts w:hint="eastAsia" w:ascii="宋体" w:hAnsi="宋体" w:eastAsia="宋体" w:cs="宋体"/>
          <w:b w:val="0"/>
          <w:bCs/>
          <w:color w:val="000000"/>
          <w:sz w:val="24"/>
          <w:szCs w:val="24"/>
          <w:lang w:val="en-US" w:eastAsia="zh-CN"/>
        </w:rPr>
        <w:t>在政府采购活动中，供应商提供的货物、工程或者服务符合下列情形的，享受《办法》规定的中小企业扶持政策:</w:t>
      </w:r>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192" w:name="_Toc29610"/>
      <w:bookmarkStart w:id="193" w:name="_Toc13145"/>
      <w:bookmarkStart w:id="194" w:name="_Toc3750"/>
      <w:bookmarkStart w:id="195" w:name="_Toc12926"/>
      <w:bookmarkStart w:id="196" w:name="_Toc13553"/>
      <w:r>
        <w:rPr>
          <w:rFonts w:hint="eastAsia" w:ascii="宋体" w:hAnsi="宋体" w:eastAsia="宋体" w:cs="宋体"/>
          <w:b w:val="0"/>
          <w:bCs/>
          <w:color w:val="000000"/>
          <w:sz w:val="24"/>
          <w:szCs w:val="24"/>
          <w:lang w:val="en-US" w:eastAsia="zh-CN"/>
        </w:rPr>
        <w:t>(一)在货物采购项目中，货物由中小企业制造，即货物由中小企业生产且使用该中小企业商号或者注册商标；</w:t>
      </w:r>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197" w:name="_Toc2212"/>
      <w:bookmarkStart w:id="198" w:name="_Toc27737"/>
      <w:bookmarkStart w:id="199" w:name="_Toc98"/>
      <w:bookmarkStart w:id="200" w:name="_Toc5972"/>
      <w:bookmarkStart w:id="201" w:name="_Toc10777"/>
      <w:r>
        <w:rPr>
          <w:rFonts w:hint="eastAsia" w:ascii="宋体" w:hAnsi="宋体" w:eastAsia="宋体" w:cs="宋体"/>
          <w:b w:val="0"/>
          <w:bCs/>
          <w:color w:val="000000"/>
          <w:sz w:val="24"/>
          <w:szCs w:val="24"/>
          <w:lang w:val="en-US" w:eastAsia="zh-CN"/>
        </w:rPr>
        <w:t>(二)在工程采购项目中，工程由中小企业承建，即工程施工单位为中小企业；</w:t>
      </w:r>
      <w:bookmarkEnd w:id="197"/>
      <w:bookmarkEnd w:id="198"/>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02" w:name="_Toc14952"/>
      <w:bookmarkStart w:id="203" w:name="_Toc31732"/>
      <w:bookmarkStart w:id="204" w:name="_Toc2676"/>
      <w:bookmarkStart w:id="205" w:name="_Toc30603"/>
      <w:bookmarkStart w:id="206" w:name="_Toc13181"/>
      <w:r>
        <w:rPr>
          <w:rFonts w:hint="eastAsia" w:ascii="宋体" w:hAnsi="宋体" w:eastAsia="宋体" w:cs="宋体"/>
          <w:b w:val="0"/>
          <w:bCs/>
          <w:color w:val="000000"/>
          <w:sz w:val="24"/>
          <w:szCs w:val="24"/>
          <w:lang w:val="en-US" w:eastAsia="zh-CN"/>
        </w:rPr>
        <w:t>(三)在服务采购项目中，服务由中小企业承接，即提供服务的人员为中小企业依照《中华人民共和国劳动合同法》订立劳动合同的从业人员。</w:t>
      </w:r>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07" w:name="_Toc28280"/>
      <w:bookmarkStart w:id="208" w:name="_Toc9186"/>
      <w:bookmarkStart w:id="209" w:name="_Toc31112"/>
      <w:bookmarkStart w:id="210" w:name="_Toc21217"/>
      <w:bookmarkStart w:id="211" w:name="_Toc31982"/>
      <w:r>
        <w:rPr>
          <w:rFonts w:hint="eastAsia" w:ascii="宋体" w:hAnsi="宋体" w:eastAsia="宋体" w:cs="宋体"/>
          <w:b w:val="0"/>
          <w:bCs/>
          <w:color w:val="000000"/>
          <w:sz w:val="24"/>
          <w:szCs w:val="24"/>
          <w:lang w:val="en-US" w:eastAsia="zh-CN"/>
        </w:rPr>
        <w:t>在货物采购项目中，供应商提供的货物既有中小企业制造货物，也有大型企业制造货物的，不享受《办法》规定的中小企业扶持政策。</w:t>
      </w:r>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12" w:name="_Toc28678"/>
      <w:bookmarkStart w:id="213" w:name="_Toc6020"/>
      <w:bookmarkStart w:id="214" w:name="_Toc18434"/>
      <w:bookmarkStart w:id="215" w:name="_Toc23925"/>
      <w:bookmarkStart w:id="216" w:name="_Toc12766"/>
      <w:r>
        <w:rPr>
          <w:rFonts w:hint="eastAsia" w:ascii="宋体" w:hAnsi="宋体" w:eastAsia="宋体" w:cs="宋体"/>
          <w:b w:val="0"/>
          <w:bCs/>
          <w:color w:val="000000"/>
          <w:sz w:val="24"/>
          <w:szCs w:val="24"/>
          <w:lang w:val="en-US" w:eastAsia="zh-CN"/>
        </w:rPr>
        <w:t>以联合体形式参加政府采购活动，联合体各方均为中小企业的，联合体视同中小企业。其中，联合体各方均为小微企业的，联合体视同小微企业。</w:t>
      </w:r>
      <w:bookmarkEnd w:id="212"/>
      <w:bookmarkEnd w:id="213"/>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17" w:name="_Toc17492"/>
      <w:bookmarkStart w:id="218" w:name="_Toc28971"/>
      <w:bookmarkStart w:id="219" w:name="_Toc9423"/>
      <w:bookmarkStart w:id="220" w:name="_Toc1848"/>
      <w:bookmarkStart w:id="221" w:name="_Toc24099"/>
      <w:r>
        <w:rPr>
          <w:rFonts w:hint="eastAsia" w:ascii="宋体" w:hAnsi="宋体" w:eastAsia="宋体" w:cs="宋体"/>
          <w:b w:val="0"/>
          <w:bCs/>
          <w:color w:val="000000"/>
          <w:sz w:val="24"/>
          <w:szCs w:val="24"/>
          <w:lang w:val="en-US" w:eastAsia="zh-CN"/>
        </w:rPr>
        <w:t>依据《办法》规定享受扶持政策获得政府采购合同的，小微企业不得将合同分包给大中型企业，中型企业不得将合同分包给大型企业。</w:t>
      </w:r>
      <w:bookmarkEnd w:id="217"/>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22" w:name="_Toc7194"/>
      <w:bookmarkStart w:id="223" w:name="_Toc12812"/>
      <w:bookmarkStart w:id="224" w:name="_Toc26091"/>
      <w:bookmarkStart w:id="225" w:name="_Toc26502"/>
      <w:bookmarkStart w:id="226" w:name="_Toc4775"/>
      <w:r>
        <w:rPr>
          <w:rFonts w:hint="eastAsia" w:ascii="宋体" w:hAnsi="宋体" w:eastAsia="宋体" w:cs="宋体"/>
          <w:b w:val="0"/>
          <w:bCs/>
          <w:color w:val="000000"/>
          <w:sz w:val="24"/>
          <w:szCs w:val="24"/>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27" w:name="_Toc10392"/>
      <w:bookmarkStart w:id="228" w:name="_Toc29579"/>
      <w:bookmarkStart w:id="229" w:name="_Toc28497"/>
      <w:bookmarkStart w:id="230" w:name="_Toc2963"/>
      <w:bookmarkStart w:id="231" w:name="_Toc4731"/>
      <w:r>
        <w:rPr>
          <w:rFonts w:hint="eastAsia" w:ascii="宋体" w:hAnsi="宋体" w:eastAsia="宋体" w:cs="宋体"/>
          <w:b w:val="0"/>
          <w:bCs/>
          <w:color w:val="000000"/>
          <w:sz w:val="24"/>
          <w:szCs w:val="24"/>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bookmarkStart w:id="232" w:name="_Toc12101"/>
      <w:bookmarkStart w:id="233" w:name="_Toc2434"/>
      <w:bookmarkStart w:id="234" w:name="_Toc25557"/>
      <w:bookmarkStart w:id="235" w:name="_Toc11983"/>
      <w:bookmarkStart w:id="236" w:name="_Toc10033"/>
      <w:r>
        <w:rPr>
          <w:rFonts w:hint="eastAsia" w:ascii="宋体" w:hAnsi="宋体" w:eastAsia="宋体" w:cs="宋体"/>
          <w:b w:val="0"/>
          <w:bCs/>
          <w:color w:val="000000"/>
          <w:sz w:val="24"/>
          <w:szCs w:val="24"/>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在政府采购活动中，残疾人福利性单位、监狱企业视同小型、微型企业，不重复享受政策。</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lang w:val="en-US" w:eastAsia="zh-CN"/>
        </w:rPr>
        <w:t>2.</w:t>
      </w:r>
      <w:r>
        <w:rPr>
          <w:rFonts w:hint="eastAsia" w:ascii="宋体" w:hAnsi="宋体" w:eastAsia="宋体" w:cs="宋体"/>
          <w:b/>
          <w:bCs w:val="0"/>
          <w:color w:val="000000"/>
          <w:sz w:val="24"/>
          <w:szCs w:val="24"/>
        </w:rPr>
        <w:t>财政部司法部关于政府采购支持监狱企业发展有关问题的通知—财库〔2014〕68号</w:t>
      </w:r>
      <w:bookmarkEnd w:id="191"/>
      <w:r>
        <w:rPr>
          <w:rFonts w:hint="eastAsia" w:ascii="宋体" w:hAnsi="宋体" w:eastAsia="宋体" w:cs="宋体"/>
          <w:b/>
          <w:bCs w:val="0"/>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37" w:name="_Toc13779"/>
      <w:r>
        <w:rPr>
          <w:rFonts w:hint="eastAsia" w:ascii="宋体" w:hAnsi="宋体" w:eastAsia="宋体" w:cs="宋体"/>
          <w:b w:val="0"/>
          <w:bCs/>
          <w:color w:val="000000"/>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7"/>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38" w:name="_Toc30736"/>
      <w:r>
        <w:rPr>
          <w:rFonts w:hint="eastAsia" w:ascii="宋体" w:hAnsi="宋体" w:eastAsia="宋体" w:cs="宋体"/>
          <w:b w:val="0"/>
          <w:bCs/>
          <w:color w:val="000000"/>
          <w:sz w:val="24"/>
          <w:szCs w:val="24"/>
        </w:rPr>
        <w:t>评标委员会对监狱企业的价格给予</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%的扣除，用扣除后的价格参与评审。</w:t>
      </w:r>
      <w:bookmarkEnd w:id="238"/>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hint="eastAsia" w:ascii="宋体" w:hAnsi="宋体" w:eastAsia="宋体" w:cs="宋体"/>
          <w:b/>
          <w:bCs w:val="0"/>
          <w:color w:val="000000"/>
          <w:sz w:val="24"/>
          <w:szCs w:val="24"/>
        </w:rPr>
      </w:pPr>
      <w:bookmarkStart w:id="239" w:name="_Toc15904"/>
      <w:r>
        <w:rPr>
          <w:rFonts w:hint="eastAsia" w:ascii="宋体" w:hAnsi="宋体" w:eastAsia="宋体" w:cs="宋体"/>
          <w:b/>
          <w:bCs w:val="0"/>
          <w:color w:val="000000"/>
          <w:sz w:val="24"/>
          <w:szCs w:val="24"/>
          <w:lang w:val="en-US" w:eastAsia="zh-CN"/>
        </w:rPr>
        <w:t>3.</w:t>
      </w:r>
      <w:r>
        <w:rPr>
          <w:rFonts w:hint="eastAsia" w:ascii="宋体" w:hAnsi="宋体" w:eastAsia="宋体" w:cs="宋体"/>
          <w:b/>
          <w:bCs w:val="0"/>
          <w:color w:val="000000"/>
          <w:sz w:val="24"/>
          <w:szCs w:val="24"/>
        </w:rPr>
        <w:t>《国务院办公厅关于建立政府强制采购节能产品制度的通知》—国办发〔2007〕51号</w:t>
      </w:r>
      <w:bookmarkEnd w:id="239"/>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0" w:name="_Toc24650"/>
      <w:r>
        <w:rPr>
          <w:rFonts w:hint="eastAsia" w:ascii="宋体" w:hAnsi="宋体" w:eastAsia="宋体" w:cs="宋体"/>
          <w:b w:val="0"/>
          <w:bCs/>
          <w:color w:val="000000"/>
          <w:sz w:val="24"/>
          <w:szCs w:val="24"/>
        </w:rPr>
        <w:t>各级政府机构使用财政性资金进行政府采购活动时，在技术、服务等指标满足采购需求的前提下，要优先采购节能产品，对部分节能效果、性能等达到要求的产品，实行强制采购。</w:t>
      </w:r>
      <w:bookmarkEnd w:id="240"/>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hint="eastAsia" w:ascii="宋体" w:hAnsi="宋体" w:eastAsia="宋体" w:cs="宋体"/>
          <w:b/>
          <w:bCs w:val="0"/>
          <w:color w:val="000000"/>
          <w:sz w:val="24"/>
          <w:szCs w:val="24"/>
        </w:rPr>
      </w:pPr>
      <w:bookmarkStart w:id="241" w:name="_Toc3243"/>
      <w:r>
        <w:rPr>
          <w:rFonts w:hint="eastAsia" w:ascii="宋体" w:hAnsi="宋体" w:eastAsia="宋体" w:cs="宋体"/>
          <w:b/>
          <w:bCs w:val="0"/>
          <w:color w:val="000000"/>
          <w:sz w:val="24"/>
          <w:szCs w:val="24"/>
          <w:lang w:val="en-US" w:eastAsia="zh-CN"/>
        </w:rPr>
        <w:t>4.</w:t>
      </w:r>
      <w:r>
        <w:rPr>
          <w:rFonts w:hint="eastAsia" w:ascii="宋体" w:hAnsi="宋体" w:eastAsia="宋体" w:cs="宋体"/>
          <w:b/>
          <w:bCs w:val="0"/>
          <w:color w:val="000000"/>
          <w:sz w:val="24"/>
          <w:szCs w:val="24"/>
        </w:rPr>
        <w:t>《环境标志产品政府采购实施的意见》--财库[2006]90号</w:t>
      </w:r>
      <w:bookmarkEnd w:id="241"/>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2" w:name="_Toc16156"/>
      <w:r>
        <w:rPr>
          <w:rFonts w:hint="eastAsia" w:ascii="宋体" w:hAnsi="宋体" w:eastAsia="宋体" w:cs="宋体"/>
          <w:b w:val="0"/>
          <w:bCs/>
          <w:color w:val="000000"/>
          <w:sz w:val="24"/>
          <w:szCs w:val="24"/>
        </w:rPr>
        <w:t>根据《环境标志产品政府采购实施的意见》--财库[2006]90号规定，采购人采购的产品在品目清单中并具有认证证书的，在性能、技术、服务等指标同等条件下，应当优先采购清单中的产品。</w:t>
      </w:r>
      <w:bookmarkEnd w:id="242"/>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3" w:name="_Toc28793"/>
      <w:r>
        <w:rPr>
          <w:rFonts w:hint="eastAsia" w:ascii="宋体" w:hAnsi="宋体" w:eastAsia="宋体" w:cs="宋体"/>
          <w:b w:val="0"/>
          <w:bCs/>
          <w:color w:val="000000"/>
          <w:sz w:val="24"/>
          <w:szCs w:val="24"/>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3"/>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hint="eastAsia" w:ascii="宋体" w:hAnsi="宋体" w:eastAsia="宋体" w:cs="宋体"/>
          <w:b w:val="0"/>
          <w:bCs/>
          <w:color w:val="000000"/>
          <w:sz w:val="24"/>
          <w:szCs w:val="24"/>
        </w:rPr>
      </w:pPr>
      <w:bookmarkStart w:id="244" w:name="_Toc29696"/>
      <w:r>
        <w:rPr>
          <w:rFonts w:hint="eastAsia" w:ascii="宋体" w:hAnsi="宋体" w:eastAsia="宋体" w:cs="宋体"/>
          <w:b/>
          <w:bCs w:val="0"/>
          <w:color w:val="000000"/>
          <w:sz w:val="24"/>
          <w:szCs w:val="24"/>
          <w:lang w:val="en-US" w:eastAsia="zh-CN"/>
        </w:rPr>
        <w:t>5.</w:t>
      </w:r>
      <w:r>
        <w:rPr>
          <w:rFonts w:hint="eastAsia" w:ascii="宋体" w:hAnsi="宋体" w:eastAsia="宋体" w:cs="宋体"/>
          <w:b/>
          <w:bCs w:val="0"/>
          <w:color w:val="000000"/>
          <w:sz w:val="24"/>
          <w:szCs w:val="24"/>
        </w:rPr>
        <w:t>《节能产品政府采购实施意见》--（财库[2004]185号）</w:t>
      </w:r>
      <w:bookmarkEnd w:id="244"/>
      <w:r>
        <w:rPr>
          <w:rFonts w:hint="eastAsia" w:ascii="宋体" w:hAnsi="宋体" w:eastAsia="宋体" w:cs="宋体"/>
          <w:b w:val="0"/>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5" w:name="_Toc3457"/>
      <w:r>
        <w:rPr>
          <w:rFonts w:hint="eastAsia" w:ascii="宋体" w:hAnsi="宋体" w:eastAsia="宋体" w:cs="宋体"/>
          <w:b w:val="0"/>
          <w:bCs/>
          <w:color w:val="000000"/>
          <w:sz w:val="24"/>
          <w:szCs w:val="24"/>
        </w:rPr>
        <w:t>根据《节能产品政府采购实施意见》--（财库[2004]185号）规定，采购人采购的产品在品目清单中并具有认证证书的，在技术、服务等指标同等条件下，应当优先采购节能清单所列的节能产品。</w:t>
      </w:r>
      <w:bookmarkEnd w:id="24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6" w:name="_Toc21485"/>
      <w:r>
        <w:rPr>
          <w:rFonts w:hint="eastAsia" w:ascii="宋体" w:hAnsi="宋体" w:eastAsia="宋体" w:cs="宋体"/>
          <w:b w:val="0"/>
          <w:bCs/>
          <w:color w:val="000000"/>
          <w:sz w:val="24"/>
          <w:szCs w:val="24"/>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6"/>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7" w:name="_Toc2641"/>
      <w:r>
        <w:rPr>
          <w:rFonts w:hint="eastAsia" w:ascii="宋体" w:hAnsi="宋体" w:eastAsia="宋体" w:cs="宋体"/>
          <w:b w:val="0"/>
          <w:bCs/>
          <w:color w:val="000000"/>
          <w:sz w:val="24"/>
          <w:szCs w:val="24"/>
          <w:lang w:eastAsia="zh-CN"/>
        </w:rPr>
        <w:t>注：</w:t>
      </w:r>
      <w:r>
        <w:rPr>
          <w:rFonts w:hint="eastAsia" w:ascii="宋体" w:hAnsi="宋体" w:eastAsia="宋体" w:cs="宋体"/>
          <w:b w:val="0"/>
          <w:bCs/>
          <w:color w:val="000000"/>
          <w:sz w:val="24"/>
          <w:szCs w:val="24"/>
        </w:rPr>
        <w:t>获得上述认证的产品在</w:t>
      </w:r>
      <w:r>
        <w:rPr>
          <w:rFonts w:hint="eastAsia" w:ascii="宋体" w:hAnsi="宋体" w:eastAsia="宋体" w:cs="宋体"/>
          <w:b w:val="0"/>
          <w:bCs/>
          <w:color w:val="000000"/>
          <w:sz w:val="24"/>
          <w:szCs w:val="24"/>
          <w:lang w:eastAsia="zh-CN"/>
        </w:rPr>
        <w:t>投标</w:t>
      </w:r>
      <w:r>
        <w:rPr>
          <w:rFonts w:hint="eastAsia" w:ascii="宋体" w:hAnsi="宋体" w:eastAsia="宋体" w:cs="宋体"/>
          <w:b w:val="0"/>
          <w:bCs/>
          <w:color w:val="000000"/>
          <w:sz w:val="24"/>
          <w:szCs w:val="24"/>
        </w:rPr>
        <w:t>时应提供有效证明材料。以上所有证明文件复印件须加盖</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公章并注明“与原件一致”，否则不予计分。</w:t>
      </w:r>
      <w:bookmarkEnd w:id="247"/>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hint="eastAsia" w:ascii="宋体" w:hAnsi="宋体" w:eastAsia="宋体" w:cs="宋体"/>
          <w:b/>
          <w:bCs w:val="0"/>
          <w:color w:val="000000"/>
          <w:sz w:val="24"/>
          <w:szCs w:val="24"/>
        </w:rPr>
      </w:pPr>
      <w:bookmarkStart w:id="248" w:name="_Toc17122"/>
      <w:r>
        <w:rPr>
          <w:rFonts w:hint="eastAsia" w:ascii="宋体" w:hAnsi="宋体" w:eastAsia="宋体" w:cs="宋体"/>
          <w:b/>
          <w:bCs w:val="0"/>
          <w:color w:val="000000"/>
          <w:sz w:val="24"/>
          <w:szCs w:val="24"/>
          <w:lang w:val="en-US" w:eastAsia="zh-CN"/>
        </w:rPr>
        <w:t>6.</w:t>
      </w:r>
      <w:r>
        <w:rPr>
          <w:rFonts w:hint="eastAsia" w:ascii="宋体" w:hAnsi="宋体" w:eastAsia="宋体" w:cs="宋体"/>
          <w:b/>
          <w:bCs w:val="0"/>
          <w:color w:val="000000"/>
          <w:sz w:val="24"/>
          <w:szCs w:val="24"/>
        </w:rPr>
        <w:t>《关于促进残疾人就业政府采购政策的通知》财库〔2017〕141号</w:t>
      </w:r>
      <w:bookmarkEnd w:id="248"/>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b w:val="0"/>
          <w:bCs/>
          <w:color w:val="000000"/>
          <w:sz w:val="24"/>
          <w:szCs w:val="24"/>
        </w:rPr>
      </w:pPr>
      <w:bookmarkStart w:id="249" w:name="_Toc1750"/>
      <w:r>
        <w:rPr>
          <w:rFonts w:hint="eastAsia" w:ascii="宋体" w:hAnsi="宋体" w:eastAsia="宋体" w:cs="宋体"/>
          <w:b w:val="0"/>
          <w:bCs/>
          <w:color w:val="000000"/>
          <w:sz w:val="24"/>
          <w:szCs w:val="24"/>
        </w:rPr>
        <w:t>福利企业参加政府采购活动时，应当提供市级以上民政局、财政局、残联部门出具的福利性企业的证明文件。</w:t>
      </w:r>
      <w:bookmarkEnd w:id="249"/>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1"/>
        <w:rPr>
          <w:rFonts w:hint="eastAsia" w:ascii="宋体" w:hAnsi="宋体" w:eastAsia="宋体" w:cs="宋体"/>
          <w:b/>
          <w:bCs w:val="0"/>
          <w:color w:val="000000"/>
          <w:sz w:val="24"/>
          <w:szCs w:val="24"/>
          <w:lang w:val="en-US" w:eastAsia="zh-CN"/>
        </w:rPr>
      </w:pPr>
      <w:bookmarkStart w:id="250" w:name="_Toc20174"/>
      <w:r>
        <w:rPr>
          <w:rFonts w:hint="eastAsia" w:ascii="宋体" w:hAnsi="宋体" w:eastAsia="宋体" w:cs="宋体"/>
          <w:b/>
          <w:bCs w:val="0"/>
          <w:color w:val="000000"/>
          <w:sz w:val="24"/>
          <w:szCs w:val="24"/>
          <w:lang w:val="en-US" w:eastAsia="zh-CN"/>
        </w:rPr>
        <w:t>7.陕西省财政厅关于印发《陕西省中小企业政府采购信用融资办法》（陕财办采〔2018〕23号）</w:t>
      </w:r>
      <w:bookmarkEnd w:id="250"/>
    </w:p>
    <w:p>
      <w:pPr>
        <w:pageBreakBefore w:val="0"/>
        <w:widowControl w:val="0"/>
        <w:kinsoku/>
        <w:wordWrap/>
        <w:overflowPunct/>
        <w:topLinePunct w:val="0"/>
        <w:autoSpaceDE/>
        <w:autoSpaceDN/>
        <w:bidi w:val="0"/>
        <w:spacing w:line="480" w:lineRule="auto"/>
        <w:ind w:firstLine="480" w:firstLineChars="200"/>
        <w:outlineLvl w:val="1"/>
        <w:rPr>
          <w:rFonts w:hint="eastAsia" w:ascii="宋体" w:hAnsi="宋体" w:eastAsia="宋体" w:cs="宋体"/>
          <w:b w:val="0"/>
          <w:bCs/>
          <w:color w:val="000000" w:themeColor="text1"/>
          <w:sz w:val="24"/>
          <w:szCs w:val="24"/>
          <w:lang w:val="en-US" w:eastAsia="zh-CN"/>
          <w14:textFill>
            <w14:solidFill>
              <w14:schemeClr w14:val="tx1"/>
            </w14:solidFill>
          </w14:textFill>
        </w:rPr>
      </w:pPr>
      <w:bookmarkStart w:id="251" w:name="_Toc2203"/>
      <w:bookmarkStart w:id="252" w:name="_Toc802"/>
      <w:bookmarkStart w:id="253" w:name="_Toc2902"/>
      <w:bookmarkStart w:id="254" w:name="_Toc26044"/>
      <w:bookmarkStart w:id="255" w:name="_Toc1696"/>
      <w:r>
        <w:rPr>
          <w:rFonts w:hint="eastAsia" w:ascii="宋体" w:hAnsi="宋体" w:eastAsia="宋体" w:cs="宋体"/>
          <w:b w:val="0"/>
          <w:bCs/>
          <w:color w:val="000000" w:themeColor="text1"/>
          <w:sz w:val="24"/>
          <w:szCs w:val="24"/>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51"/>
      <w:bookmarkEnd w:id="252"/>
      <w:bookmarkEnd w:id="253"/>
      <w:bookmarkEnd w:id="254"/>
      <w:bookmarkEnd w:id="255"/>
    </w:p>
    <w:p>
      <w:pPr>
        <w:pageBreakBefore w:val="0"/>
        <w:widowControl w:val="0"/>
        <w:kinsoku/>
        <w:wordWrap/>
        <w:overflowPunct/>
        <w:topLinePunct w:val="0"/>
        <w:autoSpaceDE/>
        <w:autoSpaceDN/>
        <w:bidi w:val="0"/>
        <w:spacing w:line="480" w:lineRule="auto"/>
        <w:outlineLvl w:val="1"/>
        <w:rPr>
          <w:rFonts w:hint="eastAsia" w:ascii="宋体" w:hAnsi="宋体" w:eastAsia="宋体" w:cs="宋体"/>
          <w:b w:val="0"/>
          <w:bCs/>
          <w:color w:val="000000" w:themeColor="text1"/>
          <w:sz w:val="24"/>
          <w:szCs w:val="24"/>
          <w14:textFill>
            <w14:solidFill>
              <w14:schemeClr w14:val="tx1"/>
            </w14:solidFill>
          </w14:textFill>
        </w:rPr>
      </w:pPr>
      <w:bookmarkStart w:id="256" w:name="_Toc4872"/>
      <w:bookmarkStart w:id="257" w:name="_Toc29619"/>
      <w:bookmarkStart w:id="258" w:name="_Toc31707"/>
      <w:bookmarkStart w:id="259" w:name="_Toc6798"/>
      <w:bookmarkStart w:id="260" w:name="_Toc30311"/>
      <w:r>
        <w:rPr>
          <w:rFonts w:hint="eastAsia" w:ascii="宋体" w:hAnsi="宋体" w:eastAsia="宋体" w:cs="宋体"/>
          <w:b w:val="0"/>
          <w:bCs/>
          <w:color w:val="000000" w:themeColor="text1"/>
          <w:sz w:val="24"/>
          <w:szCs w:val="24"/>
          <w:lang w:val="en-US" w:eastAsia="zh-CN"/>
          <w14:textFill>
            <w14:solidFill>
              <w14:schemeClr w14:val="tx1"/>
            </w14:solidFill>
          </w14:textFill>
        </w:rPr>
        <w:t>网址：http://www.ccgp-shaanxi.gov.cn/zcdservice/zcd/shanxi/</w:t>
      </w:r>
      <w:bookmarkEnd w:id="256"/>
      <w:bookmarkEnd w:id="257"/>
      <w:bookmarkEnd w:id="258"/>
      <w:bookmarkEnd w:id="259"/>
      <w:bookmarkEnd w:id="260"/>
    </w:p>
    <w:p>
      <w:pPr>
        <w:pageBreakBefore w:val="0"/>
        <w:widowControl w:val="0"/>
        <w:kinsoku/>
        <w:wordWrap/>
        <w:overflowPunct/>
        <w:topLinePunct w:val="0"/>
        <w:autoSpaceDE/>
        <w:autoSpaceDN/>
        <w:bidi w:val="0"/>
        <w:spacing w:line="480" w:lineRule="auto"/>
        <w:outlineLvl w:val="1"/>
        <w:rPr>
          <w:rFonts w:hint="eastAsia" w:ascii="宋体" w:hAnsi="宋体" w:eastAsia="宋体" w:cs="宋体"/>
          <w:b/>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spacing w:line="480" w:lineRule="auto"/>
        <w:outlineLvl w:val="1"/>
        <w:rPr>
          <w:rFonts w:hint="eastAsia" w:ascii="宋体" w:hAnsi="宋体" w:eastAsia="宋体" w:cs="宋体"/>
          <w:b/>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spacing w:line="480" w:lineRule="auto"/>
        <w:outlineLvl w:val="1"/>
        <w:rPr>
          <w:rFonts w:hint="eastAsia" w:ascii="宋体" w:hAnsi="宋体" w:eastAsia="宋体" w:cs="宋体"/>
          <w:b/>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spacing w:line="480" w:lineRule="auto"/>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附件A:废标条件</w:t>
      </w:r>
      <w:bookmarkEnd w:id="176"/>
      <w:bookmarkEnd w:id="177"/>
      <w:bookmarkEnd w:id="178"/>
      <w:bookmarkEnd w:id="179"/>
      <w:bookmarkEnd w:id="180"/>
      <w:bookmarkEnd w:id="181"/>
      <w:bookmarkEnd w:id="182"/>
      <w:bookmarkEnd w:id="183"/>
      <w:bookmarkEnd w:id="184"/>
      <w:bookmarkEnd w:id="185"/>
    </w:p>
    <w:p>
      <w:pPr>
        <w:pageBreakBefore w:val="0"/>
        <w:widowControl w:val="0"/>
        <w:kinsoku/>
        <w:wordWrap/>
        <w:overflowPunct/>
        <w:topLinePunct w:val="0"/>
        <w:autoSpaceDE/>
        <w:autoSpaceDN/>
        <w:bidi w:val="0"/>
        <w:adjustRightInd w:val="0"/>
        <w:snapToGrid w:val="0"/>
        <w:spacing w:line="48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废 标 条 件</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A0. 总  则</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A1. 否决投标条件</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供应商或其磋商响应文件有下列情形之一的，否决其投标：</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w:t>
      </w:r>
      <w:r>
        <w:rPr>
          <w:rFonts w:hint="eastAsia" w:ascii="宋体" w:hAnsi="宋体" w:eastAsia="宋体" w:cs="宋体"/>
          <w:color w:val="000000" w:themeColor="text1"/>
          <w:spacing w:val="4"/>
          <w:sz w:val="24"/>
          <w:szCs w:val="24"/>
          <w:lang w:eastAsia="zh-CN"/>
          <w14:textFill>
            <w14:solidFill>
              <w14:schemeClr w14:val="tx1"/>
            </w14:solidFill>
          </w14:textFill>
        </w:rPr>
        <w:t>磋商报价</w:t>
      </w:r>
      <w:r>
        <w:rPr>
          <w:rFonts w:hint="eastAsia" w:ascii="宋体" w:hAnsi="宋体" w:eastAsia="宋体" w:cs="宋体"/>
          <w:color w:val="000000" w:themeColor="text1"/>
          <w:spacing w:val="4"/>
          <w:sz w:val="24"/>
          <w:szCs w:val="24"/>
          <w14:textFill>
            <w14:solidFill>
              <w14:schemeClr w14:val="tx1"/>
            </w14:solidFill>
          </w14:textFill>
        </w:rPr>
        <w:t>明显低于成本形成不正当竞争的；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正副本数量不符合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（3）</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的语言、计量单位、报价货币、知识产权、</w:t>
      </w:r>
      <w:r>
        <w:rPr>
          <w:rFonts w:hint="eastAsia" w:ascii="宋体" w:hAnsi="宋体" w:eastAsia="宋体" w:cs="宋体"/>
          <w:color w:val="000000" w:themeColor="text1"/>
          <w:spacing w:val="4"/>
          <w:sz w:val="24"/>
          <w:szCs w:val="24"/>
          <w:lang w:eastAsia="zh-CN"/>
          <w14:textFill>
            <w14:solidFill>
              <w14:schemeClr w14:val="tx1"/>
            </w14:solidFill>
          </w14:textFill>
        </w:rPr>
        <w:t>投标</w:t>
      </w:r>
      <w:r>
        <w:rPr>
          <w:rFonts w:hint="eastAsia" w:ascii="宋体" w:hAnsi="宋体" w:eastAsia="宋体" w:cs="宋体"/>
          <w:color w:val="000000" w:themeColor="text1"/>
          <w:spacing w:val="4"/>
          <w:sz w:val="24"/>
          <w:szCs w:val="24"/>
          <w14:textFill>
            <w14:solidFill>
              <w14:schemeClr w14:val="tx1"/>
            </w14:solidFill>
          </w14:textFill>
        </w:rPr>
        <w:t>有效期等不符合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（4）未按</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规定要求密封、签署、盖章的；无</w:t>
      </w:r>
      <w:r>
        <w:rPr>
          <w:rFonts w:hint="eastAsia" w:ascii="宋体" w:hAnsi="宋体" w:eastAsia="宋体" w:cs="宋体"/>
          <w:color w:val="000000" w:themeColor="text1"/>
          <w:spacing w:val="4"/>
          <w:sz w:val="24"/>
          <w:szCs w:val="24"/>
          <w:lang w:eastAsia="zh-CN"/>
          <w14:textFill>
            <w14:solidFill>
              <w14:schemeClr w14:val="tx1"/>
            </w14:solidFill>
          </w14:textFill>
        </w:rPr>
        <w:t>投标</w:t>
      </w:r>
      <w:r>
        <w:rPr>
          <w:rFonts w:hint="eastAsia" w:ascii="宋体" w:hAnsi="宋体" w:eastAsia="宋体" w:cs="宋体"/>
          <w:color w:val="000000" w:themeColor="text1"/>
          <w:spacing w:val="4"/>
          <w:sz w:val="24"/>
          <w:szCs w:val="24"/>
          <w14:textFill>
            <w14:solidFill>
              <w14:schemeClr w14:val="tx1"/>
            </w14:solidFill>
          </w14:textFill>
        </w:rPr>
        <w:t>有效期或有效期达不到</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要求的</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规定且影响整个</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有效性和采购活动公平竞争的；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（5）响应技术标准明显不符合</w:t>
      </w:r>
      <w:r>
        <w:rPr>
          <w:rFonts w:hint="eastAsia" w:ascii="宋体" w:hAnsi="宋体" w:eastAsia="宋体" w:cs="宋体"/>
          <w:color w:val="000000" w:themeColor="text1"/>
          <w:spacing w:val="4"/>
          <w:sz w:val="24"/>
          <w:szCs w:val="24"/>
          <w:lang w:eastAsia="zh-CN"/>
          <w14:textFill>
            <w14:solidFill>
              <w14:schemeClr w14:val="tx1"/>
            </w14:solidFill>
          </w14:textFill>
        </w:rPr>
        <w:t>项目</w:t>
      </w:r>
      <w:r>
        <w:rPr>
          <w:rFonts w:hint="eastAsia" w:ascii="宋体" w:hAnsi="宋体" w:eastAsia="宋体" w:cs="宋体"/>
          <w:color w:val="000000" w:themeColor="text1"/>
          <w:spacing w:val="4"/>
          <w:sz w:val="24"/>
          <w:szCs w:val="24"/>
          <w14:textFill>
            <w14:solidFill>
              <w14:schemeClr w14:val="tx1"/>
            </w14:solidFill>
          </w14:textFill>
        </w:rPr>
        <w:t>的要求；</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规定的其他实质性要求，商务条款偏离的；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（7）未按照</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要求编制，内容严重缺失的。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8</w:t>
      </w:r>
      <w:r>
        <w:rPr>
          <w:rFonts w:hint="eastAsia" w:ascii="宋体" w:hAnsi="宋体" w:eastAsia="宋体" w:cs="宋体"/>
          <w:color w:val="000000" w:themeColor="text1"/>
          <w:spacing w:val="4"/>
          <w:sz w:val="24"/>
          <w:szCs w:val="24"/>
          <w:lang w:eastAsia="zh-CN"/>
          <w14:textFill>
            <w14:solidFill>
              <w14:schemeClr w14:val="tx1"/>
            </w14:solidFill>
          </w14:textFill>
        </w:rPr>
        <w:t>）投标人</w:t>
      </w:r>
      <w:r>
        <w:rPr>
          <w:rFonts w:hint="eastAsia" w:ascii="宋体" w:hAnsi="宋体" w:eastAsia="宋体" w:cs="宋体"/>
          <w:color w:val="000000" w:themeColor="text1"/>
          <w:spacing w:val="4"/>
          <w:sz w:val="24"/>
          <w:szCs w:val="24"/>
          <w14:textFill>
            <w14:solidFill>
              <w14:schemeClr w14:val="tx1"/>
            </w14:solidFill>
          </w14:textFill>
        </w:rPr>
        <w:t>单位未经过正常渠道领取</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，或</w:t>
      </w:r>
      <w:r>
        <w:rPr>
          <w:rFonts w:hint="eastAsia" w:ascii="宋体" w:hAnsi="宋体" w:eastAsia="宋体" w:cs="宋体"/>
          <w:color w:val="000000" w:themeColor="text1"/>
          <w:spacing w:val="4"/>
          <w:sz w:val="24"/>
          <w:szCs w:val="24"/>
          <w:lang w:eastAsia="zh-CN"/>
          <w14:textFill>
            <w14:solidFill>
              <w14:schemeClr w14:val="tx1"/>
            </w14:solidFill>
          </w14:textFill>
        </w:rPr>
        <w:t>投标人</w:t>
      </w:r>
      <w:r>
        <w:rPr>
          <w:rFonts w:hint="eastAsia" w:ascii="宋体" w:hAnsi="宋体" w:eastAsia="宋体" w:cs="宋体"/>
          <w:color w:val="000000" w:themeColor="text1"/>
          <w:spacing w:val="4"/>
          <w:sz w:val="24"/>
          <w:szCs w:val="24"/>
          <w14:textFill>
            <w14:solidFill>
              <w14:schemeClr w14:val="tx1"/>
            </w14:solidFill>
          </w14:textFill>
        </w:rPr>
        <w:t>名称与领取</w:t>
      </w:r>
      <w:r>
        <w:rPr>
          <w:rFonts w:hint="eastAsia" w:ascii="宋体" w:hAnsi="宋体" w:eastAsia="宋体" w:cs="宋体"/>
          <w:color w:val="000000" w:themeColor="text1"/>
          <w:spacing w:val="4"/>
          <w:sz w:val="24"/>
          <w:szCs w:val="24"/>
          <w:lang w:eastAsia="zh-CN"/>
          <w14:textFill>
            <w14:solidFill>
              <w14:schemeClr w14:val="tx1"/>
            </w14:solidFill>
          </w14:textFill>
        </w:rPr>
        <w:t>磋商文件</w:t>
      </w:r>
      <w:r>
        <w:rPr>
          <w:rFonts w:hint="eastAsia" w:ascii="宋体" w:hAnsi="宋体" w:eastAsia="宋体" w:cs="宋体"/>
          <w:color w:val="000000" w:themeColor="text1"/>
          <w:spacing w:val="4"/>
          <w:sz w:val="24"/>
          <w:szCs w:val="24"/>
          <w14:textFill>
            <w14:solidFill>
              <w14:schemeClr w14:val="tx1"/>
            </w14:solidFill>
          </w14:textFill>
        </w:rPr>
        <w:t>时登记的</w:t>
      </w:r>
      <w:r>
        <w:rPr>
          <w:rFonts w:hint="eastAsia" w:ascii="宋体" w:hAnsi="宋体" w:eastAsia="宋体" w:cs="宋体"/>
          <w:color w:val="000000" w:themeColor="text1"/>
          <w:spacing w:val="4"/>
          <w:sz w:val="24"/>
          <w:szCs w:val="24"/>
          <w:lang w:eastAsia="zh-CN"/>
          <w14:textFill>
            <w14:solidFill>
              <w14:schemeClr w14:val="tx1"/>
            </w14:solidFill>
          </w14:textFill>
        </w:rPr>
        <w:t>投标</w:t>
      </w:r>
      <w:r>
        <w:rPr>
          <w:rFonts w:hint="eastAsia" w:ascii="宋体" w:hAnsi="宋体" w:eastAsia="宋体" w:cs="宋体"/>
          <w:color w:val="000000" w:themeColor="text1"/>
          <w:spacing w:val="4"/>
          <w:sz w:val="24"/>
          <w:szCs w:val="24"/>
          <w14:textFill>
            <w14:solidFill>
              <w14:schemeClr w14:val="tx1"/>
            </w14:solidFill>
          </w14:textFill>
        </w:rPr>
        <w:t>单位名称不符的；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9</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未按规定交纳</w:t>
      </w:r>
      <w:r>
        <w:rPr>
          <w:rFonts w:hint="eastAsia" w:ascii="宋体" w:hAnsi="宋体" w:eastAsia="宋体" w:cs="宋体"/>
          <w:color w:val="000000" w:themeColor="text1"/>
          <w:spacing w:val="4"/>
          <w:sz w:val="24"/>
          <w:szCs w:val="24"/>
          <w:lang w:eastAsia="zh-CN"/>
          <w14:textFill>
            <w14:solidFill>
              <w14:schemeClr w14:val="tx1"/>
            </w14:solidFill>
          </w14:textFill>
        </w:rPr>
        <w:t>磋商保证金</w:t>
      </w:r>
      <w:r>
        <w:rPr>
          <w:rFonts w:hint="eastAsia" w:ascii="宋体" w:hAnsi="宋体" w:eastAsia="宋体" w:cs="宋体"/>
          <w:color w:val="000000" w:themeColor="text1"/>
          <w:spacing w:val="4"/>
          <w:sz w:val="24"/>
          <w:szCs w:val="24"/>
          <w14:textFill>
            <w14:solidFill>
              <w14:schemeClr w14:val="tx1"/>
            </w14:solidFill>
          </w14:textFill>
        </w:rPr>
        <w:t>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10</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未按照</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格式及内容要求填写的；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11</w:t>
      </w:r>
      <w:r>
        <w:rPr>
          <w:rFonts w:hint="eastAsia" w:ascii="宋体" w:hAnsi="宋体" w:eastAsia="宋体" w:cs="宋体"/>
          <w:color w:val="000000" w:themeColor="text1"/>
          <w:spacing w:val="4"/>
          <w:sz w:val="24"/>
          <w:szCs w:val="24"/>
          <w:lang w:eastAsia="zh-CN"/>
          <w14:textFill>
            <w14:solidFill>
              <w14:schemeClr w14:val="tx1"/>
            </w14:solidFill>
          </w14:textFill>
        </w:rPr>
        <w:t>）投标人</w:t>
      </w:r>
      <w:r>
        <w:rPr>
          <w:rFonts w:hint="eastAsia" w:ascii="宋体" w:hAnsi="宋体" w:eastAsia="宋体" w:cs="宋体"/>
          <w:color w:val="000000" w:themeColor="text1"/>
          <w:spacing w:val="4"/>
          <w:sz w:val="24"/>
          <w:szCs w:val="24"/>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，未书面声明哪一份是有效的或出现选择性报价的；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12</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附有采购人、</w:t>
      </w:r>
      <w:r>
        <w:rPr>
          <w:rFonts w:hint="eastAsia" w:ascii="宋体" w:hAnsi="宋体" w:eastAsia="宋体" w:cs="宋体"/>
          <w:color w:val="000000" w:themeColor="text1"/>
          <w:spacing w:val="4"/>
          <w:sz w:val="24"/>
          <w:szCs w:val="24"/>
          <w:lang w:eastAsia="zh-CN"/>
          <w14:textFill>
            <w14:solidFill>
              <w14:schemeClr w14:val="tx1"/>
            </w14:solidFill>
          </w14:textFill>
        </w:rPr>
        <w:t>招标</w:t>
      </w:r>
      <w:r>
        <w:rPr>
          <w:rFonts w:hint="eastAsia" w:ascii="宋体" w:hAnsi="宋体" w:eastAsia="宋体" w:cs="宋体"/>
          <w:color w:val="000000" w:themeColor="text1"/>
          <w:spacing w:val="4"/>
          <w:sz w:val="24"/>
          <w:szCs w:val="24"/>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4"/>
          <w:szCs w:val="24"/>
          <w:lang w:eastAsia="zh-CN"/>
          <w14:textFill>
            <w14:solidFill>
              <w14:schemeClr w14:val="tx1"/>
            </w14:solidFill>
          </w14:textFill>
        </w:rPr>
        <w:t>工期、履约验收</w:t>
      </w:r>
      <w:r>
        <w:rPr>
          <w:rFonts w:hint="eastAsia" w:ascii="宋体" w:hAnsi="宋体" w:eastAsia="宋体" w:cs="宋体"/>
          <w:color w:val="000000" w:themeColor="text1"/>
          <w:spacing w:val="4"/>
          <w:sz w:val="24"/>
          <w:szCs w:val="24"/>
          <w14:textFill>
            <w14:solidFill>
              <w14:schemeClr w14:val="tx1"/>
            </w14:solidFill>
          </w14:textFill>
        </w:rPr>
        <w:t>）与</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要求不一致的；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13</w:t>
      </w:r>
      <w:r>
        <w:rPr>
          <w:rFonts w:hint="eastAsia" w:ascii="宋体" w:hAnsi="宋体" w:eastAsia="宋体" w:cs="宋体"/>
          <w:color w:val="000000" w:themeColor="text1"/>
          <w:spacing w:val="4"/>
          <w:sz w:val="24"/>
          <w:szCs w:val="24"/>
          <w:lang w:eastAsia="zh-CN"/>
          <w14:textFill>
            <w14:solidFill>
              <w14:schemeClr w14:val="tx1"/>
            </w14:solidFill>
          </w14:textFill>
        </w:rPr>
        <w:t>）在政府采购或其它重大项目履约过程中有不良记录，不能按期履约的；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14</w:t>
      </w:r>
      <w:r>
        <w:rPr>
          <w:rFonts w:hint="eastAsia" w:ascii="宋体" w:hAnsi="宋体" w:eastAsia="宋体" w:cs="宋体"/>
          <w:color w:val="000000" w:themeColor="text1"/>
          <w:spacing w:val="4"/>
          <w:sz w:val="24"/>
          <w:szCs w:val="24"/>
          <w:lang w:eastAsia="zh-CN"/>
          <w14:textFill>
            <w14:solidFill>
              <w14:schemeClr w14:val="tx1"/>
            </w14:solidFill>
          </w14:textFill>
        </w:rPr>
        <w:t>）磋商报价与市场价偏离较大，低于成本，形成不正当竞争的；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15</w:t>
      </w:r>
      <w:r>
        <w:rPr>
          <w:rFonts w:hint="eastAsia" w:ascii="宋体" w:hAnsi="宋体" w:eastAsia="宋体" w:cs="宋体"/>
          <w:color w:val="000000" w:themeColor="text1"/>
          <w:spacing w:val="4"/>
          <w:sz w:val="24"/>
          <w:szCs w:val="24"/>
          <w:lang w:eastAsia="zh-CN"/>
          <w14:textFill>
            <w14:solidFill>
              <w14:schemeClr w14:val="tx1"/>
            </w14:solidFill>
          </w14:textFill>
        </w:rPr>
        <w:t>）有重大缺漏项的；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16</w:t>
      </w:r>
      <w:r>
        <w:rPr>
          <w:rFonts w:hint="eastAsia" w:ascii="宋体" w:hAnsi="宋体" w:eastAsia="宋体" w:cs="宋体"/>
          <w:color w:val="000000" w:themeColor="text1"/>
          <w:spacing w:val="4"/>
          <w:sz w:val="24"/>
          <w:szCs w:val="24"/>
          <w:lang w:eastAsia="zh-CN"/>
          <w14:textFill>
            <w14:solidFill>
              <w14:schemeClr w14:val="tx1"/>
            </w14:solidFill>
          </w14:textFill>
        </w:rPr>
        <w:t>）以他人名义进行投标的；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17</w:t>
      </w:r>
      <w:r>
        <w:rPr>
          <w:rFonts w:hint="eastAsia" w:ascii="宋体" w:hAnsi="宋体" w:eastAsia="宋体" w:cs="宋体"/>
          <w:color w:val="000000" w:themeColor="text1"/>
          <w:spacing w:val="4"/>
          <w:sz w:val="24"/>
          <w:szCs w:val="24"/>
          <w:lang w:eastAsia="zh-CN"/>
          <w14:textFill>
            <w14:solidFill>
              <w14:schemeClr w14:val="tx1"/>
            </w14:solidFill>
          </w14:textFill>
        </w:rPr>
        <w:t>）投标人无法定代表人授权书或其授权书的有效性不符合磋商文件规定的；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18</w:t>
      </w:r>
      <w:r>
        <w:rPr>
          <w:rFonts w:hint="eastAsia" w:ascii="宋体" w:hAnsi="宋体" w:eastAsia="宋体" w:cs="宋体"/>
          <w:color w:val="000000" w:themeColor="text1"/>
          <w:spacing w:val="4"/>
          <w:sz w:val="24"/>
          <w:szCs w:val="24"/>
          <w:lang w:eastAsia="zh-CN"/>
          <w14:textFill>
            <w14:solidFill>
              <w14:schemeClr w14:val="tx1"/>
            </w14:solidFill>
          </w14:textFill>
        </w:rPr>
        <w:t>）投标人有串通投标、弄虚作假、行贿等违法行为的。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19</w:t>
      </w:r>
      <w:r>
        <w:rPr>
          <w:rFonts w:hint="eastAsia" w:ascii="宋体" w:hAnsi="宋体" w:eastAsia="宋体" w:cs="宋体"/>
          <w:color w:val="000000" w:themeColor="text1"/>
          <w:spacing w:val="4"/>
          <w:sz w:val="24"/>
          <w:szCs w:val="24"/>
          <w:lang w:eastAsia="zh-CN"/>
          <w14:textFill>
            <w14:solidFill>
              <w14:schemeClr w14:val="tx1"/>
            </w14:solidFill>
          </w14:textFill>
        </w:rPr>
        <w:t>）照抄或复印磋商文件技术及商务要求的、手写的、未按规定签署的响应文件的；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20</w:t>
      </w:r>
      <w:r>
        <w:rPr>
          <w:rFonts w:hint="eastAsia" w:ascii="宋体" w:hAnsi="宋体" w:eastAsia="宋体" w:cs="宋体"/>
          <w:color w:val="000000" w:themeColor="text1"/>
          <w:spacing w:val="4"/>
          <w:sz w:val="24"/>
          <w:szCs w:val="24"/>
          <w:lang w:eastAsia="zh-CN"/>
          <w14:textFill>
            <w14:solidFill>
              <w14:schemeClr w14:val="tx1"/>
            </w14:solidFill>
          </w14:textFill>
        </w:rPr>
        <w:t>）响应文件的实质性内容未使用中文表述，意思表述不明确，前后矛盾或者使用计量单位不符合磋商文件要求；</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21</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的关键内容字迹模糊、无法辨认的，或者</w:t>
      </w:r>
      <w:r>
        <w:rPr>
          <w:rFonts w:hint="eastAsia" w:ascii="宋体" w:hAnsi="宋体" w:eastAsia="宋体" w:cs="宋体"/>
          <w:color w:val="000000" w:themeColor="text1"/>
          <w:spacing w:val="4"/>
          <w:sz w:val="24"/>
          <w:szCs w:val="24"/>
          <w:lang w:eastAsia="zh-CN"/>
          <w14:textFill>
            <w14:solidFill>
              <w14:schemeClr w14:val="tx1"/>
            </w14:solidFill>
          </w14:textFill>
        </w:rPr>
        <w:t>响应文件</w:t>
      </w:r>
      <w:r>
        <w:rPr>
          <w:rFonts w:hint="eastAsia" w:ascii="宋体" w:hAnsi="宋体" w:eastAsia="宋体" w:cs="宋体"/>
          <w:color w:val="000000" w:themeColor="text1"/>
          <w:spacing w:val="4"/>
          <w:sz w:val="24"/>
          <w:szCs w:val="24"/>
          <w14:textFill>
            <w14:solidFill>
              <w14:schemeClr w14:val="tx1"/>
            </w14:solidFill>
          </w14:textFill>
        </w:rPr>
        <w:t>中经修正的内容字迹模糊难以辨认或者修改处未按规定签名盖章的；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22</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未实质性响</w:t>
      </w:r>
      <w:r>
        <w:rPr>
          <w:rFonts w:hint="eastAsia" w:ascii="宋体" w:hAnsi="宋体" w:eastAsia="宋体" w:cs="宋体"/>
          <w:color w:val="000000" w:themeColor="text1"/>
          <w:spacing w:val="4"/>
          <w:sz w:val="24"/>
          <w:szCs w:val="24"/>
          <w:lang w:eastAsia="zh-CN"/>
          <w14:textFill>
            <w14:solidFill>
              <w14:schemeClr w14:val="tx1"/>
            </w14:solidFill>
          </w14:textFill>
        </w:rPr>
        <w:t>应或者擅自改变磋商文件要求的；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23</w:t>
      </w:r>
      <w:r>
        <w:rPr>
          <w:rFonts w:hint="eastAsia" w:ascii="宋体" w:hAnsi="宋体" w:eastAsia="宋体" w:cs="宋体"/>
          <w:color w:val="000000" w:themeColor="text1"/>
          <w:spacing w:val="4"/>
          <w:sz w:val="24"/>
          <w:szCs w:val="24"/>
          <w:lang w:eastAsia="zh-CN"/>
          <w14:textFill>
            <w14:solidFill>
              <w14:schemeClr w14:val="tx1"/>
            </w14:solidFill>
          </w14:textFill>
        </w:rPr>
        <w:t>）磋商报价超出最高限价或者超出采购预算，采购人不能支付的；</w:t>
      </w:r>
    </w:p>
    <w:p>
      <w:pPr>
        <w:pStyle w:val="33"/>
        <w:pageBreakBefore w:val="0"/>
        <w:widowControl w:val="0"/>
        <w:kinsoku/>
        <w:wordWrap/>
        <w:overflowPunct/>
        <w:topLinePunct w:val="0"/>
        <w:autoSpaceDE/>
        <w:autoSpaceDN/>
        <w:bidi w:val="0"/>
        <w:spacing w:line="48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color w:val="000000" w:themeColor="text1"/>
          <w:spacing w:val="4"/>
          <w:kern w:val="2"/>
          <w:sz w:val="24"/>
          <w:szCs w:val="24"/>
          <w:lang w:val="en-US" w:eastAsia="zh-CN" w:bidi="ar-SA"/>
          <w14:textFill>
            <w14:solidFill>
              <w14:schemeClr w14:val="tx1"/>
            </w14:solidFill>
          </w14:textFill>
        </w:rPr>
        <w:t>（25）中小企业声明函未按要求填写，或填写信息有误的。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24</w:t>
      </w:r>
      <w:r>
        <w:rPr>
          <w:rFonts w:hint="eastAsia" w:ascii="宋体" w:hAnsi="宋体" w:eastAsia="宋体" w:cs="宋体"/>
          <w:color w:val="000000" w:themeColor="text1"/>
          <w:spacing w:val="4"/>
          <w:sz w:val="24"/>
          <w:szCs w:val="24"/>
          <w:lang w:eastAsia="zh-CN"/>
          <w14:textFill>
            <w14:solidFill>
              <w14:schemeClr w14:val="tx1"/>
            </w14:solidFill>
          </w14:textFill>
        </w:rPr>
        <w:t>）法律法规规定其他投标无效情形的。</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A2 . 串通投标</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有下列情形之一的，属于供应商相互串通投标：</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（1）供应商之间协商磋商报价等磋商响应文件的实质性内容；</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（2）供应商之间约定成交供应商；</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（3）供应商之间约定部分供应商放弃投标或者成交；</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（4）属于同一集团、协会、商会等组织成员的供应商按照该组织要求协同投标；</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（5）供应商之间为谋取成交或者排斥特定供应商而采取的其他联合行动。</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有下列情形之一的，视为供应商相互串通投标：</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（1）不同供应商的磋商响应文件由同一单位或者个人编制；</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（2）不同供应商委托同一单位或者个人办理投标事宜；</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（3）不同供应商的磋商响应文件载明的项目管理成员为同一人；</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（4）不同供应商的磋商响应文件异常一致或者磋商报价呈规律性差异；</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（5）不同供应商的磋商响应文件相互混装；</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（6）不同供应商的磋商保证金从同一单位或者个人的账户转出。</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A3. 弄虚作假</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供应商有下列情形之一的，属于弄虚作假的行为：</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A3.1 使用伪造、变造的许可证件；</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A3.2 提供虚假的财务状况或者业绩；</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A3.3 提供虚假的项目负责人或者技术人员简历、劳动关系证明；</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A3.4 提供虚假的信用状况；</w:t>
      </w:r>
    </w:p>
    <w:p>
      <w:pPr>
        <w:pageBreakBefore w:val="0"/>
        <w:widowControl w:val="0"/>
        <w:kinsoku/>
        <w:wordWrap/>
        <w:overflowPunct/>
        <w:topLinePunct w:val="0"/>
        <w:autoSpaceDE/>
        <w:autoSpaceDN/>
        <w:bidi w:val="0"/>
        <w:spacing w:line="480" w:lineRule="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A3.5 其他弄虚作假的行为。</w:t>
      </w: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pStyle w:val="3"/>
        <w:numPr>
          <w:ilvl w:val="0"/>
          <w:numId w:val="4"/>
        </w:numPr>
        <w:bidi w:val="0"/>
        <w:ind w:left="0" w:leftChars="0" w:firstLine="0" w:firstLineChars="0"/>
        <w:jc w:val="center"/>
        <w:rPr>
          <w:rFonts w:hint="eastAsia"/>
          <w:sz w:val="32"/>
          <w:szCs w:val="32"/>
          <w:lang w:eastAsia="zh-CN"/>
        </w:rPr>
      </w:pPr>
      <w:bookmarkStart w:id="261" w:name="_Toc30671"/>
      <w:bookmarkStart w:id="262" w:name="_Toc30610"/>
      <w:bookmarkStart w:id="263" w:name="_Toc406150410"/>
      <w:bookmarkStart w:id="264" w:name="_Toc457826139"/>
      <w:r>
        <w:rPr>
          <w:rFonts w:hint="eastAsia"/>
          <w:sz w:val="32"/>
          <w:szCs w:val="32"/>
        </w:rPr>
        <w:t>合同</w:t>
      </w:r>
      <w:r>
        <w:rPr>
          <w:rFonts w:hint="eastAsia"/>
          <w:sz w:val="32"/>
          <w:szCs w:val="32"/>
          <w:lang w:eastAsia="zh-CN"/>
        </w:rPr>
        <w:t>（</w:t>
      </w:r>
      <w:r>
        <w:rPr>
          <w:rFonts w:hint="eastAsia"/>
          <w:sz w:val="32"/>
          <w:szCs w:val="32"/>
          <w:lang w:val="en-US" w:eastAsia="zh-CN"/>
        </w:rPr>
        <w:t>拟签订文本</w:t>
      </w:r>
      <w:r>
        <w:rPr>
          <w:rFonts w:hint="eastAsia"/>
          <w:sz w:val="32"/>
          <w:szCs w:val="32"/>
          <w:lang w:eastAsia="zh-CN"/>
        </w:rPr>
        <w:t>）</w:t>
      </w:r>
      <w:bookmarkEnd w:id="261"/>
      <w:bookmarkEnd w:id="262"/>
    </w:p>
    <w:p>
      <w:pPr>
        <w:numPr>
          <w:ilvl w:val="0"/>
          <w:numId w:val="0"/>
        </w:numPr>
        <w:ind w:leftChars="0"/>
        <w:rPr>
          <w:rFonts w:hint="eastAsia"/>
          <w:lang w:eastAsia="zh-CN"/>
        </w:rPr>
      </w:pPr>
    </w:p>
    <w:p>
      <w:pPr>
        <w:keepNext w:val="0"/>
        <w:keepLines w:val="0"/>
        <w:pageBreakBefore w:val="0"/>
        <w:widowControl/>
        <w:kinsoku/>
        <w:wordWrap w:val="0"/>
        <w:overflowPunct/>
        <w:topLinePunct w:val="0"/>
        <w:autoSpaceDE/>
        <w:autoSpaceDN/>
        <w:bidi w:val="0"/>
        <w:spacing w:line="480" w:lineRule="auto"/>
        <w:jc w:val="righ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 xml:space="preserve">合同编号：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甲方：</w:t>
      </w:r>
      <w:r>
        <w:rPr>
          <w:rFonts w:hint="eastAsia" w:ascii="宋体" w:hAnsi="宋体" w:cs="宋体"/>
          <w:sz w:val="24"/>
          <w:szCs w:val="24"/>
          <w:lang w:eastAsia="zh-CN"/>
        </w:rPr>
        <w:t>宜川县第二战区司令长官部-秋林旧址文物管理所</w:t>
      </w:r>
      <w:r>
        <w:rPr>
          <w:rFonts w:hint="eastAsia" w:ascii="宋体" w:hAnsi="宋体" w:eastAsia="宋体" w:cs="宋体"/>
          <w:sz w:val="24"/>
          <w:szCs w:val="2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代理机构</w:t>
      </w:r>
      <w:r>
        <w:rPr>
          <w:rFonts w:hint="eastAsia" w:ascii="宋体" w:hAnsi="宋体" w:eastAsia="宋体" w:cs="宋体"/>
          <w:sz w:val="24"/>
          <w:szCs w:val="24"/>
          <w:lang w:eastAsia="zh-CN"/>
        </w:rPr>
        <w:t>：</w:t>
      </w:r>
      <w:r>
        <w:rPr>
          <w:rFonts w:hint="eastAsia" w:ascii="宋体" w:hAnsi="宋体" w:cs="宋体"/>
          <w:sz w:val="24"/>
          <w:szCs w:val="24"/>
          <w:lang w:eastAsia="zh-CN"/>
        </w:rPr>
        <w:t>陕西宸永项目管理有限公司</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依照《中华人民共和国</w:t>
      </w:r>
      <w:r>
        <w:rPr>
          <w:rFonts w:hint="eastAsia" w:ascii="宋体" w:hAnsi="宋体" w:cs="宋体"/>
          <w:sz w:val="24"/>
          <w:szCs w:val="24"/>
          <w:lang w:val="en-US" w:eastAsia="zh-CN"/>
        </w:rPr>
        <w:t>民法典</w:t>
      </w:r>
      <w:r>
        <w:rPr>
          <w:rFonts w:hint="eastAsia" w:ascii="宋体" w:hAnsi="宋体" w:eastAsia="宋体" w:cs="宋体"/>
          <w:sz w:val="24"/>
          <w:szCs w:val="24"/>
          <w:lang w:eastAsia="zh-CN"/>
        </w:rPr>
        <w:t>》、《中华人民共和国建筑法》及其他有关法律、行政法规，遵循平等、自愿、公平和诚实信用的原则，双方就本建设工程施工协商一致，订立本合同。</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一、工程概况</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工程名称：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工程地点：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工程项目内容：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资金来源：</w:t>
      </w:r>
      <w:r>
        <w:rPr>
          <w:rFonts w:hint="eastAsia" w:ascii="宋体" w:hAnsi="宋体" w:cs="宋体"/>
          <w:sz w:val="24"/>
          <w:szCs w:val="24"/>
          <w:lang w:eastAsia="zh-CN"/>
        </w:rPr>
        <w:t>财政资金</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二、工程承包范围</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承包范围：该项目</w:t>
      </w:r>
      <w:r>
        <w:rPr>
          <w:rFonts w:hint="eastAsia" w:ascii="宋体" w:hAnsi="宋体" w:cs="宋体"/>
          <w:sz w:val="24"/>
          <w:szCs w:val="24"/>
          <w:lang w:eastAsia="zh-CN"/>
        </w:rPr>
        <w:t>工程量清单</w:t>
      </w:r>
      <w:r>
        <w:rPr>
          <w:rFonts w:hint="eastAsia" w:ascii="宋体" w:hAnsi="宋体" w:eastAsia="宋体" w:cs="宋体"/>
          <w:sz w:val="24"/>
          <w:szCs w:val="24"/>
          <w:lang w:eastAsia="zh-CN"/>
        </w:rPr>
        <w:t>内发包人要求的全部工作内容。</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不包括的工程范围：       /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三、合同工期</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工期：</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开工日期：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竣工日期：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四、质量标准</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工程质量标准：《建设工程施工质量验收统一标准》GB50300-2013合格标准。</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五、合同价款</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1.合同总价（大写）：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（小写）￥：元</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（其中：工程预留金  /  元，零星工作费 / 元，安全防护、文明施工措施费   /  元，工程分包和材料购置费 / 元，总承包服务费  / 元。)</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2.综合单价：详见承包人的报价书。</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六、组成合同的文件：</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1.本合同协议书</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2.本合同专用条款</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3.本合同通用条款</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4.成交通知书</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5.响应文件、工程报价单或预算书及其附件</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cs="宋体"/>
          <w:sz w:val="24"/>
          <w:szCs w:val="24"/>
          <w:lang w:val="en-US" w:eastAsia="zh-CN"/>
        </w:rPr>
        <w:t>磋商</w:t>
      </w:r>
      <w:r>
        <w:rPr>
          <w:rFonts w:hint="eastAsia" w:ascii="宋体" w:hAnsi="宋体" w:eastAsia="宋体" w:cs="宋体"/>
          <w:sz w:val="24"/>
          <w:szCs w:val="24"/>
          <w:lang w:eastAsia="zh-CN"/>
        </w:rPr>
        <w:t>文件、答疑纪要</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7.标准、规范及有关技术文件</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双方为履行本合同的有关洽商、变更等书面协议、文件，视为本合同的组成部分。</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七</w:t>
      </w:r>
      <w:r>
        <w:rPr>
          <w:rFonts w:hint="eastAsia" w:ascii="宋体" w:hAnsi="宋体" w:eastAsia="宋体" w:cs="宋体"/>
          <w:sz w:val="24"/>
          <w:szCs w:val="24"/>
          <w:lang w:eastAsia="zh-CN"/>
        </w:rPr>
        <w:t>、承包人按照合同约定进行施工、竣工并在质量保修期内承担工程质量保修责任。</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八</w:t>
      </w:r>
      <w:r>
        <w:rPr>
          <w:rFonts w:hint="eastAsia" w:ascii="宋体" w:hAnsi="宋体" w:eastAsia="宋体" w:cs="宋体"/>
          <w:sz w:val="24"/>
          <w:szCs w:val="24"/>
          <w:lang w:eastAsia="zh-CN"/>
        </w:rPr>
        <w:t>、工程经费支付及结算办法</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付款</w:t>
      </w:r>
      <w:r>
        <w:rPr>
          <w:rFonts w:hint="eastAsia" w:ascii="宋体" w:hAnsi="宋体" w:eastAsia="宋体" w:cs="宋体"/>
          <w:color w:val="000000" w:themeColor="text1"/>
          <w:sz w:val="24"/>
          <w:szCs w:val="24"/>
          <w:lang w:eastAsia="zh-CN"/>
          <w14:textFill>
            <w14:solidFill>
              <w14:schemeClr w14:val="tx1"/>
            </w14:solidFill>
          </w14:textFill>
        </w:rPr>
        <w:t>方式</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九</w:t>
      </w:r>
      <w:r>
        <w:rPr>
          <w:rFonts w:hint="eastAsia" w:ascii="宋体" w:hAnsi="宋体" w:eastAsia="宋体" w:cs="宋体"/>
          <w:sz w:val="24"/>
          <w:szCs w:val="24"/>
          <w:lang w:eastAsia="zh-CN"/>
        </w:rPr>
        <w:t>、发包人职责</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1.负责施工现场的协调、施工质量检查监督及工程验收工作。</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2.负责提供具备正常施工条件。</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3.施工中出现问题召集有关部门和单位会商解决。</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4.做好隐蔽工程的随检工作，凡隐蔽工程验收不合格，不能进行下道工序。</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十、承包人职责：</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1.要组织精良的施工队伍和机具，严格按照技术要求以及有关规范、规程，主动接受甲方的检查监督，保质保量， 按工期要求完成施工任务。</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2.严把工程质量关。做好施工记录，备齐所需技术材料，质量检测资料。</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3.强化安全施工意识，承担施工期间质量、安全事故的全部责任。凡施工中出现的质量和安全事故，甲方概不负责。</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4.积极提供建议，及时向甲方反映施工中出现的问题，并协商解决。</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5.严格遵守甲方的各项规章制度，违者按有关规定予以处罚。</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6.施工中要做到不扰民，不污染环境，场地整齐、干净，所产生的废料及时清运，不抛撒，对此项做出承诺，若违反由发包人在承包人缴纳的履约保证金中予以处罚，直至保证金全部。</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十</w:t>
      </w:r>
      <w:r>
        <w:rPr>
          <w:rFonts w:hint="eastAsia" w:ascii="宋体" w:hAnsi="宋体" w:cs="宋体"/>
          <w:sz w:val="24"/>
          <w:szCs w:val="24"/>
          <w:lang w:val="en-US" w:eastAsia="zh-CN"/>
        </w:rPr>
        <w:t>一</w:t>
      </w:r>
      <w:r>
        <w:rPr>
          <w:rFonts w:hint="eastAsia" w:ascii="宋体" w:hAnsi="宋体" w:eastAsia="宋体" w:cs="宋体"/>
          <w:sz w:val="24"/>
          <w:szCs w:val="24"/>
          <w:lang w:eastAsia="zh-CN"/>
        </w:rPr>
        <w:t>、解决纠纷方式</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合同履行过程中如发生纠纷，双方应通过协商解决。协商仍不成时可提请延安市仲裁委员会裁决。</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十</w:t>
      </w:r>
      <w:r>
        <w:rPr>
          <w:rFonts w:hint="eastAsia" w:ascii="宋体" w:hAnsi="宋体" w:cs="宋体"/>
          <w:sz w:val="24"/>
          <w:szCs w:val="24"/>
          <w:lang w:val="en-US" w:eastAsia="zh-CN"/>
        </w:rPr>
        <w:t>二</w:t>
      </w:r>
      <w:r>
        <w:rPr>
          <w:rFonts w:hint="eastAsia" w:ascii="宋体" w:hAnsi="宋体" w:eastAsia="宋体" w:cs="宋体"/>
          <w:sz w:val="24"/>
          <w:szCs w:val="24"/>
          <w:lang w:eastAsia="zh-CN"/>
        </w:rPr>
        <w:t>、合同生效</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合同订立时间：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本合同一式</w:t>
      </w:r>
      <w:r>
        <w:rPr>
          <w:rFonts w:hint="eastAsia" w:ascii="宋体" w:hAnsi="宋体" w:cs="宋体"/>
          <w:sz w:val="24"/>
          <w:szCs w:val="24"/>
          <w:lang w:val="en-US" w:eastAsia="zh-CN"/>
        </w:rPr>
        <w:t>肆</w:t>
      </w:r>
      <w:r>
        <w:rPr>
          <w:rFonts w:hint="eastAsia" w:ascii="宋体" w:hAnsi="宋体" w:eastAsia="宋体" w:cs="宋体"/>
          <w:sz w:val="24"/>
          <w:szCs w:val="24"/>
          <w:lang w:eastAsia="zh-CN"/>
        </w:rPr>
        <w:t>份，经供需双方签字盖章后生效，甲方</w:t>
      </w:r>
      <w:r>
        <w:rPr>
          <w:rFonts w:hint="eastAsia" w:ascii="宋体" w:hAnsi="宋体" w:cs="宋体"/>
          <w:sz w:val="24"/>
          <w:szCs w:val="24"/>
          <w:lang w:eastAsia="zh-CN"/>
        </w:rPr>
        <w:t>贰</w:t>
      </w:r>
      <w:r>
        <w:rPr>
          <w:rFonts w:hint="eastAsia" w:ascii="宋体" w:hAnsi="宋体" w:eastAsia="宋体" w:cs="宋体"/>
          <w:sz w:val="24"/>
          <w:szCs w:val="24"/>
          <w:lang w:eastAsia="zh-CN"/>
        </w:rPr>
        <w:t>份，乙方</w:t>
      </w:r>
      <w:r>
        <w:rPr>
          <w:rFonts w:hint="eastAsia" w:ascii="宋体" w:hAnsi="宋体" w:cs="宋体"/>
          <w:sz w:val="24"/>
          <w:szCs w:val="24"/>
          <w:lang w:val="en-US" w:eastAsia="zh-CN"/>
        </w:rPr>
        <w:t>壹</w:t>
      </w:r>
      <w:r>
        <w:rPr>
          <w:rFonts w:hint="eastAsia" w:ascii="宋体" w:hAnsi="宋体" w:eastAsia="宋体" w:cs="宋体"/>
          <w:sz w:val="24"/>
          <w:szCs w:val="24"/>
          <w:lang w:eastAsia="zh-CN"/>
        </w:rPr>
        <w:t>份，</w:t>
      </w:r>
      <w:r>
        <w:rPr>
          <w:rFonts w:hint="eastAsia" w:ascii="宋体" w:hAnsi="宋体" w:cs="宋体"/>
          <w:sz w:val="24"/>
          <w:szCs w:val="24"/>
          <w:lang w:val="en-US" w:eastAsia="zh-CN"/>
        </w:rPr>
        <w:t>代理机构壹</w:t>
      </w:r>
      <w:r>
        <w:rPr>
          <w:rFonts w:hint="eastAsia" w:ascii="宋体" w:hAnsi="宋体" w:eastAsia="宋体" w:cs="宋体"/>
          <w:sz w:val="24"/>
          <w:szCs w:val="24"/>
          <w:lang w:eastAsia="zh-CN"/>
        </w:rPr>
        <w:t>份，均具有同等法律效</w:t>
      </w:r>
      <w:r>
        <w:rPr>
          <w:rFonts w:hint="eastAsia" w:ascii="宋体" w:hAnsi="宋体" w:cs="宋体"/>
          <w:sz w:val="24"/>
          <w:szCs w:val="24"/>
          <w:lang w:eastAsia="zh-CN"/>
        </w:rPr>
        <w:t>。</w:t>
      </w:r>
    </w:p>
    <w:p>
      <w:pPr>
        <w:pStyle w:val="17"/>
        <w:rPr>
          <w:rFonts w:hint="eastAsia"/>
        </w:rPr>
      </w:pPr>
    </w:p>
    <w:bookmarkEnd w:id="263"/>
    <w:bookmarkEnd w:id="264"/>
    <w:tbl>
      <w:tblPr>
        <w:tblStyle w:val="34"/>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pPr>
              <w:spacing w:line="420" w:lineRule="exact"/>
              <w:jc w:val="center"/>
              <w:rPr>
                <w:rFonts w:hint="default" w:ascii="宋体" w:hAnsi="宋体" w:eastAsia="宋体" w:cs="宋体"/>
                <w:bCs/>
                <w:sz w:val="24"/>
                <w:szCs w:val="24"/>
                <w:lang w:val="en-US"/>
              </w:rPr>
            </w:pPr>
            <w:r>
              <w:rPr>
                <w:rFonts w:hint="eastAsia" w:ascii="宋体" w:hAnsi="宋体" w:cs="宋体"/>
                <w:sz w:val="24"/>
                <w:szCs w:val="24"/>
                <w:lang w:val="en-US" w:eastAsia="zh-CN"/>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p>
          <w:p>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延安市新区盛世花园北区12号楼一单元802室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pPr>
              <w:spacing w:line="420" w:lineRule="exact"/>
              <w:rPr>
                <w:rFonts w:hint="default"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0911-8688810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pPr>
              <w:spacing w:line="420" w:lineRule="exact"/>
              <w:rPr>
                <w:rFonts w:hint="eastAsia" w:ascii="宋体" w:hAnsi="宋体" w:eastAsia="宋体" w:cs="宋体"/>
                <w:bCs/>
                <w:sz w:val="24"/>
                <w:szCs w:val="24"/>
              </w:rPr>
            </w:pP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pPr>
              <w:spacing w:line="42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pPr>
              <w:spacing w:line="420" w:lineRule="exact"/>
              <w:rPr>
                <w:rFonts w:hint="eastAsia" w:ascii="宋体" w:hAnsi="宋体" w:eastAsia="宋体" w:cs="宋体"/>
                <w:bCs/>
                <w:sz w:val="24"/>
                <w:szCs w:val="24"/>
              </w:rPr>
            </w:pP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pPr>
              <w:spacing w:line="42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pPr>
        <w:numPr>
          <w:ilvl w:val="0"/>
          <w:numId w:val="0"/>
        </w:numPr>
        <w:rPr>
          <w:rFonts w:hint="eastAsia" w:ascii="宋体" w:hAnsi="宋体" w:eastAsia="宋体" w:cs="宋体"/>
        </w:rPr>
      </w:pPr>
    </w:p>
    <w:p>
      <w:pPr>
        <w:pStyle w:val="3"/>
        <w:keepNext w:val="0"/>
        <w:pageBreakBefore/>
        <w:numPr>
          <w:ilvl w:val="0"/>
          <w:numId w:val="0"/>
        </w:numPr>
        <w:ind w:leftChars="0"/>
        <w:jc w:val="center"/>
        <w:rPr>
          <w:rFonts w:hint="eastAsia" w:ascii="宋体" w:hAnsi="宋体" w:cs="宋体"/>
          <w:color w:val="000000" w:themeColor="text1"/>
          <w:sz w:val="30"/>
          <w:szCs w:val="30"/>
          <w:lang w:val="en-US" w:eastAsia="zh-CN"/>
          <w14:textFill>
            <w14:solidFill>
              <w14:schemeClr w14:val="tx1"/>
            </w14:solidFill>
          </w14:textFill>
        </w:rPr>
      </w:pPr>
      <w:bookmarkStart w:id="265" w:name="_Toc22897"/>
      <w:r>
        <w:rPr>
          <w:rFonts w:hint="eastAsia" w:ascii="宋体" w:hAnsi="宋体" w:cs="宋体"/>
          <w:color w:val="000000" w:themeColor="text1"/>
          <w:sz w:val="30"/>
          <w:szCs w:val="30"/>
          <w:lang w:eastAsia="zh-CN"/>
          <w14:textFill>
            <w14:solidFill>
              <w14:schemeClr w14:val="tx1"/>
            </w14:solidFill>
          </w14:textFill>
        </w:rPr>
        <w:t>第五章</w:t>
      </w:r>
      <w:r>
        <w:rPr>
          <w:rFonts w:hint="eastAsia" w:ascii="宋体" w:hAnsi="宋体" w:cs="宋体"/>
          <w:color w:val="000000" w:themeColor="text1"/>
          <w:sz w:val="30"/>
          <w:szCs w:val="30"/>
          <w:lang w:val="en-US" w:eastAsia="zh-CN"/>
          <w14:textFill>
            <w14:solidFill>
              <w14:schemeClr w14:val="tx1"/>
            </w14:solidFill>
          </w14:textFill>
        </w:rPr>
        <w:t xml:space="preserve">  </w:t>
      </w:r>
      <w:bookmarkEnd w:id="265"/>
      <w:r>
        <w:rPr>
          <w:rFonts w:hint="eastAsia" w:ascii="宋体" w:hAnsi="宋体" w:cs="宋体"/>
          <w:color w:val="000000" w:themeColor="text1"/>
          <w:sz w:val="30"/>
          <w:szCs w:val="30"/>
          <w:lang w:val="en-US" w:eastAsia="zh-CN"/>
          <w14:textFill>
            <w14:solidFill>
              <w14:schemeClr w14:val="tx1"/>
            </w14:solidFill>
          </w14:textFill>
        </w:rPr>
        <w:t>工程量清单</w:t>
      </w: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sz w:val="28"/>
          <w:szCs w:val="28"/>
          <w:lang w:eastAsia="zh-CN"/>
        </w:rPr>
      </w:pPr>
    </w:p>
    <w:p>
      <w:pPr>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8"/>
          <w:szCs w:val="28"/>
          <w:lang w:val="en-US" w:eastAsia="zh-CN"/>
        </w:rPr>
        <w:t>工程量清单另附</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3"/>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bookmarkStart w:id="266" w:name="_Toc3645"/>
      <w:r>
        <w:rPr>
          <w:rFonts w:hint="eastAsia" w:ascii="宋体" w:hAnsi="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6"/>
    </w:p>
    <w:p>
      <w:pPr>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cs="宋体"/>
          <w:b w:val="0"/>
          <w:bCs/>
          <w:color w:val="000000"/>
          <w:sz w:val="24"/>
          <w:szCs w:val="24"/>
          <w:lang w:val="en-US" w:eastAsia="zh-CN"/>
        </w:rPr>
        <w:t>9</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w:t>
      </w:r>
      <w:r>
        <w:rPr>
          <w:rFonts w:hint="eastAsia" w:ascii="宋体" w:hAnsi="宋体" w:cs="宋体"/>
          <w:b w:val="0"/>
          <w:bCs/>
          <w:color w:val="000000"/>
          <w:sz w:val="24"/>
          <w:szCs w:val="24"/>
          <w:lang w:eastAsia="zh-CN"/>
        </w:rPr>
        <w:t>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rPr>
      </w:pPr>
      <w:r>
        <w:rPr>
          <w:rFonts w:hint="eastAsia" w:ascii="宋体" w:hAnsi="宋体" w:eastAsia="宋体" w:cs="宋体"/>
          <w:b w:val="0"/>
          <w:bCs/>
          <w:color w:val="000000"/>
          <w:sz w:val="24"/>
          <w:szCs w:val="24"/>
          <w:lang w:val="en-US" w:eastAsia="zh-CN"/>
        </w:rPr>
        <w:t>4.</w:t>
      </w:r>
      <w:r>
        <w:rPr>
          <w:rFonts w:hint="eastAsia" w:ascii="宋体" w:hAnsi="宋体" w:cs="宋体"/>
          <w:b w:val="0"/>
          <w:bCs/>
          <w:color w:val="000000"/>
          <w:sz w:val="24"/>
          <w:szCs w:val="24"/>
          <w:lang w:val="en-US" w:eastAsia="zh-CN"/>
        </w:rPr>
        <w:t>响应</w:t>
      </w:r>
      <w:r>
        <w:rPr>
          <w:rFonts w:hint="eastAsia" w:ascii="宋体" w:hAnsi="宋体" w:eastAsia="宋体" w:cs="宋体"/>
          <w:b w:val="0"/>
          <w:bCs/>
          <w:color w:val="000000"/>
          <w:sz w:val="24"/>
          <w:szCs w:val="24"/>
          <w:lang w:val="en-US" w:eastAsia="zh-CN"/>
        </w:rPr>
        <w:t>文件的正本和所有的副本、资格文件必须全部打印并分别装订成册，并编制目录，统一装订、编码，必须在每一页的下方清楚标明。</w:t>
      </w:r>
      <w:r>
        <w:rPr>
          <w:rFonts w:hint="eastAsia"/>
        </w:rPr>
        <w:br w:type="page"/>
      </w:r>
    </w:p>
    <w:tbl>
      <w:tblPr>
        <w:tblStyle w:val="34"/>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正本/副本</w:t>
            </w:r>
          </w:p>
        </w:tc>
      </w:tr>
    </w:tbl>
    <w:p>
      <w:pPr>
        <w:spacing w:line="360" w:lineRule="auto"/>
        <w:rPr>
          <w:rFonts w:hint="eastAsia" w:ascii="宋体" w:hAnsi="宋体" w:eastAsia="宋体" w:cs="宋体"/>
          <w:b/>
          <w:color w:val="000000" w:themeColor="text1"/>
          <w:sz w:val="30"/>
          <w:szCs w:val="30"/>
          <w14:textFill>
            <w14:solidFill>
              <w14:schemeClr w14:val="tx1"/>
            </w14:solidFill>
          </w14:textFill>
        </w:rPr>
      </w:pPr>
    </w:p>
    <w:p>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SXCY2024-14</w:t>
      </w:r>
    </w:p>
    <w:p>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pPr>
        <w:pStyle w:val="17"/>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cs="宋体"/>
          <w:b/>
          <w:bCs/>
          <w:color w:val="000000"/>
          <w:sz w:val="44"/>
          <w:szCs w:val="44"/>
          <w:lang w:eastAsia="zh-CN"/>
        </w:rPr>
        <w:t>宜川县第二战区司令长官部秋林旧址二期陈列布展工程项目</w:t>
      </w:r>
    </w:p>
    <w:p>
      <w:pPr>
        <w:pStyle w:val="17"/>
        <w:rPr>
          <w:rFonts w:hint="eastAsia" w:ascii="宋体" w:hAnsi="宋体" w:eastAsia="宋体" w:cs="宋体"/>
          <w:b/>
          <w:color w:val="000000" w:themeColor="text1"/>
          <w:sz w:val="30"/>
          <w:szCs w:val="30"/>
          <w14:textFill>
            <w14:solidFill>
              <w14:schemeClr w14:val="tx1"/>
            </w14:solidFill>
          </w14:textFill>
        </w:rPr>
      </w:pPr>
    </w:p>
    <w:p>
      <w:pPr>
        <w:rPr>
          <w:rFonts w:hint="eastAsia"/>
        </w:rPr>
      </w:pPr>
    </w:p>
    <w:p>
      <w:pPr>
        <w:rPr>
          <w:rFonts w:hint="eastAsia" w:ascii="宋体" w:hAnsi="宋体" w:eastAsia="宋体" w:cs="宋体"/>
          <w:b/>
          <w:color w:val="000000" w:themeColor="text1"/>
          <w:sz w:val="30"/>
          <w:szCs w:val="30"/>
          <w14:textFill>
            <w14:solidFill>
              <w14:schemeClr w14:val="tx1"/>
            </w14:solidFill>
          </w14:textFill>
        </w:rPr>
      </w:pPr>
    </w:p>
    <w:p>
      <w:pPr>
        <w:pStyle w:val="17"/>
        <w:rPr>
          <w:rFonts w:hint="eastAsia"/>
        </w:rPr>
      </w:pPr>
    </w:p>
    <w:p>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rPr>
          <w:rFonts w:hint="eastAsia"/>
        </w:rPr>
      </w:pPr>
    </w:p>
    <w:p>
      <w:pPr>
        <w:pStyle w:val="17"/>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67"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67"/>
    </w:p>
    <w:p>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68"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68"/>
    </w:p>
    <w:p>
      <w:pPr>
        <w:spacing w:line="360" w:lineRule="auto"/>
        <w:rPr>
          <w:rFonts w:hint="eastAsia" w:ascii="宋体" w:hAnsi="宋体" w:eastAsia="宋体" w:cs="宋体"/>
          <w:color w:val="000000" w:themeColor="text1"/>
          <w14:textFill>
            <w14:solidFill>
              <w14:schemeClr w14:val="tx1"/>
            </w14:solidFill>
          </w14:textFill>
        </w:rPr>
        <w:sectPr>
          <w:footerReference r:id="rId11"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rPr>
          <w:rFonts w:hint="eastAsia" w:ascii="宋体" w:hAnsi="宋体" w:eastAsia="宋体" w:cs="宋体"/>
          <w:b/>
          <w:color w:val="000000" w:themeColor="text1"/>
          <w:sz w:val="36"/>
          <w:szCs w:val="36"/>
          <w14:textFill>
            <w14:solidFill>
              <w14:schemeClr w14:val="tx1"/>
            </w14:solidFill>
          </w14:textFill>
        </w:rPr>
      </w:pPr>
      <w:bookmarkStart w:id="269" w:name="_Toc420591500"/>
      <w:bookmarkStart w:id="270" w:name="_Toc421778385"/>
      <w:bookmarkStart w:id="271" w:name="_Toc372885969"/>
      <w:bookmarkStart w:id="272" w:name="_Toc420591666"/>
      <w:r>
        <w:rPr>
          <w:rFonts w:hint="eastAsia" w:ascii="宋体" w:hAnsi="宋体" w:eastAsia="宋体" w:cs="宋体"/>
          <w:b/>
          <w:color w:val="000000" w:themeColor="text1"/>
          <w:sz w:val="36"/>
          <w:szCs w:val="36"/>
          <w14:textFill>
            <w14:solidFill>
              <w14:schemeClr w14:val="tx1"/>
            </w14:solidFill>
          </w14:textFill>
        </w:rPr>
        <w:t>目    录</w:t>
      </w:r>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lang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函及</w:t>
      </w:r>
      <w:r>
        <w:rPr>
          <w:rFonts w:hint="eastAsia" w:ascii="宋体" w:hAnsi="宋体" w:eastAsia="宋体" w:cs="宋体"/>
          <w:b/>
          <w:bCs/>
          <w:color w:val="000000" w:themeColor="text1"/>
          <w:sz w:val="24"/>
          <w:szCs w:val="24"/>
          <w:lang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函附录</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w:t>
      </w:r>
      <w:r>
        <w:rPr>
          <w:rFonts w:hint="eastAsia" w:ascii="宋体" w:hAnsi="宋体" w:cs="宋体"/>
          <w:b/>
          <w:bCs/>
          <w:color w:val="000000" w:themeColor="text1"/>
          <w:sz w:val="24"/>
          <w:szCs w:val="24"/>
          <w:lang w:val="en-US" w:eastAsia="zh-CN"/>
          <w14:textFill>
            <w14:solidFill>
              <w14:schemeClr w14:val="tx1"/>
            </w14:solidFill>
          </w14:textFill>
        </w:rPr>
        <w:t>已标价工程量清单</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三、法定代表人身份证明</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四、法定代表人授权委托书</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、技术方案</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、商务方案</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、陕西省政府采购供应商拒绝政府采购领域商业贿赂承诺书</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、资格审查资料</w:t>
      </w: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、其它资料</w:t>
      </w:r>
    </w:p>
    <w:p>
      <w:pPr>
        <w:pStyle w:val="9"/>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700" w:lineRule="exact"/>
        <w:ind w:firstLine="482" w:firstLineChars="200"/>
        <w:textAlignment w:val="auto"/>
        <w:rPr>
          <w:rFonts w:hint="eastAsia" w:ascii="宋体" w:hAnsi="宋体" w:eastAsia="宋体" w:cs="宋体"/>
          <w:b/>
          <w:bCs/>
          <w:color w:val="000000"/>
          <w:sz w:val="24"/>
          <w:szCs w:val="24"/>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b/>
          <w:bCs/>
          <w:color w:val="000000"/>
          <w:sz w:val="24"/>
          <w:szCs w:val="24"/>
        </w:rPr>
        <w:t>注：以上磋商响应文件内容必须加盖公司公章，否则按无效投标处理</w:t>
      </w:r>
    </w:p>
    <w:p>
      <w:pPr>
        <w:pStyle w:val="4"/>
        <w:bidi w:val="0"/>
        <w:jc w:val="center"/>
        <w:outlineLvl w:val="0"/>
        <w:rPr>
          <w:rFonts w:hint="eastAsia"/>
        </w:rPr>
      </w:pPr>
      <w:bookmarkStart w:id="273" w:name="_Toc14499"/>
      <w:bookmarkStart w:id="274" w:name="_Toc30441"/>
      <w:bookmarkStart w:id="275" w:name="_Toc9394"/>
      <w:bookmarkStart w:id="276" w:name="_Toc8004"/>
      <w:bookmarkStart w:id="277" w:name="_Toc31360"/>
      <w:bookmarkStart w:id="278" w:name="_Toc31947"/>
      <w:bookmarkStart w:id="279" w:name="_Toc1790"/>
      <w:bookmarkStart w:id="280" w:name="_Toc17206"/>
      <w:bookmarkStart w:id="281" w:name="_Toc22006"/>
      <w:bookmarkStart w:id="282" w:name="_Toc31837"/>
      <w:bookmarkStart w:id="283" w:name="_Toc421778387"/>
      <w:bookmarkStart w:id="284" w:name="_Toc420591668"/>
      <w:bookmarkStart w:id="285" w:name="_Toc425240482"/>
      <w:bookmarkStart w:id="286" w:name="_Toc500323111"/>
      <w:bookmarkStart w:id="287" w:name="_Toc2157"/>
      <w:bookmarkStart w:id="288" w:name="_Toc3816"/>
      <w:r>
        <w:rPr>
          <w:rFonts w:hint="eastAsia"/>
        </w:rPr>
        <w:t>一、</w:t>
      </w:r>
      <w:r>
        <w:rPr>
          <w:rFonts w:hint="eastAsia"/>
          <w:lang w:eastAsia="zh-CN"/>
        </w:rPr>
        <w:t>响应</w:t>
      </w:r>
      <w:r>
        <w:rPr>
          <w:rFonts w:hint="eastAsia"/>
        </w:rPr>
        <w:t>函及</w:t>
      </w:r>
      <w:r>
        <w:rPr>
          <w:rFonts w:hint="eastAsia"/>
          <w:lang w:eastAsia="zh-CN"/>
        </w:rPr>
        <w:t>响应</w:t>
      </w:r>
      <w:r>
        <w:rPr>
          <w:rFonts w:hint="eastAsia"/>
        </w:rPr>
        <w:t>函附录</w:t>
      </w:r>
      <w:bookmarkEnd w:id="273"/>
      <w:bookmarkEnd w:id="274"/>
      <w:bookmarkEnd w:id="275"/>
      <w:bookmarkEnd w:id="276"/>
      <w:bookmarkEnd w:id="277"/>
      <w:bookmarkEnd w:id="278"/>
      <w:bookmarkEnd w:id="279"/>
      <w:bookmarkEnd w:id="280"/>
      <w:bookmarkEnd w:id="281"/>
      <w:bookmarkEnd w:id="282"/>
    </w:p>
    <w:p>
      <w:pPr>
        <w:overflowPunct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（一）</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w:t>
      </w:r>
    </w:p>
    <w:p>
      <w:pPr>
        <w:pStyle w:val="32"/>
        <w:rPr>
          <w:rFonts w:hint="eastAsia"/>
        </w:rPr>
      </w:pP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致：</w:t>
      </w:r>
      <w:r>
        <w:rPr>
          <w:rFonts w:hint="eastAsia" w:ascii="宋体" w:hAnsi="宋体" w:eastAsia="宋体" w:cs="宋体"/>
          <w:color w:val="000000"/>
          <w:spacing w:val="0"/>
          <w:sz w:val="24"/>
          <w:u w:val="single"/>
        </w:rPr>
        <w:t xml:space="preserve">                </w:t>
      </w:r>
      <w:r>
        <w:rPr>
          <w:rFonts w:hint="eastAsia" w:ascii="宋体" w:hAnsi="宋体" w:eastAsia="宋体" w:cs="宋体"/>
          <w:color w:val="000000"/>
          <w:spacing w:val="0"/>
          <w:sz w:val="24"/>
        </w:rPr>
        <w:t>（</w:t>
      </w:r>
      <w:r>
        <w:rPr>
          <w:rFonts w:hint="eastAsia" w:ascii="宋体" w:hAnsi="宋体" w:eastAsia="宋体" w:cs="宋体"/>
          <w:color w:val="000000"/>
          <w:spacing w:val="0"/>
          <w:sz w:val="24"/>
          <w:lang w:eastAsia="zh-CN"/>
        </w:rPr>
        <w:t>采购人</w:t>
      </w:r>
      <w:r>
        <w:rPr>
          <w:rFonts w:hint="eastAsia" w:ascii="宋体" w:hAnsi="宋体" w:eastAsia="宋体" w:cs="宋体"/>
          <w:color w:val="000000"/>
          <w:spacing w:val="0"/>
          <w:sz w:val="24"/>
        </w:rPr>
        <w:t>名称）</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在充分研究</w:t>
      </w:r>
      <w:r>
        <w:rPr>
          <w:rFonts w:hint="eastAsia" w:ascii="宋体" w:hAnsi="宋体" w:eastAsia="宋体" w:cs="宋体"/>
          <w:color w:val="000000"/>
          <w:spacing w:val="0"/>
          <w:sz w:val="24"/>
          <w:u w:val="single"/>
        </w:rPr>
        <w:t xml:space="preserve">                 （项目名称）</w:t>
      </w:r>
      <w:r>
        <w:rPr>
          <w:rFonts w:hint="eastAsia" w:ascii="宋体" w:hAnsi="宋体" w:eastAsia="宋体" w:cs="宋体"/>
          <w:color w:val="000000"/>
          <w:spacing w:val="0"/>
          <w:sz w:val="24"/>
        </w:rPr>
        <w:t>（以下简称“本工程”）招标文件的全部内容后，我方兹以：</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人民币（大写）：</w:t>
      </w:r>
      <w:r>
        <w:rPr>
          <w:rFonts w:hint="eastAsia" w:ascii="宋体" w:hAnsi="宋体" w:eastAsia="宋体" w:cs="宋体"/>
          <w:color w:val="000000"/>
          <w:spacing w:val="0"/>
          <w:sz w:val="24"/>
          <w:u w:val="single"/>
        </w:rPr>
        <w:t xml:space="preserve">               </w:t>
      </w:r>
      <w:r>
        <w:rPr>
          <w:rFonts w:hint="eastAsia" w:ascii="宋体" w:hAnsi="宋体" w:eastAsia="宋体" w:cs="宋体"/>
          <w:color w:val="000000"/>
          <w:spacing w:val="0"/>
          <w:sz w:val="24"/>
        </w:rPr>
        <w:t>元</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RMB￥：</w:t>
      </w:r>
      <w:r>
        <w:rPr>
          <w:rFonts w:hint="eastAsia" w:ascii="宋体" w:hAnsi="宋体" w:eastAsia="宋体" w:cs="宋体"/>
          <w:color w:val="000000"/>
          <w:spacing w:val="0"/>
          <w:sz w:val="24"/>
          <w:u w:val="single"/>
        </w:rPr>
        <w:t xml:space="preserve">                         </w:t>
      </w:r>
      <w:r>
        <w:rPr>
          <w:rFonts w:hint="eastAsia" w:ascii="宋体" w:hAnsi="宋体" w:eastAsia="宋体" w:cs="宋体"/>
          <w:color w:val="000000"/>
          <w:spacing w:val="0"/>
          <w:sz w:val="24"/>
        </w:rPr>
        <w:t>元的</w:t>
      </w:r>
      <w:r>
        <w:rPr>
          <w:rFonts w:hint="eastAsia" w:ascii="宋体" w:hAnsi="宋体" w:cs="宋体"/>
          <w:color w:val="000000"/>
          <w:spacing w:val="0"/>
          <w:sz w:val="24"/>
          <w:lang w:val="en-US" w:eastAsia="zh-CN"/>
        </w:rPr>
        <w:t>磋商</w:t>
      </w:r>
      <w:r>
        <w:rPr>
          <w:rFonts w:hint="eastAsia" w:ascii="宋体" w:hAnsi="宋体" w:eastAsia="宋体" w:cs="宋体"/>
          <w:color w:val="000000"/>
          <w:spacing w:val="0"/>
          <w:sz w:val="24"/>
        </w:rPr>
        <w:t>价格和按合同约定有权得到的其它金额，并严格按照合同约定，施工、竣工和交付本工程并维修其中的任何缺陷。</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如果我方</w:t>
      </w:r>
      <w:r>
        <w:rPr>
          <w:rFonts w:hint="eastAsia" w:ascii="宋体" w:hAnsi="宋体" w:eastAsia="宋体" w:cs="宋体"/>
          <w:color w:val="000000"/>
          <w:spacing w:val="0"/>
          <w:sz w:val="24"/>
          <w:lang w:eastAsia="zh-CN"/>
        </w:rPr>
        <w:t>成交</w:t>
      </w:r>
      <w:r>
        <w:rPr>
          <w:rFonts w:hint="eastAsia" w:ascii="宋体" w:hAnsi="宋体" w:eastAsia="宋体" w:cs="宋体"/>
          <w:color w:val="000000"/>
          <w:spacing w:val="0"/>
          <w:sz w:val="24"/>
        </w:rPr>
        <w:t>，我方保证在</w:t>
      </w:r>
      <w:r>
        <w:rPr>
          <w:rFonts w:hint="eastAsia" w:ascii="宋体" w:hAnsi="宋体" w:eastAsia="宋体" w:cs="宋体"/>
          <w:color w:val="000000"/>
          <w:spacing w:val="0"/>
          <w:sz w:val="24"/>
          <w:u w:val="single"/>
        </w:rPr>
        <w:t>按照合同约定的开工日期</w:t>
      </w:r>
      <w:r>
        <w:rPr>
          <w:rFonts w:hint="eastAsia" w:ascii="宋体" w:hAnsi="宋体" w:eastAsia="宋体" w:cs="宋体"/>
          <w:color w:val="000000"/>
          <w:spacing w:val="0"/>
          <w:sz w:val="24"/>
        </w:rPr>
        <w:t>开始本工程，</w:t>
      </w:r>
      <w:r>
        <w:rPr>
          <w:rFonts w:hint="eastAsia" w:ascii="宋体" w:hAnsi="宋体" w:eastAsia="宋体" w:cs="宋体"/>
          <w:color w:val="000000"/>
          <w:spacing w:val="0"/>
          <w:sz w:val="24"/>
          <w:u w:val="single"/>
        </w:rPr>
        <w:t xml:space="preserve">      </w:t>
      </w:r>
      <w:r>
        <w:rPr>
          <w:rFonts w:hint="eastAsia" w:ascii="宋体" w:hAnsi="宋体" w:cs="宋体"/>
          <w:color w:val="000000"/>
          <w:spacing w:val="0"/>
          <w:sz w:val="24"/>
          <w:u w:val="none"/>
          <w:lang w:val="en-US" w:eastAsia="zh-CN"/>
        </w:rPr>
        <w:t>个</w:t>
      </w:r>
      <w:r>
        <w:rPr>
          <w:rFonts w:hint="eastAsia" w:ascii="宋体" w:hAnsi="宋体" w:cs="宋体"/>
          <w:color w:val="000000"/>
          <w:spacing w:val="0"/>
          <w:sz w:val="24"/>
          <w:lang w:val="en-US" w:eastAsia="zh-CN"/>
        </w:rPr>
        <w:t>月</w:t>
      </w:r>
      <w:r>
        <w:rPr>
          <w:rFonts w:hint="eastAsia" w:ascii="宋体" w:hAnsi="宋体" w:eastAsia="宋体" w:cs="宋体"/>
          <w:color w:val="000000"/>
          <w:spacing w:val="0"/>
          <w:sz w:val="24"/>
        </w:rPr>
        <w:t>内竣工，</w:t>
      </w:r>
      <w:r>
        <w:rPr>
          <w:rFonts w:hint="eastAsia" w:ascii="宋体" w:hAnsi="宋体" w:eastAsia="宋体" w:cs="宋体"/>
          <w:color w:val="000000"/>
          <w:spacing w:val="0"/>
          <w:sz w:val="24"/>
          <w:lang w:val="en-US" w:eastAsia="zh-CN"/>
        </w:rPr>
        <w:t>质保期</w:t>
      </w:r>
      <w:r>
        <w:rPr>
          <w:rFonts w:hint="eastAsia" w:ascii="宋体" w:hAnsi="宋体" w:eastAsia="宋体" w:cs="宋体"/>
          <w:color w:val="000000"/>
          <w:spacing w:val="0"/>
          <w:sz w:val="24"/>
          <w:u w:val="single"/>
          <w:lang w:val="en-US" w:eastAsia="zh-CN"/>
        </w:rPr>
        <w:t xml:space="preserve">        </w:t>
      </w:r>
      <w:r>
        <w:rPr>
          <w:rFonts w:hint="eastAsia" w:ascii="宋体" w:hAnsi="宋体" w:eastAsia="宋体" w:cs="宋体"/>
          <w:color w:val="000000"/>
          <w:spacing w:val="0"/>
          <w:sz w:val="24"/>
        </w:rPr>
        <w:t>并确保工程质量达到</w:t>
      </w:r>
      <w:r>
        <w:rPr>
          <w:rFonts w:hint="eastAsia" w:ascii="宋体" w:hAnsi="宋体" w:eastAsia="宋体" w:cs="宋体"/>
          <w:color w:val="000000"/>
          <w:spacing w:val="0"/>
          <w:sz w:val="24"/>
          <w:u w:val="single"/>
        </w:rPr>
        <w:t xml:space="preserve">  合格  </w:t>
      </w:r>
      <w:r>
        <w:rPr>
          <w:rFonts w:hint="eastAsia" w:ascii="宋体" w:hAnsi="宋体" w:eastAsia="宋体" w:cs="宋体"/>
          <w:color w:val="000000"/>
          <w:spacing w:val="0"/>
          <w:sz w:val="24"/>
        </w:rPr>
        <w:t>标准。我方同意本</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函在</w:t>
      </w:r>
      <w:r>
        <w:rPr>
          <w:rFonts w:hint="eastAsia" w:ascii="宋体" w:hAnsi="宋体" w:cs="宋体"/>
          <w:color w:val="000000"/>
          <w:spacing w:val="0"/>
          <w:sz w:val="24"/>
          <w:lang w:val="en-US" w:eastAsia="zh-CN"/>
        </w:rPr>
        <w:t>磋商</w:t>
      </w:r>
      <w:r>
        <w:rPr>
          <w:rFonts w:hint="eastAsia" w:ascii="宋体" w:hAnsi="宋体" w:eastAsia="宋体" w:cs="宋体"/>
          <w:color w:val="000000"/>
          <w:spacing w:val="0"/>
          <w:sz w:val="24"/>
        </w:rPr>
        <w:t>文件规定的提交</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文件截止时间后，在</w:t>
      </w:r>
      <w:r>
        <w:rPr>
          <w:rFonts w:hint="eastAsia" w:ascii="宋体" w:hAnsi="宋体" w:cs="宋体"/>
          <w:color w:val="000000"/>
          <w:spacing w:val="0"/>
          <w:sz w:val="24"/>
          <w:lang w:val="en-US" w:eastAsia="zh-CN"/>
        </w:rPr>
        <w:t>磋商</w:t>
      </w:r>
      <w:r>
        <w:rPr>
          <w:rFonts w:hint="eastAsia" w:ascii="宋体" w:hAnsi="宋体" w:eastAsia="宋体" w:cs="宋体"/>
          <w:color w:val="000000"/>
          <w:spacing w:val="0"/>
          <w:sz w:val="24"/>
        </w:rPr>
        <w:t>文件规定的</w:t>
      </w:r>
      <w:r>
        <w:rPr>
          <w:rFonts w:hint="eastAsia" w:ascii="宋体" w:hAnsi="宋体" w:cs="宋体"/>
          <w:color w:val="000000"/>
          <w:spacing w:val="0"/>
          <w:sz w:val="24"/>
          <w:lang w:val="en-US" w:eastAsia="zh-CN"/>
        </w:rPr>
        <w:t>磋商</w:t>
      </w:r>
      <w:r>
        <w:rPr>
          <w:rFonts w:hint="eastAsia" w:ascii="宋体" w:hAnsi="宋体" w:eastAsia="宋体" w:cs="宋体"/>
          <w:color w:val="000000"/>
          <w:spacing w:val="0"/>
          <w:sz w:val="24"/>
        </w:rPr>
        <w:t>有效期期满前对我方具有约束力，且随时准备接受你方发出的</w:t>
      </w:r>
      <w:r>
        <w:rPr>
          <w:rFonts w:hint="eastAsia" w:ascii="宋体" w:hAnsi="宋体" w:eastAsia="宋体" w:cs="宋体"/>
          <w:color w:val="000000"/>
          <w:spacing w:val="0"/>
          <w:sz w:val="24"/>
          <w:lang w:eastAsia="zh-CN"/>
        </w:rPr>
        <w:t>成交</w:t>
      </w:r>
      <w:r>
        <w:rPr>
          <w:rFonts w:hint="eastAsia" w:ascii="宋体" w:hAnsi="宋体" w:eastAsia="宋体" w:cs="宋体"/>
          <w:color w:val="000000"/>
          <w:spacing w:val="0"/>
          <w:sz w:val="24"/>
        </w:rPr>
        <w:t>通知书。</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随本</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函递交的</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函附录是本</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函的组成部分，对我方构成约束力。</w:t>
      </w:r>
    </w:p>
    <w:p>
      <w:pPr>
        <w:keepNext w:val="0"/>
        <w:keepLines w:val="0"/>
        <w:pageBreakBefore w:val="0"/>
        <w:widowControl w:val="0"/>
        <w:kinsoku/>
        <w:wordWrap/>
        <w:overflowPunct w:val="0"/>
        <w:topLinePunct w:val="0"/>
        <w:autoSpaceDE/>
        <w:autoSpaceDN/>
        <w:bidi w:val="0"/>
        <w:adjustRightInd/>
        <w:snapToGrid/>
        <w:spacing w:line="600" w:lineRule="exact"/>
        <w:ind w:firstLine="436" w:firstLineChars="200"/>
        <w:textAlignment w:val="auto"/>
        <w:rPr>
          <w:rFonts w:hint="eastAsia" w:ascii="宋体" w:hAnsi="宋体" w:eastAsia="宋体" w:cs="宋体"/>
          <w:color w:val="000000"/>
          <w:spacing w:val="-11"/>
          <w:sz w:val="24"/>
        </w:rPr>
      </w:pPr>
      <w:r>
        <w:rPr>
          <w:rFonts w:hint="eastAsia" w:ascii="宋体" w:hAnsi="宋体" w:eastAsia="宋体" w:cs="宋体"/>
          <w:color w:val="000000"/>
          <w:spacing w:val="-11"/>
          <w:sz w:val="24"/>
        </w:rPr>
        <w:t>随同本</w:t>
      </w:r>
      <w:r>
        <w:rPr>
          <w:rFonts w:hint="eastAsia" w:ascii="宋体" w:hAnsi="宋体" w:eastAsia="宋体" w:cs="宋体"/>
          <w:color w:val="000000"/>
          <w:spacing w:val="-11"/>
          <w:sz w:val="24"/>
          <w:lang w:eastAsia="zh-CN"/>
        </w:rPr>
        <w:t>响应</w:t>
      </w:r>
      <w:r>
        <w:rPr>
          <w:rFonts w:hint="eastAsia" w:ascii="宋体" w:hAnsi="宋体" w:eastAsia="宋体" w:cs="宋体"/>
          <w:color w:val="000000"/>
          <w:spacing w:val="-11"/>
          <w:sz w:val="24"/>
        </w:rPr>
        <w:t>函递交</w:t>
      </w:r>
      <w:r>
        <w:rPr>
          <w:rFonts w:hint="eastAsia" w:ascii="宋体" w:hAnsi="宋体" w:cs="宋体"/>
          <w:color w:val="000000"/>
          <w:spacing w:val="-11"/>
          <w:sz w:val="24"/>
          <w:lang w:val="en-US" w:eastAsia="zh-CN"/>
        </w:rPr>
        <w:t>磋商</w:t>
      </w:r>
      <w:r>
        <w:rPr>
          <w:rFonts w:hint="eastAsia" w:ascii="宋体" w:hAnsi="宋体" w:eastAsia="宋体" w:cs="宋体"/>
          <w:color w:val="000000"/>
          <w:spacing w:val="-11"/>
          <w:sz w:val="24"/>
        </w:rPr>
        <w:t>保证金一份，金额为人民币（大写）：</w:t>
      </w:r>
      <w:r>
        <w:rPr>
          <w:rFonts w:hint="eastAsia" w:ascii="宋体" w:hAnsi="宋体" w:cs="宋体"/>
          <w:color w:val="000000"/>
          <w:spacing w:val="-11"/>
          <w:sz w:val="24"/>
          <w:lang w:val="en-US" w:eastAsia="zh-CN"/>
        </w:rPr>
        <w:t>壹万元整</w:t>
      </w:r>
      <w:r>
        <w:rPr>
          <w:rFonts w:hint="eastAsia" w:ascii="宋体" w:hAnsi="宋体" w:eastAsia="宋体" w:cs="宋体"/>
          <w:color w:val="000000"/>
          <w:spacing w:val="-11"/>
          <w:sz w:val="24"/>
        </w:rPr>
        <w:t>（￥</w:t>
      </w:r>
      <w:r>
        <w:rPr>
          <w:rFonts w:hint="eastAsia" w:ascii="宋体" w:hAnsi="宋体" w:cs="宋体"/>
          <w:color w:val="000000"/>
          <w:spacing w:val="-11"/>
          <w:sz w:val="24"/>
          <w:lang w:val="en-US" w:eastAsia="zh-CN"/>
        </w:rPr>
        <w:t>10000</w:t>
      </w:r>
      <w:r>
        <w:rPr>
          <w:rFonts w:hint="eastAsia" w:ascii="宋体" w:hAnsi="宋体" w:eastAsia="宋体" w:cs="宋体"/>
          <w:color w:val="000000"/>
          <w:spacing w:val="-11"/>
          <w:sz w:val="24"/>
          <w:lang w:val="en-US" w:eastAsia="zh-CN"/>
        </w:rPr>
        <w:t>.00</w:t>
      </w:r>
      <w:r>
        <w:rPr>
          <w:rFonts w:hint="eastAsia" w:ascii="宋体" w:hAnsi="宋体" w:eastAsia="宋体" w:cs="宋体"/>
          <w:color w:val="000000"/>
          <w:spacing w:val="-11"/>
          <w:sz w:val="24"/>
        </w:rPr>
        <w:t>元）。</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在签署协议书之前，你方的</w:t>
      </w:r>
      <w:r>
        <w:rPr>
          <w:rFonts w:hint="eastAsia" w:ascii="宋体" w:hAnsi="宋体" w:eastAsia="宋体" w:cs="宋体"/>
          <w:color w:val="000000"/>
          <w:spacing w:val="0"/>
          <w:sz w:val="24"/>
          <w:lang w:eastAsia="zh-CN"/>
        </w:rPr>
        <w:t>成交</w:t>
      </w:r>
      <w:r>
        <w:rPr>
          <w:rFonts w:hint="eastAsia" w:ascii="宋体" w:hAnsi="宋体" w:eastAsia="宋体" w:cs="宋体"/>
          <w:color w:val="000000"/>
          <w:spacing w:val="0"/>
          <w:sz w:val="24"/>
        </w:rPr>
        <w:t>通知书连同本</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函，包括</w:t>
      </w:r>
      <w:r>
        <w:rPr>
          <w:rFonts w:hint="eastAsia" w:ascii="宋体" w:hAnsi="宋体" w:eastAsia="宋体" w:cs="宋体"/>
          <w:color w:val="000000"/>
          <w:spacing w:val="0"/>
          <w:sz w:val="24"/>
          <w:lang w:eastAsia="zh-CN"/>
        </w:rPr>
        <w:t>响应</w:t>
      </w:r>
      <w:r>
        <w:rPr>
          <w:rFonts w:hint="eastAsia" w:ascii="宋体" w:hAnsi="宋体" w:eastAsia="宋体" w:cs="宋体"/>
          <w:color w:val="000000"/>
          <w:spacing w:val="0"/>
          <w:sz w:val="24"/>
        </w:rPr>
        <w:t>函附录，对双方具有约束力。</w:t>
      </w: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lang w:eastAsia="zh-CN"/>
        </w:rPr>
        <w:t>供应商</w:t>
      </w:r>
      <w:r>
        <w:rPr>
          <w:rFonts w:hint="eastAsia" w:ascii="宋体" w:hAnsi="宋体" w:eastAsia="宋体" w:cs="宋体"/>
          <w:color w:val="000000"/>
          <w:spacing w:val="0"/>
          <w:sz w:val="24"/>
        </w:rPr>
        <w:t>（盖章）：</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法人代表或委托代理人（签字</w:t>
      </w:r>
      <w:r>
        <w:rPr>
          <w:rFonts w:hint="eastAsia" w:ascii="宋体" w:hAnsi="宋体" w:cs="宋体"/>
          <w:color w:val="000000"/>
          <w:spacing w:val="0"/>
          <w:sz w:val="24"/>
          <w:lang w:val="en-US" w:eastAsia="zh-CN"/>
        </w:rPr>
        <w:t>或</w:t>
      </w:r>
      <w:r>
        <w:rPr>
          <w:rFonts w:hint="eastAsia" w:ascii="宋体" w:hAnsi="宋体" w:eastAsia="宋体" w:cs="宋体"/>
          <w:color w:val="000000"/>
          <w:spacing w:val="0"/>
          <w:sz w:val="24"/>
        </w:rPr>
        <w:t>盖章）：</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pacing w:val="0"/>
          <w:sz w:val="24"/>
        </w:rPr>
      </w:pPr>
      <w:r>
        <w:rPr>
          <w:rFonts w:hint="eastAsia" w:ascii="宋体" w:hAnsi="宋体" w:eastAsia="宋体" w:cs="宋体"/>
          <w:color w:val="000000"/>
          <w:spacing w:val="0"/>
          <w:sz w:val="24"/>
        </w:rPr>
        <w:t>日期：</w:t>
      </w:r>
      <w:r>
        <w:rPr>
          <w:rFonts w:hint="eastAsia" w:ascii="宋体" w:hAnsi="宋体" w:eastAsia="宋体" w:cs="宋体"/>
          <w:color w:val="000000"/>
          <w:spacing w:val="0"/>
          <w:sz w:val="24"/>
          <w:u w:val="single"/>
        </w:rPr>
        <w:t xml:space="preserve">         </w:t>
      </w:r>
      <w:r>
        <w:rPr>
          <w:rFonts w:hint="eastAsia" w:ascii="宋体" w:hAnsi="宋体" w:eastAsia="宋体" w:cs="宋体"/>
          <w:color w:val="000000"/>
          <w:spacing w:val="0"/>
          <w:sz w:val="24"/>
        </w:rPr>
        <w:t>年</w:t>
      </w:r>
      <w:r>
        <w:rPr>
          <w:rFonts w:hint="eastAsia" w:ascii="宋体" w:hAnsi="宋体" w:eastAsia="宋体" w:cs="宋体"/>
          <w:color w:val="000000"/>
          <w:spacing w:val="0"/>
          <w:sz w:val="24"/>
          <w:u w:val="single"/>
        </w:rPr>
        <w:t xml:space="preserve">      </w:t>
      </w:r>
      <w:r>
        <w:rPr>
          <w:rFonts w:hint="eastAsia" w:ascii="宋体" w:hAnsi="宋体" w:eastAsia="宋体" w:cs="宋体"/>
          <w:color w:val="000000"/>
          <w:spacing w:val="0"/>
          <w:sz w:val="24"/>
        </w:rPr>
        <w:t>月</w:t>
      </w:r>
      <w:r>
        <w:rPr>
          <w:rFonts w:hint="eastAsia" w:ascii="宋体" w:hAnsi="宋体" w:eastAsia="宋体" w:cs="宋体"/>
          <w:color w:val="000000"/>
          <w:spacing w:val="0"/>
          <w:sz w:val="24"/>
          <w:u w:val="single"/>
        </w:rPr>
        <w:t xml:space="preserve">      </w:t>
      </w:r>
      <w:r>
        <w:rPr>
          <w:rFonts w:hint="eastAsia" w:ascii="宋体" w:hAnsi="宋体" w:eastAsia="宋体" w:cs="宋体"/>
          <w:color w:val="000000"/>
          <w:spacing w:val="0"/>
          <w:sz w:val="24"/>
        </w:rPr>
        <w:t>日</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pPr>
        <w:overflowPunct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（二）</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函附录</w:t>
      </w:r>
    </w:p>
    <w:tbl>
      <w:tblPr>
        <w:tblStyle w:val="34"/>
        <w:tblW w:w="0" w:type="auto"/>
        <w:tblInd w:w="108" w:type="dxa"/>
        <w:tblLayout w:type="fixed"/>
        <w:tblCellMar>
          <w:top w:w="0" w:type="dxa"/>
          <w:left w:w="108" w:type="dxa"/>
          <w:bottom w:w="0" w:type="dxa"/>
          <w:right w:w="108" w:type="dxa"/>
        </w:tblCellMar>
      </w:tblPr>
      <w:tblGrid>
        <w:gridCol w:w="867"/>
        <w:gridCol w:w="643"/>
        <w:gridCol w:w="1542"/>
        <w:gridCol w:w="94"/>
        <w:gridCol w:w="2548"/>
        <w:gridCol w:w="401"/>
        <w:gridCol w:w="195"/>
        <w:gridCol w:w="436"/>
        <w:gridCol w:w="823"/>
        <w:gridCol w:w="1891"/>
      </w:tblGrid>
      <w:tr>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134" w:firstLineChars="56"/>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陕西宸永项目管理有限公司</w:t>
            </w:r>
          </w:p>
        </w:tc>
      </w:tr>
      <w:tr>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sz w:val="24"/>
              </w:rPr>
            </w:pPr>
            <w:r>
              <w:rPr>
                <w:rFonts w:hint="eastAsia" w:ascii="宋体" w:hAnsi="宋体" w:eastAsia="宋体" w:cs="宋体"/>
                <w:sz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1260"/>
              </w:tabs>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ind w:firstLine="459"/>
              <w:rPr>
                <w:rFonts w:hint="eastAsia" w:ascii="宋体" w:hAnsi="宋体" w:eastAsia="宋体" w:cs="宋体"/>
                <w:sz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sz w:val="24"/>
              </w:rPr>
            </w:pPr>
            <w:r>
              <w:rPr>
                <w:rFonts w:hint="eastAsia" w:ascii="宋体" w:hAnsi="宋体" w:eastAsia="宋体" w:cs="宋体"/>
                <w:sz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2 </w:t>
            </w:r>
            <w:r>
              <w:rPr>
                <w:rFonts w:hint="eastAsia" w:ascii="宋体" w:hAnsi="宋体" w:eastAsia="宋体" w:cs="宋体"/>
                <w:sz w:val="24"/>
              </w:rPr>
              <w:t>份、电子版</w:t>
            </w:r>
            <w:r>
              <w:rPr>
                <w:rFonts w:hint="eastAsia" w:ascii="宋体" w:hAnsi="宋体" w:eastAsia="宋体" w:cs="宋体"/>
                <w:sz w:val="24"/>
                <w:u w:val="single"/>
              </w:rPr>
              <w:t>1</w:t>
            </w:r>
            <w:r>
              <w:rPr>
                <w:rFonts w:hint="eastAsia" w:ascii="宋体" w:hAnsi="宋体" w:eastAsia="宋体" w:cs="宋体"/>
                <w:sz w:val="24"/>
              </w:rPr>
              <w:t>份</w:t>
            </w:r>
            <w:r>
              <w:rPr>
                <w:rFonts w:hint="eastAsia" w:ascii="宋体" w:hAnsi="宋体" w:eastAsia="宋体" w:cs="宋体"/>
                <w:sz w:val="24"/>
                <w:lang w:eastAsia="zh-CN"/>
              </w:rPr>
              <w:t>，资质</w:t>
            </w:r>
            <w:r>
              <w:rPr>
                <w:rFonts w:hint="eastAsia" w:ascii="宋体" w:hAnsi="宋体" w:eastAsia="宋体" w:cs="宋体"/>
                <w:sz w:val="24"/>
                <w:u w:val="single"/>
                <w:lang w:val="en-US" w:eastAsia="zh-CN"/>
              </w:rPr>
              <w:t>1</w:t>
            </w:r>
            <w:r>
              <w:rPr>
                <w:rFonts w:hint="eastAsia" w:ascii="宋体" w:hAnsi="宋体" w:eastAsia="宋体" w:cs="宋体"/>
                <w:sz w:val="24"/>
                <w:lang w:val="en-US" w:eastAsia="zh-CN"/>
              </w:rPr>
              <w:t>份</w:t>
            </w:r>
            <w:r>
              <w:rPr>
                <w:rFonts w:hint="eastAsia" w:ascii="宋体" w:hAnsi="宋体" w:eastAsia="宋体" w:cs="宋体"/>
                <w:sz w:val="24"/>
              </w:rPr>
              <w:t>。</w:t>
            </w: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jc w:val="center"/>
              <w:rPr>
                <w:rFonts w:hint="eastAsia" w:ascii="宋体" w:hAnsi="宋体" w:eastAsia="宋体" w:cs="宋体"/>
                <w:sz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交纳保证金</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rPr>
                <w:rFonts w:hint="eastAsia" w:ascii="宋体" w:hAnsi="宋体" w:eastAsia="宋体" w:cs="宋体"/>
                <w:sz w:val="24"/>
              </w:rPr>
            </w:pPr>
            <w:r>
              <w:rPr>
                <w:rFonts w:hint="eastAsia" w:ascii="宋体" w:hAnsi="宋体" w:eastAsia="宋体" w:cs="宋体"/>
                <w:sz w:val="24"/>
              </w:rPr>
              <w:t>RMB：</w:t>
            </w:r>
            <w:r>
              <w:rPr>
                <w:rFonts w:hint="eastAsia" w:ascii="宋体" w:hAnsi="宋体" w:cs="宋体"/>
                <w:sz w:val="24"/>
                <w:lang w:val="en-US" w:eastAsia="zh-CN"/>
              </w:rPr>
              <w:t>10000</w:t>
            </w:r>
            <w:r>
              <w:rPr>
                <w:rFonts w:hint="eastAsia" w:ascii="宋体" w:hAnsi="宋体" w:eastAsia="宋体" w:cs="宋体"/>
                <w:sz w:val="24"/>
              </w:rPr>
              <w:t>元。</w:t>
            </w: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8573"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rPr>
                <w:rFonts w:hint="eastAsia"/>
              </w:rPr>
            </w:pPr>
            <w:r>
              <w:rPr>
                <w:rFonts w:hint="eastAsia"/>
              </w:rPr>
              <w:t>作为供应商郑重声明</w:t>
            </w: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rPr>
                <w:rFonts w:hint="eastAsia" w:ascii="宋体" w:hAnsi="宋体" w:eastAsia="宋体" w:cs="宋体"/>
                <w:sz w:val="24"/>
              </w:rPr>
            </w:pPr>
            <w:r>
              <w:rPr>
                <w:rFonts w:hint="eastAsia" w:ascii="宋体" w:hAnsi="宋体" w:eastAsia="宋体" w:cs="宋体"/>
                <w:sz w:val="24"/>
              </w:rPr>
              <w:t>依据竞争性</w:t>
            </w:r>
            <w:r>
              <w:rPr>
                <w:rFonts w:hint="eastAsia" w:ascii="宋体" w:hAnsi="宋体" w:cs="宋体"/>
                <w:sz w:val="24"/>
                <w:lang w:val="en-US" w:eastAsia="zh-CN"/>
              </w:rPr>
              <w:t>磋商</w:t>
            </w:r>
            <w:r>
              <w:rPr>
                <w:rFonts w:hint="eastAsia" w:ascii="宋体" w:hAnsi="宋体" w:eastAsia="宋体" w:cs="宋体"/>
                <w:sz w:val="24"/>
              </w:rPr>
              <w:t>文件的内容要求，提供完全满足采购需求的工程。</w:t>
            </w:r>
          </w:p>
        </w:tc>
      </w:tr>
      <w:tr>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rPr>
                <w:rFonts w:hint="eastAsia" w:ascii="宋体" w:hAnsi="宋体" w:eastAsia="宋体" w:cs="宋体"/>
                <w:sz w:val="24"/>
              </w:rPr>
            </w:pPr>
            <w:r>
              <w:rPr>
                <w:rFonts w:hint="eastAsia" w:ascii="宋体" w:hAnsi="宋体" w:eastAsia="宋体" w:cs="宋体"/>
                <w:sz w:val="24"/>
              </w:rPr>
              <w:t>已详细阅读和核实全部竞争性</w:t>
            </w:r>
            <w:r>
              <w:rPr>
                <w:rFonts w:hint="eastAsia" w:ascii="宋体" w:hAnsi="宋体" w:cs="宋体"/>
                <w:sz w:val="24"/>
                <w:lang w:val="en-US" w:eastAsia="zh-CN"/>
              </w:rPr>
              <w:t>磋商</w:t>
            </w:r>
            <w:r>
              <w:rPr>
                <w:rFonts w:hint="eastAsia" w:ascii="宋体" w:hAnsi="宋体" w:eastAsia="宋体" w:cs="宋体"/>
                <w:sz w:val="24"/>
              </w:rPr>
              <w:t>文件内容,完全清楚和知道必须放弃提出含糊不清或误解问题的所有权利。</w:t>
            </w: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rPr>
                <w:rFonts w:hint="eastAsia" w:ascii="宋体" w:hAnsi="宋体" w:eastAsia="宋体" w:cs="宋体"/>
                <w:sz w:val="24"/>
              </w:rPr>
            </w:pPr>
            <w:r>
              <w:rPr>
                <w:rFonts w:hint="eastAsia" w:ascii="宋体" w:hAnsi="宋体" w:eastAsia="宋体" w:cs="宋体"/>
                <w:sz w:val="24"/>
              </w:rPr>
              <w:t>同意提供与本次竞争性</w:t>
            </w:r>
            <w:r>
              <w:rPr>
                <w:rFonts w:hint="eastAsia" w:ascii="宋体" w:hAnsi="宋体" w:cs="宋体"/>
                <w:sz w:val="24"/>
                <w:lang w:val="en-US" w:eastAsia="zh-CN"/>
              </w:rPr>
              <w:t>磋商</w:t>
            </w:r>
            <w:r>
              <w:rPr>
                <w:rFonts w:hint="eastAsia" w:ascii="宋体" w:hAnsi="宋体" w:eastAsia="宋体" w:cs="宋体"/>
                <w:sz w:val="24"/>
              </w:rPr>
              <w:t>采购活动相关的其他任何证据和资料。</w:t>
            </w: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rPr>
                <w:rFonts w:hint="eastAsia" w:ascii="宋体" w:hAnsi="宋体" w:eastAsia="宋体" w:cs="宋体"/>
                <w:sz w:val="24"/>
              </w:rPr>
            </w:pPr>
            <w:r>
              <w:rPr>
                <w:rFonts w:hint="eastAsia" w:ascii="宋体" w:hAnsi="宋体" w:eastAsia="宋体" w:cs="宋体"/>
                <w:sz w:val="24"/>
              </w:rPr>
              <w:t>尊重</w:t>
            </w:r>
            <w:r>
              <w:rPr>
                <w:rFonts w:hint="eastAsia" w:ascii="宋体" w:hAnsi="宋体" w:cs="宋体"/>
                <w:sz w:val="24"/>
                <w:lang w:val="en-US" w:eastAsia="zh-CN"/>
              </w:rPr>
              <w:t>磋商</w:t>
            </w:r>
            <w:r>
              <w:rPr>
                <w:rFonts w:hint="eastAsia" w:ascii="宋体" w:hAnsi="宋体" w:eastAsia="宋体" w:cs="宋体"/>
                <w:sz w:val="24"/>
              </w:rPr>
              <w:t>小组的评审结论及成交结果。</w:t>
            </w:r>
          </w:p>
        </w:tc>
      </w:tr>
      <w:tr>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rPr>
                <w:rFonts w:hint="eastAsia" w:ascii="宋体" w:hAnsi="宋体" w:eastAsia="宋体" w:cs="宋体"/>
                <w:sz w:val="24"/>
              </w:rPr>
            </w:pPr>
            <w:r>
              <w:rPr>
                <w:rFonts w:hint="eastAsia" w:ascii="宋体" w:hAnsi="宋体" w:eastAsia="宋体" w:cs="宋体"/>
                <w:sz w:val="24"/>
              </w:rPr>
              <w:t>如若成交，将根据竞争性</w:t>
            </w:r>
            <w:r>
              <w:rPr>
                <w:rFonts w:hint="eastAsia" w:ascii="宋体" w:hAnsi="宋体" w:cs="宋体"/>
                <w:sz w:val="24"/>
                <w:lang w:val="en-US" w:eastAsia="zh-CN"/>
              </w:rPr>
              <w:t>磋商</w:t>
            </w:r>
            <w:r>
              <w:rPr>
                <w:rFonts w:hint="eastAsia" w:ascii="宋体" w:hAnsi="宋体" w:eastAsia="宋体" w:cs="宋体"/>
                <w:sz w:val="24"/>
              </w:rPr>
              <w:t>文件的要求、响应文件及承诺条件，全面签约并履行约定书规定的责任和义务。</w:t>
            </w:r>
          </w:p>
        </w:tc>
      </w:tr>
      <w:tr>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59"/>
              <w:rPr>
                <w:rFonts w:hint="eastAsia" w:ascii="宋体" w:hAnsi="宋体" w:eastAsia="宋体" w:cs="宋体"/>
                <w:sz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1260"/>
              </w:tabs>
              <w:spacing w:line="300" w:lineRule="exact"/>
              <w:rPr>
                <w:rFonts w:hint="eastAsia" w:ascii="宋体" w:hAnsi="宋体" w:eastAsia="宋体" w:cs="宋体"/>
                <w:sz w:val="24"/>
              </w:rPr>
            </w:pPr>
            <w:r>
              <w:rPr>
                <w:rFonts w:hint="eastAsia" w:ascii="宋体" w:hAnsi="宋体" w:eastAsia="宋体" w:cs="宋体"/>
                <w:bCs/>
                <w:sz w:val="24"/>
              </w:rPr>
              <w:t>本响应函有效期</w:t>
            </w:r>
            <w:r>
              <w:rPr>
                <w:rFonts w:hint="eastAsia" w:ascii="宋体" w:hAnsi="宋体" w:cs="宋体"/>
                <w:bCs/>
                <w:sz w:val="24"/>
                <w:lang w:val="en-US" w:eastAsia="zh-CN"/>
              </w:rPr>
              <w:t xml:space="preserve">  年  月  日-  年  月  日</w:t>
            </w:r>
            <w:r>
              <w:rPr>
                <w:rFonts w:hint="eastAsia" w:ascii="宋体" w:hAnsi="宋体" w:eastAsia="宋体" w:cs="宋体"/>
                <w:bCs/>
                <w:sz w:val="24"/>
              </w:rPr>
              <w:t>。</w:t>
            </w:r>
          </w:p>
        </w:tc>
      </w:tr>
      <w:tr>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1260"/>
              </w:tabs>
              <w:rPr>
                <w:rFonts w:hint="eastAsia" w:ascii="宋体" w:hAnsi="宋体" w:eastAsia="宋体" w:cs="宋体"/>
                <w:sz w:val="24"/>
              </w:rPr>
            </w:pPr>
            <w:r>
              <w:rPr>
                <w:rFonts w:hint="eastAsia" w:ascii="宋体" w:hAnsi="宋体" w:eastAsia="宋体" w:cs="宋体"/>
                <w:sz w:val="24"/>
              </w:rPr>
              <w:t>有关本次竞争性</w:t>
            </w:r>
            <w:r>
              <w:rPr>
                <w:rFonts w:hint="eastAsia" w:ascii="宋体" w:hAnsi="宋体" w:cs="宋体"/>
                <w:sz w:val="24"/>
                <w:lang w:val="en-US" w:eastAsia="zh-CN"/>
              </w:rPr>
              <w:t>磋商</w:t>
            </w:r>
            <w:r>
              <w:rPr>
                <w:rFonts w:hint="eastAsia" w:ascii="宋体" w:hAnsi="宋体" w:eastAsia="宋体" w:cs="宋体"/>
                <w:sz w:val="24"/>
              </w:rPr>
              <w:t>的所有联络函电，请按下列方式联系：</w:t>
            </w:r>
          </w:p>
        </w:tc>
      </w:tr>
      <w:tr>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开户银行</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账    号</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394"/>
              <w:jc w:val="center"/>
              <w:rPr>
                <w:rFonts w:hint="eastAsia" w:ascii="宋体" w:hAnsi="宋体" w:eastAsia="宋体" w:cs="宋体"/>
                <w:sz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59"/>
              <w:rPr>
                <w:rFonts w:hint="eastAsia" w:ascii="宋体" w:hAnsi="宋体" w:eastAsia="宋体" w:cs="宋体"/>
                <w:sz w:val="24"/>
              </w:rPr>
            </w:pPr>
          </w:p>
        </w:tc>
      </w:tr>
      <w:tr>
        <w:tblPrEx>
          <w:tblCellMar>
            <w:top w:w="0" w:type="dxa"/>
            <w:left w:w="108" w:type="dxa"/>
            <w:bottom w:w="0" w:type="dxa"/>
            <w:right w:w="108" w:type="dxa"/>
          </w:tblCellMar>
        </w:tblPrEx>
        <w:trPr>
          <w:trHeight w:val="756" w:hRule="atLeast"/>
        </w:trPr>
        <w:tc>
          <w:tcPr>
            <w:tcW w:w="3146" w:type="dxa"/>
            <w:gridSpan w:val="4"/>
            <w:tcBorders>
              <w:top w:val="single" w:color="auto" w:sz="4" w:space="0"/>
              <w:left w:val="single" w:color="auto" w:sz="4" w:space="0"/>
              <w:bottom w:val="single" w:color="auto" w:sz="4" w:space="0"/>
            </w:tcBorders>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144" w:type="dxa"/>
            <w:gridSpan w:val="3"/>
            <w:tcBorders>
              <w:top w:val="single" w:color="auto" w:sz="4" w:space="0"/>
              <w:left w:val="single" w:color="auto" w:sz="4" w:space="0"/>
              <w:bottom w:val="single" w:color="auto" w:sz="4" w:space="0"/>
            </w:tcBorders>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tblPrEx>
          <w:tblCellMar>
            <w:top w:w="0" w:type="dxa"/>
            <w:left w:w="108" w:type="dxa"/>
            <w:bottom w:w="0" w:type="dxa"/>
            <w:right w:w="108" w:type="dxa"/>
          </w:tblCellMar>
        </w:tblPrEx>
        <w:trPr>
          <w:trHeight w:val="2974" w:hRule="atLeast"/>
        </w:trPr>
        <w:tc>
          <w:tcPr>
            <w:tcW w:w="3146" w:type="dxa"/>
            <w:gridSpan w:val="4"/>
            <w:tcBorders>
              <w:top w:val="single" w:color="auto" w:sz="4" w:space="0"/>
              <w:left w:val="single" w:color="auto" w:sz="4" w:space="0"/>
              <w:bottom w:val="single" w:color="auto" w:sz="4" w:space="0"/>
            </w:tcBorders>
            <w:noWrap w:val="0"/>
            <w:vAlign w:val="center"/>
          </w:tcPr>
          <w:p>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（签字或盖章）</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pPr>
        <w:pStyle w:val="2"/>
        <w:rPr>
          <w:rFonts w:hint="eastAsia" w:ascii="宋体" w:hAnsi="宋体" w:eastAsia="宋体" w:cs="宋体"/>
          <w:b/>
          <w:color w:val="000000" w:themeColor="text1"/>
          <w:sz w:val="24"/>
          <w14:textFill>
            <w14:solidFill>
              <w14:schemeClr w14:val="tx1"/>
            </w14:solidFill>
          </w14:textFill>
        </w:rPr>
      </w:pPr>
    </w:p>
    <w:p>
      <w:pPr>
        <w:pStyle w:val="2"/>
        <w:rPr>
          <w:rFonts w:hint="eastAsia" w:ascii="宋体" w:hAnsi="宋体" w:eastAsia="宋体" w:cs="宋体"/>
          <w:b/>
          <w:color w:val="000000" w:themeColor="text1"/>
          <w:sz w:val="24"/>
          <w14:textFill>
            <w14:solidFill>
              <w14:schemeClr w14:val="tx1"/>
            </w14:solidFill>
          </w14:textFill>
        </w:rPr>
      </w:pPr>
    </w:p>
    <w:p>
      <w:pPr>
        <w:pStyle w:val="2"/>
        <w:rPr>
          <w:rFonts w:hint="eastAsia" w:ascii="宋体" w:hAnsi="宋体" w:eastAsia="宋体" w:cs="宋体"/>
          <w:b/>
          <w:color w:val="000000" w:themeColor="text1"/>
          <w:sz w:val="24"/>
          <w14:textFill>
            <w14:solidFill>
              <w14:schemeClr w14:val="tx1"/>
            </w14:solidFill>
          </w14:textFill>
        </w:rPr>
      </w:pPr>
    </w:p>
    <w:bookmarkEnd w:id="283"/>
    <w:bookmarkEnd w:id="284"/>
    <w:bookmarkEnd w:id="285"/>
    <w:bookmarkEnd w:id="286"/>
    <w:bookmarkEnd w:id="287"/>
    <w:bookmarkEnd w:id="288"/>
    <w:p>
      <w:pPr>
        <w:pStyle w:val="4"/>
        <w:bidi w:val="0"/>
        <w:jc w:val="center"/>
        <w:outlineLvl w:val="0"/>
        <w:rPr>
          <w:rFonts w:hint="eastAsia" w:ascii="宋体" w:hAnsi="宋体" w:eastAsia="宋体" w:cs="宋体"/>
          <w:b/>
          <w:color w:val="000000"/>
          <w:sz w:val="24"/>
          <w:lang w:eastAsia="zh-CN"/>
        </w:rPr>
      </w:pPr>
      <w:bookmarkStart w:id="289" w:name="_Toc14372"/>
      <w:bookmarkStart w:id="290" w:name="_Toc1236"/>
      <w:bookmarkStart w:id="291" w:name="_Toc6401"/>
      <w:bookmarkStart w:id="292" w:name="_Toc11938"/>
      <w:bookmarkStart w:id="293" w:name="_Toc5030"/>
      <w:bookmarkStart w:id="294" w:name="_Toc30278"/>
      <w:bookmarkStart w:id="295" w:name="_Toc8423"/>
      <w:bookmarkStart w:id="296" w:name="_Toc7085"/>
      <w:bookmarkStart w:id="297" w:name="_Toc8887"/>
      <w:bookmarkStart w:id="298" w:name="_Toc28635"/>
      <w:r>
        <w:rPr>
          <w:rStyle w:val="108"/>
          <w:rFonts w:hint="eastAsia"/>
          <w:b/>
          <w:lang w:val="en-US" w:eastAsia="zh-CN"/>
        </w:rPr>
        <w:t>二、已标价工程量清单</w:t>
      </w:r>
      <w:bookmarkEnd w:id="289"/>
      <w:bookmarkEnd w:id="290"/>
      <w:bookmarkEnd w:id="291"/>
      <w:bookmarkEnd w:id="292"/>
      <w:bookmarkEnd w:id="293"/>
      <w:bookmarkEnd w:id="294"/>
      <w:bookmarkEnd w:id="295"/>
      <w:bookmarkEnd w:id="296"/>
      <w:bookmarkEnd w:id="297"/>
      <w:bookmarkEnd w:id="298"/>
    </w:p>
    <w:p>
      <w:pPr>
        <w:numPr>
          <w:ilvl w:val="0"/>
          <w:numId w:val="0"/>
        </w:numPr>
        <w:overflowPunct w:val="0"/>
        <w:spacing w:line="360" w:lineRule="auto"/>
        <w:jc w:val="center"/>
        <w:rPr>
          <w:rFonts w:hint="eastAsia" w:ascii="宋体" w:hAnsi="宋体" w:eastAsia="宋体" w:cs="宋体"/>
          <w:b w:val="0"/>
          <w:bCs/>
          <w:color w:val="000000"/>
          <w:sz w:val="24"/>
          <w:lang w:eastAsia="zh-CN"/>
        </w:rPr>
      </w:pPr>
      <w:r>
        <w:rPr>
          <w:rFonts w:hint="eastAsia" w:ascii="宋体" w:hAnsi="宋体" w:eastAsia="宋体" w:cs="宋体"/>
          <w:b w:val="0"/>
          <w:bCs/>
          <w:color w:val="000000"/>
          <w:sz w:val="24"/>
          <w:lang w:eastAsia="zh-CN"/>
        </w:rPr>
        <w:t>（格式自拟）</w:t>
      </w:r>
    </w:p>
    <w:p>
      <w:pPr>
        <w:numPr>
          <w:ilvl w:val="0"/>
          <w:numId w:val="0"/>
        </w:numPr>
        <w:overflowPunct w:val="0"/>
        <w:spacing w:line="360" w:lineRule="auto"/>
        <w:jc w:val="both"/>
        <w:rPr>
          <w:rFonts w:hint="eastAsia" w:ascii="宋体" w:hAnsi="宋体" w:eastAsia="宋体" w:cs="宋体"/>
          <w:b/>
          <w:color w:val="000000"/>
          <w:sz w:val="24"/>
          <w:lang w:eastAsia="zh-CN"/>
        </w:rPr>
      </w:pPr>
    </w:p>
    <w:p>
      <w:pPr>
        <w:tabs>
          <w:tab w:val="left" w:pos="5110"/>
        </w:tabs>
        <w:ind w:right="280"/>
        <w:jc w:val="center"/>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numPr>
          <w:ilvl w:val="0"/>
          <w:numId w:val="0"/>
        </w:numPr>
        <w:overflowPunct w:val="0"/>
        <w:spacing w:line="360" w:lineRule="auto"/>
        <w:jc w:val="both"/>
        <w:rPr>
          <w:rFonts w:hint="eastAsia" w:ascii="宋体" w:hAnsi="宋体" w:eastAsia="宋体" w:cs="宋体"/>
          <w:b/>
          <w:color w:val="000000"/>
          <w:sz w:val="24"/>
          <w:lang w:eastAsia="zh-CN"/>
        </w:rPr>
      </w:pPr>
    </w:p>
    <w:p>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（盖章）：</w:t>
      </w:r>
    </w:p>
    <w:p>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法人代表或委托代理人（签字</w:t>
      </w:r>
      <w:r>
        <w:rPr>
          <w:rFonts w:hint="eastAsia" w:ascii="宋体" w:hAnsi="宋体" w:cs="宋体"/>
          <w:color w:val="000000"/>
          <w:sz w:val="24"/>
          <w:lang w:val="en-US" w:eastAsia="zh-CN"/>
        </w:rPr>
        <w:t>和</w:t>
      </w:r>
      <w:r>
        <w:rPr>
          <w:rFonts w:hint="eastAsia" w:ascii="宋体" w:hAnsi="宋体" w:eastAsia="宋体" w:cs="宋体"/>
          <w:color w:val="000000"/>
          <w:sz w:val="24"/>
        </w:rPr>
        <w:t>盖章）：</w:t>
      </w:r>
    </w:p>
    <w:p>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pStyle w:val="2"/>
        <w:rPr>
          <w:rFonts w:hint="eastAsia" w:ascii="黑体" w:hAnsi="黑体" w:eastAsia="黑体" w:cs="黑体"/>
          <w:sz w:val="32"/>
          <w:szCs w:val="44"/>
          <w:u w:val="single"/>
        </w:rPr>
      </w:pPr>
    </w:p>
    <w:p>
      <w:pPr>
        <w:spacing w:line="360" w:lineRule="auto"/>
        <w:jc w:val="both"/>
        <w:rPr>
          <w:rFonts w:hint="eastAsia" w:ascii="宋体" w:hAnsi="宋体" w:eastAsia="宋体" w:cs="宋体"/>
          <w:b/>
          <w:color w:val="000000" w:themeColor="text1"/>
          <w:sz w:val="28"/>
          <w:szCs w:val="28"/>
          <w14:textFill>
            <w14:solidFill>
              <w14:schemeClr w14:val="tx1"/>
            </w14:solidFill>
          </w14:textFill>
        </w:rPr>
      </w:pPr>
      <w:bookmarkStart w:id="299" w:name="_Toc8191"/>
      <w:bookmarkStart w:id="300" w:name="_Toc421778388"/>
      <w:bookmarkStart w:id="301" w:name="_Toc500323112"/>
      <w:bookmarkStart w:id="302" w:name="_Toc526842727"/>
      <w:bookmarkStart w:id="303" w:name="_Toc420591669"/>
      <w:bookmarkStart w:id="304" w:name="_Toc425240483"/>
      <w:bookmarkStart w:id="305" w:name="_Toc29180"/>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三、法定代表人身份证明</w:t>
      </w:r>
      <w:bookmarkEnd w:id="299"/>
      <w:bookmarkEnd w:id="300"/>
      <w:bookmarkEnd w:id="301"/>
      <w:bookmarkEnd w:id="302"/>
      <w:bookmarkEnd w:id="303"/>
      <w:bookmarkEnd w:id="304"/>
      <w:bookmarkEnd w:id="305"/>
    </w:p>
    <w:tbl>
      <w:tblPr>
        <w:tblStyle w:val="3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pPr>
              <w:tabs>
                <w:tab w:val="left" w:pos="1260"/>
              </w:tabs>
              <w:spacing w:line="440" w:lineRule="exact"/>
              <w:rPr>
                <w:rFonts w:hint="eastAsia" w:ascii="宋体" w:hAnsi="宋体" w:eastAsia="宋体" w:cs="宋体"/>
                <w:bCs/>
                <w:sz w:val="24"/>
                <w:lang w:eastAsia="zh-CN"/>
              </w:rPr>
            </w:pPr>
            <w:bookmarkStart w:id="306" w:name="_Toc421778389"/>
            <w:bookmarkStart w:id="307" w:name="_Toc526842728"/>
            <w:bookmarkStart w:id="308" w:name="_Toc425240484"/>
            <w:bookmarkStart w:id="309" w:name="_Toc13782"/>
            <w:bookmarkStart w:id="310" w:name="_Toc420591670"/>
            <w:bookmarkStart w:id="311" w:name="_Toc32762"/>
            <w:bookmarkStart w:id="312" w:name="_Toc500323113"/>
            <w:r>
              <w:rPr>
                <w:rFonts w:hint="eastAsia" w:ascii="宋体" w:hAnsi="宋体" w:eastAsia="宋体" w:cs="宋体"/>
                <w:sz w:val="24"/>
              </w:rPr>
              <w:t>致：</w:t>
            </w:r>
            <w:r>
              <w:rPr>
                <w:rFonts w:hint="eastAsia" w:ascii="宋体" w:hAnsi="宋体" w:cs="宋体"/>
                <w:sz w:val="24"/>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top"/>
          </w:tcPr>
          <w:p>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top"/>
          </w:tcPr>
          <w:p>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pPr>
              <w:tabs>
                <w:tab w:val="left" w:pos="1260"/>
              </w:tabs>
              <w:spacing w:line="440" w:lineRule="exac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pPr>
              <w:tabs>
                <w:tab w:val="left" w:pos="1260"/>
              </w:tabs>
              <w:spacing w:line="440" w:lineRule="exact"/>
              <w:rPr>
                <w:rFonts w:hint="eastAsia" w:ascii="宋体" w:hAnsi="宋体" w:eastAsia="宋体" w:cs="宋体"/>
                <w:sz w:val="24"/>
              </w:rPr>
            </w:pPr>
          </w:p>
        </w:tc>
        <w:tc>
          <w:tcPr>
            <w:tcW w:w="1039"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pPr>
              <w:tabs>
                <w:tab w:val="left" w:pos="1260"/>
              </w:tabs>
              <w:spacing w:line="440" w:lineRule="exact"/>
              <w:rPr>
                <w:rFonts w:hint="eastAsia" w:ascii="宋体" w:hAnsi="宋体" w:eastAsia="宋体" w:cs="宋体"/>
                <w:sz w:val="24"/>
              </w:rPr>
            </w:pPr>
          </w:p>
        </w:tc>
        <w:tc>
          <w:tcPr>
            <w:tcW w:w="1039"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pPr>
              <w:rPr>
                <w:rFonts w:hint="eastAsia" w:ascii="宋体" w:hAnsi="宋体" w:eastAsia="宋体" w:cs="宋体"/>
                <w:sz w:val="24"/>
              </w:rPr>
            </w:pPr>
          </w:p>
        </w:tc>
        <w:tc>
          <w:tcPr>
            <w:tcW w:w="2240" w:type="dxa"/>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pPr>
              <w:tabs>
                <w:tab w:val="left" w:pos="1260"/>
              </w:tabs>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pPr>
              <w:rPr>
                <w:rFonts w:hint="eastAsia" w:ascii="宋体" w:hAnsi="宋体" w:eastAsia="宋体" w:cs="宋体"/>
                <w:sz w:val="24"/>
              </w:rPr>
            </w:pPr>
          </w:p>
        </w:tc>
        <w:tc>
          <w:tcPr>
            <w:tcW w:w="5190" w:type="dxa"/>
            <w:gridSpan w:val="2"/>
            <w:vMerge w:val="continue"/>
            <w:noWrap w:val="0"/>
            <w:vAlign w:val="top"/>
          </w:tcPr>
          <w:p>
            <w:pPr>
              <w:rPr>
                <w:rFonts w:hint="eastAsia" w:ascii="宋体" w:hAnsi="宋体" w:eastAsia="宋体" w:cs="宋体"/>
                <w:sz w:val="24"/>
              </w:rPr>
            </w:pPr>
          </w:p>
        </w:tc>
        <w:tc>
          <w:tcPr>
            <w:tcW w:w="3190" w:type="dxa"/>
            <w:gridSpan w:val="2"/>
            <w:noWrap w:val="0"/>
            <w:vAlign w:val="center"/>
          </w:tcPr>
          <w:p>
            <w:pPr>
              <w:tabs>
                <w:tab w:val="left" w:pos="1260"/>
              </w:tabs>
              <w:spacing w:line="440" w:lineRule="exact"/>
              <w:ind w:firstLine="459"/>
              <w:jc w:val="center"/>
              <w:rPr>
                <w:rFonts w:hint="eastAsia" w:ascii="宋体" w:hAnsi="宋体" w:eastAsia="宋体" w:cs="宋体"/>
                <w:sz w:val="24"/>
              </w:rPr>
            </w:pPr>
          </w:p>
          <w:p>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pPr>
              <w:tabs>
                <w:tab w:val="left" w:pos="1260"/>
              </w:tabs>
              <w:spacing w:line="440" w:lineRule="exact"/>
              <w:ind w:firstLine="459"/>
              <w:jc w:val="center"/>
              <w:rPr>
                <w:rFonts w:hint="eastAsia" w:ascii="宋体" w:hAnsi="宋体" w:eastAsia="宋体" w:cs="宋体"/>
                <w:sz w:val="24"/>
              </w:rPr>
            </w:pPr>
          </w:p>
          <w:p>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pPr>
        <w:keepLines/>
        <w:pageBreakBefore/>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313" w:name="_Toc16096"/>
      <w:r>
        <w:rPr>
          <w:rFonts w:hint="eastAsia" w:ascii="宋体" w:hAnsi="宋体" w:eastAsia="宋体" w:cs="宋体"/>
          <w:b/>
          <w:color w:val="000000" w:themeColor="text1"/>
          <w:sz w:val="28"/>
          <w:szCs w:val="28"/>
          <w14:textFill>
            <w14:solidFill>
              <w14:schemeClr w14:val="tx1"/>
            </w14:solidFill>
          </w14:textFill>
        </w:rPr>
        <w:t>四、法定代表人授权委托书</w:t>
      </w:r>
      <w:bookmarkEnd w:id="306"/>
      <w:bookmarkEnd w:id="307"/>
      <w:bookmarkEnd w:id="308"/>
      <w:bookmarkEnd w:id="309"/>
      <w:bookmarkEnd w:id="310"/>
      <w:bookmarkEnd w:id="311"/>
      <w:bookmarkEnd w:id="312"/>
      <w:bookmarkEnd w:id="313"/>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460" w:type="dxa"/>
            <w:gridSpan w:val="7"/>
            <w:noWrap w:val="0"/>
            <w:vAlign w:val="center"/>
          </w:tcPr>
          <w:p>
            <w:pPr>
              <w:tabs>
                <w:tab w:val="left" w:pos="1260"/>
              </w:tabs>
              <w:spacing w:line="360" w:lineRule="auto"/>
              <w:ind w:firstLine="134" w:firstLineChars="56"/>
              <w:rPr>
                <w:rFonts w:hint="eastAsia" w:ascii="宋体" w:hAnsi="宋体" w:eastAsia="宋体" w:cs="宋体"/>
                <w:color w:val="auto"/>
                <w:sz w:val="24"/>
                <w:szCs w:val="24"/>
              </w:rPr>
            </w:pPr>
            <w:r>
              <w:rPr>
                <w:rFonts w:ascii="宋体" w:hAnsi="宋体" w:cs="宋体"/>
                <w:sz w:val="24"/>
                <w:szCs w:val="24"/>
              </w:rPr>
              <w:t>致：</w:t>
            </w:r>
            <w:r>
              <w:rPr>
                <w:rFonts w:hint="eastAsia" w:ascii="宋体" w:hAnsi="宋体" w:cs="宋体"/>
                <w:sz w:val="24"/>
                <w:szCs w:val="24"/>
                <w:lang w:eastAsia="zh-CN"/>
              </w:rPr>
              <w:t>陕西宸永项目管理有限公司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被授权人</w:t>
            </w:r>
          </w:p>
        </w:tc>
        <w:tc>
          <w:tcPr>
            <w:tcW w:w="2155" w:type="dxa"/>
            <w:gridSpan w:val="2"/>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姓    名</w:t>
            </w:r>
          </w:p>
        </w:tc>
        <w:tc>
          <w:tcPr>
            <w:tcW w:w="1960" w:type="dxa"/>
            <w:gridSpan w:val="2"/>
            <w:noWrap w:val="0"/>
            <w:vAlign w:val="top"/>
          </w:tcPr>
          <w:p>
            <w:pPr>
              <w:tabs>
                <w:tab w:val="left" w:pos="1260"/>
              </w:tabs>
              <w:spacing w:line="360" w:lineRule="auto"/>
              <w:rPr>
                <w:rFonts w:hint="eastAsia" w:ascii="宋体" w:hAnsi="宋体" w:eastAsia="宋体" w:cs="宋体"/>
                <w:color w:val="auto"/>
                <w:sz w:val="24"/>
                <w:szCs w:val="24"/>
              </w:rPr>
            </w:pPr>
          </w:p>
        </w:tc>
        <w:tc>
          <w:tcPr>
            <w:tcW w:w="2156" w:type="dxa"/>
            <w:noWrap w:val="0"/>
            <w:vAlign w:val="top"/>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性    别</w:t>
            </w:r>
          </w:p>
        </w:tc>
        <w:tc>
          <w:tcPr>
            <w:tcW w:w="2370" w:type="dxa"/>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55" w:type="dxa"/>
            <w:gridSpan w:val="2"/>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职    务</w:t>
            </w:r>
          </w:p>
        </w:tc>
        <w:tc>
          <w:tcPr>
            <w:tcW w:w="1960" w:type="dxa"/>
            <w:gridSpan w:val="2"/>
            <w:noWrap w:val="0"/>
            <w:vAlign w:val="top"/>
          </w:tcPr>
          <w:p>
            <w:pPr>
              <w:tabs>
                <w:tab w:val="left" w:pos="1260"/>
              </w:tabs>
              <w:spacing w:line="360" w:lineRule="auto"/>
              <w:rPr>
                <w:rFonts w:hint="eastAsia" w:ascii="宋体" w:hAnsi="宋体" w:eastAsia="宋体" w:cs="宋体"/>
                <w:color w:val="auto"/>
                <w:sz w:val="24"/>
                <w:szCs w:val="24"/>
              </w:rPr>
            </w:pPr>
          </w:p>
        </w:tc>
        <w:tc>
          <w:tcPr>
            <w:tcW w:w="2156" w:type="dxa"/>
            <w:noWrap w:val="0"/>
            <w:vAlign w:val="top"/>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手机号码</w:t>
            </w:r>
          </w:p>
        </w:tc>
        <w:tc>
          <w:tcPr>
            <w:tcW w:w="2370" w:type="dxa"/>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55" w:type="dxa"/>
            <w:gridSpan w:val="2"/>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联系电话</w:t>
            </w:r>
          </w:p>
        </w:tc>
        <w:tc>
          <w:tcPr>
            <w:tcW w:w="1960" w:type="dxa"/>
            <w:gridSpan w:val="2"/>
            <w:noWrap w:val="0"/>
            <w:vAlign w:val="top"/>
          </w:tcPr>
          <w:p>
            <w:pPr>
              <w:tabs>
                <w:tab w:val="left" w:pos="1260"/>
              </w:tabs>
              <w:spacing w:line="360" w:lineRule="auto"/>
              <w:rPr>
                <w:rFonts w:hint="eastAsia" w:ascii="宋体" w:hAnsi="宋体" w:eastAsia="宋体" w:cs="宋体"/>
                <w:color w:val="auto"/>
                <w:sz w:val="24"/>
                <w:szCs w:val="24"/>
              </w:rPr>
            </w:pPr>
          </w:p>
        </w:tc>
        <w:tc>
          <w:tcPr>
            <w:tcW w:w="2156" w:type="dxa"/>
            <w:noWrap w:val="0"/>
            <w:vAlign w:val="top"/>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图文传真</w:t>
            </w:r>
          </w:p>
        </w:tc>
        <w:tc>
          <w:tcPr>
            <w:tcW w:w="2370" w:type="dxa"/>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55" w:type="dxa"/>
            <w:gridSpan w:val="2"/>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通讯地址</w:t>
            </w:r>
          </w:p>
        </w:tc>
        <w:tc>
          <w:tcPr>
            <w:tcW w:w="6486" w:type="dxa"/>
            <w:gridSpan w:val="4"/>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55" w:type="dxa"/>
            <w:gridSpan w:val="2"/>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网    址</w:t>
            </w:r>
          </w:p>
        </w:tc>
        <w:tc>
          <w:tcPr>
            <w:tcW w:w="6486" w:type="dxa"/>
            <w:gridSpan w:val="4"/>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被授权项目与内容</w:t>
            </w:r>
          </w:p>
        </w:tc>
        <w:tc>
          <w:tcPr>
            <w:tcW w:w="2145" w:type="dxa"/>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项目名称</w:t>
            </w:r>
          </w:p>
        </w:tc>
        <w:tc>
          <w:tcPr>
            <w:tcW w:w="6496" w:type="dxa"/>
            <w:gridSpan w:val="5"/>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45" w:type="dxa"/>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文件编号</w:t>
            </w:r>
          </w:p>
        </w:tc>
        <w:tc>
          <w:tcPr>
            <w:tcW w:w="6496" w:type="dxa"/>
            <w:gridSpan w:val="5"/>
            <w:noWrap w:val="0"/>
            <w:vAlign w:val="top"/>
          </w:tcPr>
          <w:p>
            <w:pPr>
              <w:tabs>
                <w:tab w:val="left" w:pos="1260"/>
              </w:tabs>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45" w:type="dxa"/>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授权范围</w:t>
            </w:r>
          </w:p>
        </w:tc>
        <w:tc>
          <w:tcPr>
            <w:tcW w:w="6496" w:type="dxa"/>
            <w:gridSpan w:val="5"/>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全权办理本采购项目的</w:t>
            </w:r>
            <w:r>
              <w:rPr>
                <w:rFonts w:hint="eastAsia" w:ascii="宋体" w:hAnsi="宋体" w:cs="宋体"/>
                <w:sz w:val="24"/>
                <w:szCs w:val="24"/>
                <w:lang w:val="en-US" w:eastAsia="zh-CN"/>
              </w:rPr>
              <w:t>磋商</w:t>
            </w:r>
            <w:r>
              <w:rPr>
                <w:rFonts w:ascii="宋体" w:hAnsi="宋体" w:cs="宋体"/>
                <w:sz w:val="24"/>
                <w:szCs w:val="24"/>
              </w:rPr>
              <w:t>、联系、洽谈、签约、执行等具体事务，签署全部有关的文件、文书、协议及合同。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45" w:type="dxa"/>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法律责任</w:t>
            </w:r>
          </w:p>
        </w:tc>
        <w:tc>
          <w:tcPr>
            <w:tcW w:w="6496" w:type="dxa"/>
            <w:gridSpan w:val="5"/>
            <w:noWrap w:val="0"/>
            <w:vAlign w:val="center"/>
          </w:tcPr>
          <w:p>
            <w:pPr>
              <w:tabs>
                <w:tab w:val="left" w:pos="1260"/>
              </w:tabs>
              <w:spacing w:line="360" w:lineRule="auto"/>
              <w:rPr>
                <w:rFonts w:hint="eastAsia" w:ascii="宋体" w:hAnsi="宋体" w:eastAsia="宋体" w:cs="宋体"/>
                <w:color w:val="auto"/>
                <w:spacing w:val="-10"/>
                <w:sz w:val="24"/>
                <w:szCs w:val="24"/>
              </w:rPr>
            </w:pPr>
            <w:r>
              <w:rPr>
                <w:rFonts w:ascii="宋体" w:hAnsi="宋体" w:cs="宋体"/>
                <w:spacing w:val="-10"/>
                <w:sz w:val="24"/>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pPr>
              <w:tabs>
                <w:tab w:val="left" w:pos="1260"/>
              </w:tabs>
              <w:spacing w:line="360" w:lineRule="auto"/>
              <w:rPr>
                <w:rFonts w:hint="eastAsia" w:ascii="宋体" w:hAnsi="宋体" w:eastAsia="宋体" w:cs="宋体"/>
                <w:color w:val="auto"/>
                <w:sz w:val="24"/>
                <w:szCs w:val="24"/>
              </w:rPr>
            </w:pPr>
          </w:p>
        </w:tc>
        <w:tc>
          <w:tcPr>
            <w:tcW w:w="2145" w:type="dxa"/>
            <w:noWrap w:val="0"/>
            <w:vAlign w:val="center"/>
          </w:tcPr>
          <w:p>
            <w:pPr>
              <w:tabs>
                <w:tab w:val="left" w:pos="1260"/>
              </w:tabs>
              <w:spacing w:line="360" w:lineRule="auto"/>
              <w:rPr>
                <w:rFonts w:hint="eastAsia" w:ascii="宋体" w:hAnsi="宋体" w:eastAsia="宋体" w:cs="宋体"/>
                <w:color w:val="auto"/>
                <w:sz w:val="24"/>
                <w:szCs w:val="24"/>
              </w:rPr>
            </w:pPr>
            <w:r>
              <w:rPr>
                <w:rFonts w:ascii="宋体" w:hAnsi="宋体" w:cs="宋体"/>
                <w:sz w:val="24"/>
                <w:szCs w:val="24"/>
              </w:rPr>
              <w:t>授权期限</w:t>
            </w:r>
          </w:p>
        </w:tc>
        <w:tc>
          <w:tcPr>
            <w:tcW w:w="6496" w:type="dxa"/>
            <w:gridSpan w:val="5"/>
            <w:noWrap w:val="0"/>
            <w:vAlign w:val="center"/>
          </w:tcPr>
          <w:p>
            <w:pPr>
              <w:tabs>
                <w:tab w:val="left" w:pos="1260"/>
              </w:tabs>
              <w:spacing w:line="360" w:lineRule="auto"/>
              <w:rPr>
                <w:rFonts w:hint="eastAsia" w:ascii="宋体" w:hAnsi="宋体" w:eastAsia="宋体" w:cs="宋体"/>
                <w:color w:val="auto"/>
                <w:sz w:val="24"/>
                <w:szCs w:val="24"/>
                <w:lang w:eastAsia="zh-CN"/>
              </w:rPr>
            </w:pPr>
            <w:r>
              <w:rPr>
                <w:rFonts w:hint="eastAsia" w:ascii="宋体" w:hAnsi="宋体" w:cs="宋体"/>
                <w:sz w:val="24"/>
                <w:szCs w:val="24"/>
                <w:lang w:val="en-US" w:eastAsia="zh-CN"/>
              </w:rPr>
              <w:t>自本委托书签署之日起至投标有效期期满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4623" w:type="dxa"/>
            <w:gridSpan w:val="4"/>
            <w:noWrap w:val="0"/>
            <w:vAlign w:val="center"/>
          </w:tcPr>
          <w:p>
            <w:pPr>
              <w:tabs>
                <w:tab w:val="left" w:pos="1260"/>
              </w:tabs>
              <w:spacing w:line="360" w:lineRule="auto"/>
              <w:jc w:val="center"/>
              <w:rPr>
                <w:rFonts w:ascii="宋体" w:hAnsi="宋体" w:cs="宋体"/>
                <w:sz w:val="24"/>
                <w:szCs w:val="24"/>
              </w:rPr>
            </w:pPr>
            <w:r>
              <w:rPr>
                <w:rFonts w:hint="eastAsia" w:ascii="宋体" w:hAnsi="宋体" w:cs="宋体"/>
                <w:sz w:val="24"/>
                <w:szCs w:val="24"/>
                <w:lang w:val="en-US" w:eastAsia="zh-CN"/>
              </w:rPr>
              <w:t>法定代表人</w:t>
            </w:r>
            <w:r>
              <w:rPr>
                <w:rFonts w:ascii="宋体" w:hAnsi="宋体" w:cs="宋体"/>
                <w:sz w:val="24"/>
                <w:szCs w:val="24"/>
              </w:rPr>
              <w:t>身份证复印件</w:t>
            </w:r>
          </w:p>
          <w:p>
            <w:pPr>
              <w:tabs>
                <w:tab w:val="left" w:pos="1260"/>
              </w:tabs>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（正反面粘贴处）</w:t>
            </w:r>
          </w:p>
        </w:tc>
        <w:tc>
          <w:tcPr>
            <w:tcW w:w="4837" w:type="dxa"/>
            <w:gridSpan w:val="3"/>
            <w:noWrap w:val="0"/>
            <w:vAlign w:val="center"/>
          </w:tcPr>
          <w:p>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pPr>
              <w:tabs>
                <w:tab w:val="left" w:pos="1260"/>
              </w:tabs>
              <w:spacing w:line="360" w:lineRule="auto"/>
              <w:jc w:val="center"/>
              <w:rPr>
                <w:rFonts w:hint="eastAsia" w:ascii="宋体" w:hAnsi="宋体" w:eastAsia="宋体" w:cs="宋体"/>
                <w:color w:val="auto"/>
                <w:sz w:val="24"/>
                <w:szCs w:val="24"/>
              </w:rPr>
            </w:pPr>
            <w:r>
              <w:rPr>
                <w:rFonts w:hint="eastAsia" w:ascii="宋体" w:hAnsi="宋体" w:cs="宋体"/>
                <w:sz w:val="24"/>
                <w:szCs w:val="24"/>
              </w:rPr>
              <w:t>（正反面粘贴处）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623" w:type="dxa"/>
            <w:gridSpan w:val="4"/>
            <w:noWrap w:val="0"/>
            <w:vAlign w:val="center"/>
          </w:tcPr>
          <w:p>
            <w:pPr>
              <w:tabs>
                <w:tab w:val="left" w:pos="1260"/>
              </w:tabs>
              <w:spacing w:line="360" w:lineRule="auto"/>
              <w:jc w:val="center"/>
              <w:rPr>
                <w:rFonts w:hint="eastAsia" w:ascii="宋体" w:hAnsi="宋体" w:eastAsia="宋体" w:cs="宋体"/>
                <w:color w:val="auto"/>
                <w:sz w:val="24"/>
                <w:szCs w:val="24"/>
              </w:rPr>
            </w:pPr>
            <w:r>
              <w:rPr>
                <w:rFonts w:hint="eastAsia" w:ascii="宋体" w:hAnsi="宋体" w:cs="宋体"/>
                <w:sz w:val="24"/>
              </w:rPr>
              <w:t>法定代表人签字或盖章</w:t>
            </w:r>
            <w:r>
              <w:rPr>
                <w:rFonts w:hint="eastAsia" w:ascii="宋体" w:hAnsi="宋体" w:cs="宋体"/>
                <w:sz w:val="24"/>
                <w:lang w:eastAsia="zh-CN"/>
              </w:rPr>
              <w:t>：</w:t>
            </w:r>
          </w:p>
        </w:tc>
        <w:tc>
          <w:tcPr>
            <w:tcW w:w="4837" w:type="dxa"/>
            <w:gridSpan w:val="3"/>
            <w:noWrap w:val="0"/>
            <w:vAlign w:val="center"/>
          </w:tcPr>
          <w:p>
            <w:pPr>
              <w:tabs>
                <w:tab w:val="left" w:pos="1260"/>
              </w:tabs>
              <w:spacing w:line="360" w:lineRule="auto"/>
              <w:jc w:val="center"/>
              <w:rPr>
                <w:rFonts w:hint="eastAsia" w:ascii="宋体" w:hAnsi="宋体" w:eastAsia="宋体" w:cs="宋体"/>
                <w:color w:val="auto"/>
                <w:sz w:val="24"/>
                <w:szCs w:val="24"/>
              </w:rPr>
            </w:pPr>
            <w:r>
              <w:rPr>
                <w:rFonts w:hint="eastAsia" w:ascii="宋体" w:hAnsi="宋体" w:cs="宋体"/>
                <w:sz w:val="24"/>
              </w:rPr>
              <w:t>被授权人签字或盖章</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460" w:type="dxa"/>
            <w:gridSpan w:val="7"/>
            <w:noWrap w:val="0"/>
            <w:vAlign w:val="center"/>
          </w:tcPr>
          <w:p>
            <w:pPr>
              <w:spacing w:line="360" w:lineRule="auto"/>
              <w:rPr>
                <w:rFonts w:hint="eastAsia" w:ascii="宋体" w:hAnsi="宋体" w:eastAsia="宋体" w:cs="宋体"/>
                <w:color w:val="auto"/>
                <w:sz w:val="24"/>
                <w:szCs w:val="24"/>
              </w:rPr>
            </w:pPr>
            <w:r>
              <w:rPr>
                <w:rFonts w:hint="eastAsia" w:ascii="宋体" w:hAnsi="宋体" w:cs="宋体"/>
                <w:b w:val="0"/>
                <w:bCs/>
                <w:color w:val="000000"/>
                <w:sz w:val="24"/>
                <w:szCs w:val="24"/>
              </w:rPr>
              <w:t>投标人：</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u w:val="single"/>
                <w:lang w:val="en-US" w:eastAsia="zh-CN"/>
              </w:rPr>
              <w:t xml:space="preserve">   </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rPr>
              <w:t>（盖章）</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rPr>
              <w:t>日期：  年  月  日</w:t>
            </w:r>
          </w:p>
        </w:tc>
      </w:tr>
    </w:tbl>
    <w:p>
      <w:pPr>
        <w:pStyle w:val="17"/>
        <w:rPr>
          <w:rFonts w:hint="eastAsia"/>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eepLines/>
        <w:pageBreakBefore/>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314" w:name="_Toc3574"/>
      <w:bookmarkStart w:id="315" w:name="_Toc500323115"/>
      <w:bookmarkStart w:id="316" w:name="_Toc18320"/>
      <w:bookmarkStart w:id="317" w:name="_Toc526842730"/>
      <w:bookmarkStart w:id="318" w:name="_Toc425240485"/>
      <w:bookmarkStart w:id="319" w:name="_Toc421778390"/>
      <w:r>
        <w:rPr>
          <w:rFonts w:hint="eastAsia" w:ascii="宋体" w:hAnsi="宋体" w:cs="宋体"/>
          <w:b/>
          <w:color w:val="000000" w:themeColor="text1"/>
          <w:sz w:val="28"/>
          <w:szCs w:val="28"/>
          <w:lang w:eastAsia="zh-CN"/>
          <w14:textFill>
            <w14:solidFill>
              <w14:schemeClr w14:val="tx1"/>
            </w14:solidFill>
          </w14:textFill>
        </w:rPr>
        <w:t>五</w:t>
      </w:r>
      <w:r>
        <w:rPr>
          <w:rFonts w:hint="eastAsia" w:ascii="宋体" w:hAnsi="宋体" w:eastAsia="宋体" w:cs="宋体"/>
          <w:b/>
          <w:color w:val="000000" w:themeColor="text1"/>
          <w:sz w:val="28"/>
          <w:szCs w:val="28"/>
          <w14:textFill>
            <w14:solidFill>
              <w14:schemeClr w14:val="tx1"/>
            </w14:solidFill>
          </w14:textFill>
        </w:rPr>
        <w:t>、技术</w:t>
      </w:r>
      <w:bookmarkEnd w:id="314"/>
      <w:bookmarkEnd w:id="315"/>
      <w:r>
        <w:rPr>
          <w:rFonts w:hint="eastAsia" w:ascii="宋体" w:hAnsi="宋体" w:eastAsia="宋体" w:cs="宋体"/>
          <w:b/>
          <w:color w:val="000000" w:themeColor="text1"/>
          <w:sz w:val="28"/>
          <w:szCs w:val="28"/>
          <w14:textFill>
            <w14:solidFill>
              <w14:schemeClr w14:val="tx1"/>
            </w14:solidFill>
          </w14:textFill>
        </w:rPr>
        <w:t>方案</w:t>
      </w:r>
      <w:bookmarkEnd w:id="316"/>
      <w:bookmarkEnd w:id="317"/>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ascii="宋体" w:hAnsi="宋体" w:eastAsia="宋体" w:cs="宋体"/>
          <w:color w:val="000000" w:themeColor="text1"/>
          <w:sz w:val="24"/>
          <w:szCs w:val="24"/>
          <w14:textFill>
            <w14:solidFill>
              <w14:schemeClr w14:val="tx1"/>
            </w14:solidFill>
          </w14:textFill>
        </w:rPr>
        <w:t>包括但不限于：</w:t>
      </w:r>
    </w:p>
    <w:p>
      <w:pPr>
        <w:pStyle w:val="83"/>
        <w:keepNext w:val="0"/>
        <w:keepLines w:val="0"/>
        <w:pageBreakBefore w:val="0"/>
        <w:widowControl w:val="0"/>
        <w:numPr>
          <w:ilvl w:val="0"/>
          <w:numId w:val="0"/>
        </w:numPr>
        <w:wordWrap/>
        <w:overflowPunct/>
        <w:topLinePunct w:val="0"/>
        <w:autoSpaceDE/>
        <w:autoSpaceDN/>
        <w:bidi w:val="0"/>
        <w:adjustRightInd/>
        <w:snapToGrid/>
        <w:spacing w:after="120" w:line="480" w:lineRule="auto"/>
        <w:ind w:left="480" w:left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szCs w:val="24"/>
          <w:lang w:val="en-US" w:eastAsia="zh-CN"/>
          <w14:textFill>
            <w14:solidFill>
              <w14:schemeClr w14:val="tx1"/>
            </w14:solidFill>
          </w14:textFill>
        </w:rPr>
        <w:t>施工组织设计</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pPr>
        <w:pStyle w:val="83"/>
        <w:keepNext w:val="0"/>
        <w:keepLines w:val="0"/>
        <w:pageBreakBefore w:val="0"/>
        <w:widowControl w:val="0"/>
        <w:numPr>
          <w:ilvl w:val="0"/>
          <w:numId w:val="0"/>
        </w:numPr>
        <w:wordWrap/>
        <w:overflowPunct/>
        <w:topLinePunct w:val="0"/>
        <w:autoSpaceDE/>
        <w:autoSpaceDN/>
        <w:bidi w:val="0"/>
        <w:adjustRightInd/>
        <w:snapToGrid/>
        <w:spacing w:after="120" w:line="480" w:lineRule="auto"/>
        <w:ind w:left="480" w:left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.安全施工保障措施； </w:t>
      </w:r>
    </w:p>
    <w:p>
      <w:pPr>
        <w:pStyle w:val="83"/>
        <w:keepNext w:val="0"/>
        <w:keepLines w:val="0"/>
        <w:pageBreakBefore w:val="0"/>
        <w:widowControl w:val="0"/>
        <w:numPr>
          <w:ilvl w:val="0"/>
          <w:numId w:val="0"/>
        </w:numPr>
        <w:wordWrap/>
        <w:overflowPunct/>
        <w:topLinePunct w:val="0"/>
        <w:autoSpaceDE/>
        <w:autoSpaceDN/>
        <w:bidi w:val="0"/>
        <w:adjustRightInd/>
        <w:snapToGrid/>
        <w:spacing w:after="120" w:line="480" w:lineRule="auto"/>
        <w:ind w:left="480" w:left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val="en-US" w:eastAsia="zh-CN"/>
          <w14:textFill>
            <w14:solidFill>
              <w14:schemeClr w14:val="tx1"/>
            </w14:solidFill>
          </w14:textFill>
        </w:rPr>
        <w:t>.质量</w:t>
      </w:r>
      <w:r>
        <w:rPr>
          <w:rFonts w:hint="eastAsia" w:ascii="宋体" w:hAnsi="宋体" w:cs="宋体"/>
          <w:b w:val="0"/>
          <w:bCs/>
          <w:color w:val="000000" w:themeColor="text1"/>
          <w:sz w:val="24"/>
          <w:szCs w:val="24"/>
          <w:lang w:val="en-US" w:eastAsia="zh-CN"/>
          <w14:textFill>
            <w14:solidFill>
              <w14:schemeClr w14:val="tx1"/>
            </w14:solidFill>
          </w14:textFill>
        </w:rPr>
        <w:t>控制方案</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val="0"/>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注：磋商方案无固定格式，供应商自拟（参照评标办法中技术部分）</w:t>
      </w: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2"/>
        <w:rPr>
          <w:rFonts w:hint="eastAsia" w:ascii="宋体" w:hAnsi="宋体" w:eastAsia="宋体" w:cs="宋体"/>
          <w:b/>
          <w:bCs/>
          <w:color w:val="000000" w:themeColor="text1"/>
          <w:sz w:val="24"/>
          <w:szCs w:val="24"/>
          <w:lang w:val="en-US" w:eastAsia="zh-CN"/>
          <w14:textFill>
            <w14:solidFill>
              <w14:schemeClr w14:val="tx1"/>
            </w14:solidFill>
          </w14:textFill>
        </w:rPr>
      </w:pPr>
    </w:p>
    <w:p>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overflowPunct w:val="0"/>
        <w:spacing w:line="360" w:lineRule="auto"/>
        <w:rPr>
          <w:rFonts w:hint="eastAsia" w:ascii="宋体" w:hAnsi="宋体"/>
          <w:b/>
          <w:color w:val="000000"/>
          <w:sz w:val="24"/>
        </w:rPr>
      </w:pPr>
    </w:p>
    <w:p>
      <w:pPr>
        <w:overflowPunct w:val="0"/>
        <w:spacing w:line="360" w:lineRule="auto"/>
        <w:rPr>
          <w:rFonts w:hint="eastAsia" w:ascii="宋体" w:hAnsi="宋体"/>
          <w:b/>
          <w:color w:val="000000"/>
          <w:sz w:val="24"/>
        </w:rPr>
      </w:pPr>
    </w:p>
    <w:p>
      <w:pPr>
        <w:overflowPunct w:val="0"/>
        <w:spacing w:line="360" w:lineRule="auto"/>
        <w:rPr>
          <w:rFonts w:ascii="宋体"/>
          <w:b/>
          <w:color w:val="000000"/>
          <w:sz w:val="24"/>
        </w:rPr>
      </w:pPr>
      <w:r>
        <w:rPr>
          <w:rFonts w:hint="eastAsia" w:ascii="宋体" w:hAnsi="宋体"/>
          <w:b/>
          <w:color w:val="000000"/>
          <w:sz w:val="24"/>
        </w:rPr>
        <w:t>附</w:t>
      </w:r>
      <w:r>
        <w:rPr>
          <w:rFonts w:ascii="宋体" w:hAnsi="宋体"/>
          <w:b/>
          <w:color w:val="000000"/>
          <w:sz w:val="24"/>
        </w:rPr>
        <w:t>1</w:t>
      </w:r>
      <w:r>
        <w:rPr>
          <w:rFonts w:hint="eastAsia" w:ascii="宋体" w:hAnsi="宋体"/>
          <w:b/>
          <w:color w:val="000000"/>
          <w:sz w:val="24"/>
        </w:rPr>
        <w:t>：项目经理简历表</w:t>
      </w:r>
    </w:p>
    <w:p>
      <w:pPr>
        <w:overflowPunct w:val="0"/>
        <w:spacing w:line="360" w:lineRule="auto"/>
        <w:ind w:firstLine="480" w:firstLineChars="200"/>
        <w:rPr>
          <w:rFonts w:ascii="宋体"/>
          <w:color w:val="000000"/>
          <w:sz w:val="24"/>
        </w:rPr>
      </w:pPr>
      <w:r>
        <w:rPr>
          <w:rFonts w:hint="eastAsia" w:ascii="宋体" w:hAnsi="宋体"/>
          <w:color w:val="000000"/>
          <w:sz w:val="24"/>
        </w:rPr>
        <w:t>项目经理应附建造师</w:t>
      </w:r>
      <w:r>
        <w:rPr>
          <w:rFonts w:hint="eastAsia" w:ascii="宋体" w:hAnsi="宋体"/>
          <w:color w:val="000000"/>
          <w:sz w:val="24"/>
          <w:lang w:eastAsia="zh-CN"/>
        </w:rPr>
        <w:t>注册证</w:t>
      </w:r>
      <w:r>
        <w:rPr>
          <w:rFonts w:hint="eastAsia" w:ascii="宋体" w:hAnsi="宋体"/>
          <w:color w:val="000000"/>
          <w:sz w:val="24"/>
        </w:rPr>
        <w:t>、安全生产考核合格证书、身份证</w:t>
      </w:r>
      <w:r>
        <w:rPr>
          <w:rFonts w:hint="eastAsia" w:ascii="宋体" w:hAnsi="宋体"/>
          <w:color w:val="000000"/>
          <w:sz w:val="24"/>
          <w:lang w:eastAsia="zh-CN"/>
        </w:rPr>
        <w:t>等及</w:t>
      </w:r>
      <w:r>
        <w:rPr>
          <w:rFonts w:hint="eastAsia" w:ascii="宋体" w:hAnsi="宋体"/>
          <w:color w:val="000000"/>
          <w:sz w:val="24"/>
        </w:rPr>
        <w:t>未担任其他在施建设工程项目项目经理的承诺书，管理过的项目业绩须附合同协议书。</w:t>
      </w:r>
    </w:p>
    <w:tbl>
      <w:tblPr>
        <w:tblStyle w:val="3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1082" w:type="dxa"/>
            <w:noWrap w:val="0"/>
            <w:vAlign w:val="center"/>
          </w:tcPr>
          <w:p>
            <w:pPr>
              <w:overflowPunct w:val="0"/>
              <w:spacing w:line="360" w:lineRule="auto"/>
              <w:jc w:val="center"/>
              <w:rPr>
                <w:rFonts w:ascii="宋体"/>
                <w:color w:val="000000"/>
                <w:sz w:val="24"/>
              </w:rPr>
            </w:pPr>
          </w:p>
        </w:tc>
        <w:tc>
          <w:tcPr>
            <w:tcW w:w="1184"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c>
          <w:tcPr>
            <w:tcW w:w="1332" w:type="dxa"/>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学历</w:t>
            </w: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称</w:t>
            </w:r>
          </w:p>
        </w:tc>
        <w:tc>
          <w:tcPr>
            <w:tcW w:w="1082" w:type="dxa"/>
            <w:noWrap w:val="0"/>
            <w:vAlign w:val="center"/>
          </w:tcPr>
          <w:p>
            <w:pPr>
              <w:overflowPunct w:val="0"/>
              <w:spacing w:line="360" w:lineRule="auto"/>
              <w:jc w:val="center"/>
              <w:rPr>
                <w:rFonts w:ascii="宋体"/>
                <w:color w:val="000000"/>
                <w:sz w:val="24"/>
              </w:rPr>
            </w:pPr>
          </w:p>
        </w:tc>
        <w:tc>
          <w:tcPr>
            <w:tcW w:w="1184"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务</w:t>
            </w:r>
          </w:p>
        </w:tc>
        <w:tc>
          <w:tcPr>
            <w:tcW w:w="1332" w:type="dxa"/>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拟在本工程任职</w:t>
            </w:r>
          </w:p>
        </w:tc>
        <w:tc>
          <w:tcPr>
            <w:tcW w:w="2258"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pPr>
              <w:overflowPunct w:val="0"/>
              <w:spacing w:line="360" w:lineRule="auto"/>
              <w:jc w:val="center"/>
              <w:rPr>
                <w:rFonts w:ascii="宋体"/>
                <w:color w:val="000000"/>
                <w:sz w:val="24"/>
              </w:rPr>
            </w:pPr>
            <w:r>
              <w:rPr>
                <w:rFonts w:hint="eastAsia" w:ascii="宋体" w:hAnsi="宋体"/>
                <w:color w:val="000000"/>
                <w:sz w:val="24"/>
              </w:rPr>
              <w:t>注册建造师执业资格等级</w:t>
            </w:r>
          </w:p>
        </w:tc>
        <w:tc>
          <w:tcPr>
            <w:tcW w:w="1332" w:type="dxa"/>
            <w:noWrap w:val="0"/>
            <w:vAlign w:val="center"/>
          </w:tcPr>
          <w:p>
            <w:pPr>
              <w:overflowPunct w:val="0"/>
              <w:spacing w:line="360" w:lineRule="auto"/>
              <w:jc w:val="center"/>
              <w:rPr>
                <w:rFonts w:ascii="宋体"/>
                <w:color w:val="000000"/>
                <w:sz w:val="24"/>
              </w:rPr>
            </w:pPr>
            <w:r>
              <w:rPr>
                <w:rFonts w:ascii="宋体" w:hAnsi="宋体"/>
                <w:color w:val="000000"/>
                <w:sz w:val="24"/>
              </w:rPr>
              <w:t xml:space="preserve">      </w:t>
            </w:r>
            <w:r>
              <w:rPr>
                <w:rFonts w:hint="eastAsia" w:ascii="宋体" w:hAnsi="宋体"/>
                <w:color w:val="000000"/>
                <w:sz w:val="24"/>
              </w:rPr>
              <w:t>级</w:t>
            </w:r>
          </w:p>
        </w:tc>
        <w:tc>
          <w:tcPr>
            <w:tcW w:w="212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建造师专业</w:t>
            </w: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pPr>
              <w:overflowPunct w:val="0"/>
              <w:spacing w:line="360" w:lineRule="auto"/>
              <w:jc w:val="center"/>
              <w:rPr>
                <w:rFonts w:ascii="宋体"/>
                <w:color w:val="000000"/>
                <w:sz w:val="24"/>
              </w:rPr>
            </w:pPr>
            <w:r>
              <w:rPr>
                <w:rFonts w:hint="eastAsia" w:ascii="宋体" w:hAnsi="宋体"/>
                <w:color w:val="000000"/>
                <w:sz w:val="24"/>
              </w:rPr>
              <w:t>安全生产考核合格证书</w:t>
            </w:r>
          </w:p>
        </w:tc>
        <w:tc>
          <w:tcPr>
            <w:tcW w:w="5717" w:type="dxa"/>
            <w:gridSpan w:val="3"/>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毕业学校</w:t>
            </w:r>
          </w:p>
        </w:tc>
        <w:tc>
          <w:tcPr>
            <w:tcW w:w="7983" w:type="dxa"/>
            <w:gridSpan w:val="5"/>
            <w:noWrap w:val="0"/>
            <w:vAlign w:val="center"/>
          </w:tcPr>
          <w:p>
            <w:pPr>
              <w:overflowPunct w:val="0"/>
              <w:spacing w:line="360" w:lineRule="auto"/>
              <w:ind w:firstLine="960" w:firstLineChars="400"/>
              <w:rPr>
                <w:rFonts w:ascii="宋体"/>
                <w:color w:val="000000"/>
                <w:sz w:val="24"/>
              </w:rPr>
            </w:pPr>
            <w:r>
              <w:rPr>
                <w:rFonts w:hint="eastAsia" w:ascii="宋体" w:hAnsi="宋体"/>
                <w:color w:val="000000"/>
                <w:sz w:val="24"/>
              </w:rPr>
              <w:t>年毕业于</w:t>
            </w:r>
            <w:r>
              <w:rPr>
                <w:rFonts w:ascii="宋体" w:hAnsi="宋体"/>
                <w:color w:val="000000"/>
                <w:sz w:val="24"/>
              </w:rPr>
              <w:t xml:space="preserve">                  </w:t>
            </w:r>
            <w:r>
              <w:rPr>
                <w:rFonts w:hint="eastAsia" w:ascii="宋体" w:hAnsi="宋体"/>
                <w:color w:val="000000"/>
                <w:sz w:val="24"/>
              </w:rPr>
              <w:t>学校</w:t>
            </w:r>
            <w:r>
              <w:rPr>
                <w:rFonts w:ascii="宋体" w:hAnsi="宋体"/>
                <w:color w:val="000000"/>
                <w:sz w:val="24"/>
              </w:rPr>
              <w:t xml:space="preserve">            </w:t>
            </w:r>
            <w:r>
              <w:rPr>
                <w:rFonts w:hint="eastAsia" w:ascii="宋体" w:hAnsi="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pPr>
              <w:overflowPunct w:val="0"/>
              <w:spacing w:line="360" w:lineRule="auto"/>
              <w:jc w:val="center"/>
              <w:rPr>
                <w:rFonts w:ascii="宋体"/>
                <w:color w:val="000000"/>
                <w:sz w:val="24"/>
              </w:rPr>
            </w:pPr>
            <w:r>
              <w:rPr>
                <w:rFonts w:hint="eastAsia" w:ascii="宋体" w:hAnsi="宋体"/>
                <w:color w:val="00000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tc>
        <w:tc>
          <w:tcPr>
            <w:tcW w:w="3598" w:type="dxa"/>
            <w:gridSpan w:val="3"/>
            <w:noWrap w:val="0"/>
            <w:vAlign w:val="center"/>
          </w:tcPr>
          <w:p>
            <w:pPr>
              <w:overflowPunct w:val="0"/>
              <w:spacing w:line="360" w:lineRule="auto"/>
              <w:jc w:val="center"/>
              <w:rPr>
                <w:rFonts w:ascii="宋体"/>
                <w:color w:val="000000"/>
                <w:sz w:val="24"/>
              </w:rPr>
            </w:pPr>
            <w:r>
              <w:rPr>
                <w:rFonts w:hint="eastAsia" w:ascii="宋体" w:hAnsi="宋体"/>
                <w:color w:val="000000"/>
                <w:sz w:val="24"/>
              </w:rPr>
              <w:t>参加过的类似项目名称</w:t>
            </w:r>
          </w:p>
        </w:tc>
        <w:tc>
          <w:tcPr>
            <w:tcW w:w="2127"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工程概况说明</w:t>
            </w:r>
          </w:p>
        </w:tc>
        <w:tc>
          <w:tcPr>
            <w:tcW w:w="2258"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pPr>
              <w:overflowPunct w:val="0"/>
              <w:spacing w:line="360" w:lineRule="auto"/>
              <w:jc w:val="center"/>
              <w:rPr>
                <w:rFonts w:ascii="宋体"/>
                <w:color w:val="000000"/>
                <w:sz w:val="24"/>
              </w:rPr>
            </w:pPr>
          </w:p>
        </w:tc>
        <w:tc>
          <w:tcPr>
            <w:tcW w:w="3598" w:type="dxa"/>
            <w:gridSpan w:val="3"/>
            <w:noWrap w:val="0"/>
            <w:vAlign w:val="center"/>
          </w:tcPr>
          <w:p>
            <w:pPr>
              <w:overflowPunct w:val="0"/>
              <w:spacing w:line="360" w:lineRule="auto"/>
              <w:jc w:val="center"/>
              <w:rPr>
                <w:rFonts w:ascii="宋体"/>
                <w:color w:val="000000"/>
                <w:sz w:val="24"/>
              </w:rPr>
            </w:pPr>
          </w:p>
        </w:tc>
        <w:tc>
          <w:tcPr>
            <w:tcW w:w="2127" w:type="dxa"/>
            <w:noWrap w:val="0"/>
            <w:vAlign w:val="center"/>
          </w:tcPr>
          <w:p>
            <w:pPr>
              <w:overflowPunct w:val="0"/>
              <w:spacing w:line="360" w:lineRule="auto"/>
              <w:jc w:val="center"/>
              <w:rPr>
                <w:rFonts w:ascii="宋体"/>
                <w:color w:val="000000"/>
                <w:sz w:val="24"/>
              </w:rPr>
            </w:pPr>
          </w:p>
        </w:tc>
        <w:tc>
          <w:tcPr>
            <w:tcW w:w="2258" w:type="dxa"/>
            <w:noWrap w:val="0"/>
            <w:vAlign w:val="center"/>
          </w:tcPr>
          <w:p>
            <w:pPr>
              <w:overflowPunct w:val="0"/>
              <w:spacing w:line="360" w:lineRule="auto"/>
              <w:jc w:val="center"/>
              <w:rPr>
                <w:rFonts w:ascii="宋体"/>
                <w:color w:val="000000"/>
                <w:sz w:val="24"/>
              </w:rPr>
            </w:pPr>
          </w:p>
        </w:tc>
      </w:tr>
    </w:tbl>
    <w:p>
      <w:pPr>
        <w:overflowPunct w:val="0"/>
        <w:spacing w:line="360" w:lineRule="auto"/>
        <w:rPr>
          <w:rFonts w:hint="eastAsia" w:ascii="宋体" w:hAnsi="宋体"/>
          <w:b/>
          <w:color w:val="000000"/>
          <w:sz w:val="24"/>
        </w:rPr>
      </w:pPr>
    </w:p>
    <w:p>
      <w:pPr>
        <w:overflowPunct w:val="0"/>
        <w:spacing w:line="360" w:lineRule="auto"/>
        <w:rPr>
          <w:rFonts w:hint="eastAsia" w:ascii="宋体" w:hAnsi="宋体"/>
          <w:b/>
          <w:color w:val="000000"/>
          <w:sz w:val="24"/>
        </w:rPr>
      </w:pPr>
    </w:p>
    <w:p>
      <w:pPr>
        <w:overflowPunct w:val="0"/>
        <w:spacing w:line="360" w:lineRule="auto"/>
        <w:rPr>
          <w:rFonts w:hint="eastAsia" w:ascii="宋体" w:hAnsi="宋体"/>
          <w:b/>
          <w:color w:val="000000"/>
          <w:sz w:val="24"/>
        </w:rPr>
      </w:pPr>
      <w:r>
        <w:rPr>
          <w:rFonts w:hint="eastAsia" w:ascii="宋体" w:hAnsi="宋体"/>
          <w:b/>
          <w:color w:val="000000"/>
          <w:sz w:val="24"/>
        </w:rPr>
        <w:t>附</w:t>
      </w:r>
      <w:r>
        <w:rPr>
          <w:rFonts w:ascii="宋体" w:hAnsi="宋体"/>
          <w:b/>
          <w:color w:val="000000"/>
          <w:sz w:val="24"/>
        </w:rPr>
        <w:t>2</w:t>
      </w:r>
      <w:r>
        <w:rPr>
          <w:rFonts w:hint="eastAsia" w:ascii="宋体" w:hAnsi="宋体"/>
          <w:b/>
          <w:color w:val="000000"/>
          <w:sz w:val="24"/>
        </w:rPr>
        <w:t>：主要项目管理人员简历表</w:t>
      </w:r>
    </w:p>
    <w:p>
      <w:pPr>
        <w:pStyle w:val="2"/>
        <w:rPr>
          <w:rFonts w:hint="eastAsia" w:ascii="宋体" w:hAnsi="宋体"/>
          <w:b/>
          <w:color w:val="000000"/>
          <w:sz w:val="24"/>
        </w:rPr>
      </w:pPr>
    </w:p>
    <w:p>
      <w:pPr>
        <w:pStyle w:val="2"/>
        <w:rPr>
          <w:rFonts w:hint="eastAsia" w:ascii="宋体" w:hAnsi="宋体"/>
          <w:b/>
          <w:color w:val="000000"/>
          <w:sz w:val="24"/>
        </w:rPr>
      </w:pPr>
    </w:p>
    <w:p>
      <w:pPr>
        <w:pStyle w:val="2"/>
        <w:rPr>
          <w:rFonts w:hint="eastAsia" w:ascii="宋体" w:hAnsi="宋体"/>
          <w:b/>
          <w:color w:val="000000"/>
          <w:sz w:val="24"/>
        </w:rPr>
      </w:pPr>
    </w:p>
    <w:tbl>
      <w:tblPr>
        <w:tblStyle w:val="34"/>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4320" w:type="dxa"/>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4320" w:type="dxa"/>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学历和专业</w:t>
            </w:r>
          </w:p>
        </w:tc>
        <w:tc>
          <w:tcPr>
            <w:tcW w:w="4320" w:type="dxa"/>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拥有的执业资格</w:t>
            </w:r>
          </w:p>
        </w:tc>
        <w:tc>
          <w:tcPr>
            <w:tcW w:w="4320" w:type="dxa"/>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执业资格证书编号</w:t>
            </w:r>
          </w:p>
        </w:tc>
        <w:tc>
          <w:tcPr>
            <w:tcW w:w="4320" w:type="dxa"/>
            <w:noWrap w:val="0"/>
            <w:vAlign w:val="center"/>
          </w:tcPr>
          <w:p>
            <w:pPr>
              <w:overflowPunct w:val="0"/>
              <w:spacing w:line="360" w:lineRule="auto"/>
              <w:ind w:firstLine="240" w:firstLineChars="100"/>
              <w:rPr>
                <w:rFonts w:ascii="宋体"/>
                <w:color w:val="000000"/>
                <w:sz w:val="24"/>
              </w:rPr>
            </w:pPr>
            <w:r>
              <w:rPr>
                <w:rFonts w:hint="eastAsia" w:ascii="宋体" w:hAnsi="宋体"/>
                <w:color w:val="000000"/>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pPr>
              <w:overflowPunct w:val="0"/>
              <w:spacing w:line="360" w:lineRule="auto"/>
              <w:ind w:right="113" w:firstLine="240" w:firstLineChars="100"/>
              <w:jc w:val="center"/>
              <w:rPr>
                <w:rFonts w:ascii="宋体"/>
                <w:color w:val="000000"/>
                <w:sz w:val="24"/>
              </w:rPr>
            </w:pPr>
            <w:r>
              <w:rPr>
                <w:rFonts w:hint="eastAsia" w:ascii="宋体" w:hAnsi="宋体"/>
                <w:color w:val="000000"/>
                <w:sz w:val="24"/>
              </w:rPr>
              <w:t>主要工作业绩及担任的主要工作</w:t>
            </w:r>
          </w:p>
        </w:tc>
        <w:tc>
          <w:tcPr>
            <w:tcW w:w="7724" w:type="dxa"/>
            <w:gridSpan w:val="2"/>
            <w:noWrap w:val="0"/>
            <w:vAlign w:val="center"/>
          </w:tcPr>
          <w:p>
            <w:pPr>
              <w:overflowPunct w:val="0"/>
              <w:spacing w:line="360" w:lineRule="auto"/>
              <w:ind w:firstLine="240" w:firstLineChars="100"/>
              <w:rPr>
                <w:rFonts w:ascii="宋体"/>
                <w:color w:val="000000"/>
                <w:sz w:val="24"/>
              </w:rPr>
            </w:pPr>
          </w:p>
        </w:tc>
      </w:tr>
    </w:tbl>
    <w:p>
      <w:pPr>
        <w:spacing w:line="480" w:lineRule="exact"/>
        <w:jc w:val="both"/>
        <w:rPr>
          <w:rFonts w:hint="eastAsia" w:ascii="方正小标宋简体" w:eastAsia="方正小标宋简体"/>
          <w:bCs/>
          <w:color w:val="000000"/>
          <w:sz w:val="44"/>
          <w:szCs w:val="44"/>
        </w:rPr>
      </w:pPr>
    </w:p>
    <w:p>
      <w:pPr>
        <w:overflowPunct w:val="0"/>
        <w:spacing w:line="360" w:lineRule="auto"/>
        <w:rPr>
          <w:rFonts w:hint="eastAsia" w:ascii="宋体" w:hAnsi="宋体"/>
          <w:b/>
          <w:color w:val="000000"/>
          <w:sz w:val="24"/>
        </w:rPr>
      </w:pPr>
    </w:p>
    <w:p>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3</w:t>
      </w:r>
      <w:r>
        <w:rPr>
          <w:rFonts w:hint="eastAsia" w:ascii="宋体" w:hAnsi="宋体"/>
          <w:b/>
          <w:color w:val="000000"/>
          <w:sz w:val="24"/>
        </w:rPr>
        <w:t>：承诺书</w:t>
      </w:r>
    </w:p>
    <w:p>
      <w:pPr>
        <w:keepNext w:val="0"/>
        <w:keepLines w:val="0"/>
        <w:pageBreakBefore w:val="0"/>
        <w:widowControl w:val="0"/>
        <w:kinsoku/>
        <w:wordWrap/>
        <w:overflowPunct w:val="0"/>
        <w:topLinePunct w:val="0"/>
        <w:autoSpaceDE/>
        <w:autoSpaceDN/>
        <w:bidi w:val="0"/>
        <w:adjustRightInd/>
        <w:snapToGrid/>
        <w:spacing w:line="480" w:lineRule="auto"/>
        <w:jc w:val="center"/>
        <w:textAlignment w:val="auto"/>
        <w:rPr>
          <w:rFonts w:ascii="宋体"/>
          <w:color w:val="000000"/>
          <w:sz w:val="24"/>
        </w:rPr>
      </w:pPr>
      <w:r>
        <w:rPr>
          <w:rFonts w:hint="eastAsia" w:ascii="宋体" w:hAnsi="宋体"/>
          <w:color w:val="000000"/>
          <w:sz w:val="24"/>
        </w:rPr>
        <w:t>承诺书</w:t>
      </w:r>
    </w:p>
    <w:p>
      <w:pPr>
        <w:keepNext w:val="0"/>
        <w:keepLines w:val="0"/>
        <w:pageBreakBefore w:val="0"/>
        <w:widowControl w:val="0"/>
        <w:kinsoku/>
        <w:wordWrap/>
        <w:overflowPunct w:val="0"/>
        <w:topLinePunct w:val="0"/>
        <w:autoSpaceDE/>
        <w:autoSpaceDN/>
        <w:bidi w:val="0"/>
        <w:adjustRightInd/>
        <w:snapToGrid/>
        <w:spacing w:line="480" w:lineRule="auto"/>
        <w:textAlignment w:val="auto"/>
        <w:rPr>
          <w:rFonts w:ascii="宋体"/>
          <w:color w:val="000000"/>
          <w:sz w:val="24"/>
        </w:rPr>
      </w:pPr>
      <w:r>
        <w:rPr>
          <w:rFonts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采购人</w:t>
      </w:r>
      <w:r>
        <w:rPr>
          <w:rFonts w:hint="eastAsia" w:ascii="宋体" w:hAnsi="宋体"/>
          <w:color w:val="000000"/>
          <w:sz w:val="24"/>
        </w:rPr>
        <w:t>名称）：</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、我方在此声明，我方拟派往</w:t>
      </w:r>
      <w:r>
        <w:rPr>
          <w:rFonts w:ascii="宋体" w:hAnsi="宋体"/>
          <w:color w:val="000000"/>
          <w:sz w:val="24"/>
          <w:u w:val="single"/>
        </w:rPr>
        <w:t xml:space="preserve">        </w:t>
      </w:r>
      <w:r>
        <w:rPr>
          <w:rFonts w:hint="eastAsia" w:ascii="宋体" w:hAnsi="宋体"/>
          <w:color w:val="000000"/>
          <w:sz w:val="24"/>
        </w:rPr>
        <w:t>（项目名称）（以下简称“本工程”）的项目经理</w:t>
      </w:r>
      <w:r>
        <w:rPr>
          <w:rFonts w:ascii="宋体" w:hAnsi="宋体"/>
          <w:color w:val="000000"/>
          <w:sz w:val="24"/>
          <w:u w:val="single"/>
        </w:rPr>
        <w:t xml:space="preserve">           </w:t>
      </w:r>
      <w:r>
        <w:rPr>
          <w:rFonts w:hint="eastAsia" w:ascii="宋体" w:hAnsi="宋体"/>
          <w:color w:val="000000"/>
          <w:sz w:val="24"/>
        </w:rPr>
        <w:t>（项目经理姓名）现阶段没有担任任何在施建设工程项目的项目经理。</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textAlignment w:val="auto"/>
        <w:rPr>
          <w:rFonts w:ascii="宋体"/>
          <w:color w:val="000000"/>
          <w:sz w:val="24"/>
        </w:rPr>
      </w:pPr>
      <w:r>
        <w:rPr>
          <w:rFonts w:ascii="宋体" w:hAnsi="宋体"/>
          <w:color w:val="000000"/>
          <w:sz w:val="24"/>
        </w:rPr>
        <w:t>2</w:t>
      </w:r>
      <w:r>
        <w:rPr>
          <w:rFonts w:hint="eastAsia" w:ascii="宋体" w:hAnsi="宋体"/>
          <w:color w:val="000000"/>
          <w:sz w:val="24"/>
        </w:rPr>
        <w:t>、如我方未按时发放农民工工资，招标人除有权在应支付的进度款中扣除应发农民工工资外，我方还愿承担相应的违约责任。</w:t>
      </w:r>
    </w:p>
    <w:p>
      <w:pPr>
        <w:keepNext w:val="0"/>
        <w:keepLines w:val="0"/>
        <w:pageBreakBefore w:val="0"/>
        <w:widowControl w:val="0"/>
        <w:kinsoku/>
        <w:wordWrap/>
        <w:overflowPunct w:val="0"/>
        <w:topLinePunct w:val="0"/>
        <w:autoSpaceDE/>
        <w:autoSpaceDN/>
        <w:bidi w:val="0"/>
        <w:adjustRightInd/>
        <w:snapToGrid/>
        <w:spacing w:line="480" w:lineRule="auto"/>
        <w:ind w:firstLine="480" w:firstLineChars="200"/>
        <w:textAlignment w:val="auto"/>
        <w:rPr>
          <w:rFonts w:ascii="宋体"/>
          <w:color w:val="000000"/>
          <w:sz w:val="24"/>
        </w:rPr>
      </w:pPr>
      <w:r>
        <w:rPr>
          <w:rFonts w:hint="eastAsia" w:ascii="宋体" w:hAnsi="宋体"/>
          <w:color w:val="000000"/>
          <w:sz w:val="24"/>
        </w:rPr>
        <w:t>我方保证上述信息的真实和准确，并愿意承担因我方就此弄虚作假所引起的一切法律后果。</w:t>
      </w: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r>
        <w:rPr>
          <w:rFonts w:hint="eastAsia" w:ascii="宋体" w:hAnsi="宋体"/>
          <w:color w:val="000000"/>
          <w:sz w:val="24"/>
        </w:rPr>
        <w:t>特此承诺</w:t>
      </w: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p>
    <w:p>
      <w:pPr>
        <w:overflowPunct w:val="0"/>
        <w:spacing w:line="360" w:lineRule="auto"/>
        <w:ind w:firstLine="480" w:firstLineChars="200"/>
        <w:rPr>
          <w:rFonts w:ascii="宋体"/>
          <w:color w:val="000000"/>
          <w:sz w:val="24"/>
        </w:rPr>
      </w:pPr>
    </w:p>
    <w:p>
      <w:pPr>
        <w:overflowPunct w:val="0"/>
        <w:spacing w:line="360" w:lineRule="auto"/>
        <w:jc w:val="right"/>
        <w:rPr>
          <w:rFonts w:ascii="宋体"/>
          <w:color w:val="000000"/>
          <w:sz w:val="24"/>
        </w:rPr>
      </w:pPr>
      <w:r>
        <w:rPr>
          <w:rFonts w:hint="eastAsia" w:ascii="宋体" w:hAnsi="宋体"/>
          <w:color w:val="000000"/>
          <w:sz w:val="24"/>
          <w:lang w:eastAsia="zh-CN"/>
        </w:rPr>
        <w:t>供应商</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（盖单位章）</w:t>
      </w:r>
    </w:p>
    <w:p>
      <w:pPr>
        <w:overflowPunct w:val="0"/>
        <w:spacing w:line="360" w:lineRule="auto"/>
        <w:jc w:val="right"/>
        <w:rPr>
          <w:rFonts w:hint="eastAsia" w:ascii="宋体" w:hAnsi="宋体"/>
          <w:color w:val="000000"/>
          <w:sz w:val="24"/>
        </w:rPr>
      </w:pPr>
    </w:p>
    <w:p>
      <w:pPr>
        <w:overflowPunct w:val="0"/>
        <w:spacing w:line="360" w:lineRule="auto"/>
        <w:jc w:val="right"/>
        <w:rPr>
          <w:rFonts w:ascii="宋体"/>
          <w:color w:val="000000"/>
          <w:sz w:val="24"/>
        </w:rPr>
      </w:pPr>
      <w:r>
        <w:rPr>
          <w:rFonts w:hint="eastAsia" w:ascii="宋体" w:hAnsi="宋体"/>
          <w:color w:val="000000"/>
          <w:sz w:val="24"/>
        </w:rPr>
        <w:t>法定代表人或其委托代理人：</w:t>
      </w:r>
      <w:r>
        <w:rPr>
          <w:rFonts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val="en-US" w:eastAsia="zh-CN"/>
        </w:rPr>
        <w:t>签字</w:t>
      </w:r>
      <w:r>
        <w:rPr>
          <w:rFonts w:hint="eastAsia" w:ascii="宋体" w:hAnsi="宋体"/>
          <w:color w:val="000000"/>
          <w:sz w:val="24"/>
        </w:rPr>
        <w:t>）</w:t>
      </w:r>
    </w:p>
    <w:p>
      <w:pPr>
        <w:overflowPunct w:val="0"/>
        <w:spacing w:line="360" w:lineRule="auto"/>
        <w:jc w:val="right"/>
        <w:rPr>
          <w:rFonts w:ascii="宋体"/>
          <w:color w:val="000000"/>
          <w:sz w:val="24"/>
        </w:rPr>
      </w:pPr>
    </w:p>
    <w:p>
      <w:pPr>
        <w:overflowPunct w:val="0"/>
        <w:spacing w:line="360" w:lineRule="auto"/>
        <w:jc w:val="right"/>
        <w:rPr>
          <w:rFonts w:hint="eastAsia" w:ascii="宋体" w:hAnsi="宋体" w:eastAsia="宋体"/>
          <w:color w:val="000000"/>
          <w:sz w:val="24"/>
          <w:u w:val="single"/>
          <w:lang w:val="en-US" w:eastAsia="zh-CN"/>
        </w:rPr>
      </w:pP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none"/>
          <w:lang w:val="en-US" w:eastAsia="zh-CN"/>
        </w:rPr>
        <w:t>日</w:t>
      </w:r>
    </w:p>
    <w:p>
      <w:pPr>
        <w:overflowPunct w:val="0"/>
        <w:spacing w:line="360" w:lineRule="auto"/>
        <w:jc w:val="right"/>
        <w:rPr>
          <w:rFonts w:ascii="宋体" w:hAnsi="宋体"/>
          <w:color w:val="000000"/>
          <w:sz w:val="24"/>
          <w:u w:val="single"/>
        </w:rPr>
      </w:pPr>
    </w:p>
    <w:p>
      <w:pPr>
        <w:overflowPunct w:val="0"/>
        <w:spacing w:line="360" w:lineRule="auto"/>
        <w:jc w:val="right"/>
        <w:rPr>
          <w:rFonts w:ascii="宋体" w:hAnsi="宋体"/>
          <w:color w:val="000000"/>
          <w:sz w:val="24"/>
          <w:u w:val="single"/>
        </w:rPr>
      </w:pPr>
    </w:p>
    <w:p>
      <w:pPr>
        <w:overflowPunct w:val="0"/>
        <w:spacing w:line="360" w:lineRule="auto"/>
        <w:jc w:val="right"/>
        <w:rPr>
          <w:rFonts w:ascii="宋体" w:hAnsi="宋体"/>
          <w:color w:val="000000"/>
          <w:sz w:val="24"/>
          <w:u w:val="single"/>
        </w:rPr>
      </w:pPr>
    </w:p>
    <w:p>
      <w:pPr>
        <w:overflowPunct w:val="0"/>
        <w:spacing w:line="360" w:lineRule="auto"/>
        <w:rPr>
          <w:rFonts w:ascii="宋体"/>
          <w:b/>
          <w:color w:val="000000"/>
          <w:sz w:val="24"/>
        </w:rPr>
      </w:pPr>
      <w:r>
        <w:rPr>
          <w:rFonts w:hint="eastAsia" w:ascii="宋体" w:hAnsi="宋体"/>
          <w:b/>
          <w:color w:val="000000"/>
          <w:sz w:val="24"/>
          <w:lang w:eastAsia="zh-CN"/>
        </w:rPr>
        <w:t>附</w:t>
      </w:r>
      <w:r>
        <w:rPr>
          <w:rFonts w:hint="eastAsia" w:ascii="宋体" w:hAnsi="宋体"/>
          <w:b/>
          <w:color w:val="000000"/>
          <w:sz w:val="24"/>
          <w:lang w:val="en-US" w:eastAsia="zh-CN"/>
        </w:rPr>
        <w:t>4：</w:t>
      </w:r>
      <w:r>
        <w:rPr>
          <w:rFonts w:hint="eastAsia" w:ascii="宋体" w:hAnsi="宋体"/>
          <w:b/>
          <w:color w:val="000000"/>
          <w:sz w:val="24"/>
        </w:rPr>
        <w:t>拟投入本工程的主要施工设备表</w:t>
      </w:r>
    </w:p>
    <w:tbl>
      <w:tblPr>
        <w:tblStyle w:val="34"/>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序号</w:t>
            </w:r>
          </w:p>
        </w:tc>
        <w:tc>
          <w:tcPr>
            <w:tcW w:w="785"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设备</w:t>
            </w:r>
          </w:p>
          <w:p>
            <w:pPr>
              <w:overflowPunct w:val="0"/>
              <w:spacing w:line="360" w:lineRule="auto"/>
              <w:jc w:val="center"/>
              <w:rPr>
                <w:rFonts w:ascii="宋体"/>
                <w:color w:val="000000"/>
                <w:sz w:val="24"/>
              </w:rPr>
            </w:pPr>
            <w:r>
              <w:rPr>
                <w:rFonts w:hint="eastAsia" w:ascii="宋体" w:hAnsi="宋体"/>
                <w:color w:val="000000"/>
                <w:sz w:val="24"/>
              </w:rPr>
              <w:t>名称</w:t>
            </w:r>
          </w:p>
        </w:tc>
        <w:tc>
          <w:tcPr>
            <w:tcW w:w="789"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型号</w:t>
            </w:r>
          </w:p>
          <w:p>
            <w:pPr>
              <w:overflowPunct w:val="0"/>
              <w:spacing w:line="360" w:lineRule="auto"/>
              <w:jc w:val="center"/>
              <w:rPr>
                <w:rFonts w:ascii="宋体"/>
                <w:color w:val="000000"/>
                <w:sz w:val="24"/>
              </w:rPr>
            </w:pPr>
            <w:r>
              <w:rPr>
                <w:rFonts w:hint="eastAsia" w:ascii="宋体" w:hAnsi="宋体"/>
                <w:color w:val="000000"/>
                <w:sz w:val="24"/>
              </w:rPr>
              <w:t>规格</w:t>
            </w:r>
          </w:p>
        </w:tc>
        <w:tc>
          <w:tcPr>
            <w:tcW w:w="854"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数量</w:t>
            </w:r>
          </w:p>
        </w:tc>
        <w:tc>
          <w:tcPr>
            <w:tcW w:w="692"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国别</w:t>
            </w:r>
          </w:p>
          <w:p>
            <w:pPr>
              <w:overflowPunct w:val="0"/>
              <w:spacing w:line="360" w:lineRule="auto"/>
              <w:jc w:val="center"/>
              <w:rPr>
                <w:rFonts w:ascii="宋体"/>
                <w:color w:val="000000"/>
                <w:sz w:val="24"/>
              </w:rPr>
            </w:pPr>
            <w:r>
              <w:rPr>
                <w:rFonts w:hint="eastAsia" w:ascii="宋体" w:hAnsi="宋体"/>
                <w:color w:val="000000"/>
                <w:sz w:val="24"/>
              </w:rPr>
              <w:t>产地</w:t>
            </w:r>
          </w:p>
        </w:tc>
        <w:tc>
          <w:tcPr>
            <w:tcW w:w="692"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制造</w:t>
            </w:r>
          </w:p>
          <w:p>
            <w:pPr>
              <w:overflowPunct w:val="0"/>
              <w:spacing w:line="360" w:lineRule="auto"/>
              <w:jc w:val="center"/>
              <w:rPr>
                <w:rFonts w:ascii="宋体"/>
                <w:color w:val="000000"/>
                <w:sz w:val="24"/>
              </w:rPr>
            </w:pPr>
            <w:r>
              <w:rPr>
                <w:rFonts w:hint="eastAsia" w:ascii="宋体" w:hAnsi="宋体"/>
                <w:color w:val="000000"/>
                <w:sz w:val="24"/>
              </w:rPr>
              <w:t>年份</w:t>
            </w:r>
          </w:p>
        </w:tc>
        <w:tc>
          <w:tcPr>
            <w:tcW w:w="1160"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额定功率</w:t>
            </w:r>
          </w:p>
          <w:p>
            <w:pPr>
              <w:overflowPunct w:val="0"/>
              <w:spacing w:line="360" w:lineRule="auto"/>
              <w:jc w:val="center"/>
              <w:rPr>
                <w:rFonts w:ascii="宋体"/>
                <w:color w:val="000000"/>
                <w:sz w:val="24"/>
              </w:rPr>
            </w:pPr>
            <w:r>
              <w:rPr>
                <w:rFonts w:hint="eastAsia" w:ascii="宋体" w:hAnsi="宋体"/>
                <w:color w:val="000000"/>
                <w:sz w:val="24"/>
              </w:rPr>
              <w:t>（</w:t>
            </w:r>
            <w:r>
              <w:rPr>
                <w:rFonts w:ascii="宋体" w:hAnsi="宋体"/>
                <w:color w:val="000000"/>
                <w:sz w:val="24"/>
              </w:rPr>
              <w:t>KW</w:t>
            </w:r>
            <w:r>
              <w:rPr>
                <w:rFonts w:hint="eastAsia" w:ascii="宋体" w:hAnsi="宋体"/>
                <w:color w:val="000000"/>
                <w:sz w:val="24"/>
              </w:rPr>
              <w:t>）</w:t>
            </w:r>
          </w:p>
        </w:tc>
        <w:tc>
          <w:tcPr>
            <w:tcW w:w="845"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生产</w:t>
            </w:r>
          </w:p>
          <w:p>
            <w:pPr>
              <w:overflowPunct w:val="0"/>
              <w:spacing w:line="360" w:lineRule="auto"/>
              <w:jc w:val="center"/>
              <w:rPr>
                <w:rFonts w:ascii="宋体"/>
                <w:color w:val="000000"/>
                <w:sz w:val="24"/>
              </w:rPr>
            </w:pPr>
            <w:r>
              <w:rPr>
                <w:rFonts w:hint="eastAsia" w:ascii="宋体" w:hAnsi="宋体"/>
                <w:color w:val="000000"/>
                <w:sz w:val="24"/>
              </w:rPr>
              <w:t>能力</w:t>
            </w:r>
          </w:p>
        </w:tc>
        <w:tc>
          <w:tcPr>
            <w:tcW w:w="1746"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用于施工部位</w:t>
            </w:r>
          </w:p>
        </w:tc>
        <w:tc>
          <w:tcPr>
            <w:tcW w:w="745"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overflowPunct w:val="0"/>
              <w:spacing w:line="360" w:lineRule="auto"/>
              <w:jc w:val="center"/>
              <w:rPr>
                <w:rFonts w:ascii="宋体"/>
                <w:color w:val="000000"/>
                <w:sz w:val="24"/>
              </w:rPr>
            </w:pPr>
          </w:p>
        </w:tc>
        <w:tc>
          <w:tcPr>
            <w:tcW w:w="785" w:type="dxa"/>
            <w:noWrap w:val="0"/>
            <w:vAlign w:val="center"/>
          </w:tcPr>
          <w:p>
            <w:pPr>
              <w:overflowPunct w:val="0"/>
              <w:spacing w:line="360" w:lineRule="auto"/>
              <w:jc w:val="center"/>
              <w:rPr>
                <w:rFonts w:ascii="宋体"/>
                <w:color w:val="000000"/>
                <w:sz w:val="24"/>
              </w:rPr>
            </w:pPr>
          </w:p>
        </w:tc>
        <w:tc>
          <w:tcPr>
            <w:tcW w:w="789" w:type="dxa"/>
            <w:noWrap w:val="0"/>
            <w:vAlign w:val="center"/>
          </w:tcPr>
          <w:p>
            <w:pPr>
              <w:overflowPunct w:val="0"/>
              <w:spacing w:line="360" w:lineRule="auto"/>
              <w:jc w:val="center"/>
              <w:rPr>
                <w:rFonts w:ascii="宋体"/>
                <w:color w:val="000000"/>
                <w:sz w:val="24"/>
              </w:rPr>
            </w:pPr>
          </w:p>
        </w:tc>
        <w:tc>
          <w:tcPr>
            <w:tcW w:w="854"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692" w:type="dxa"/>
            <w:noWrap w:val="0"/>
            <w:vAlign w:val="center"/>
          </w:tcPr>
          <w:p>
            <w:pPr>
              <w:overflowPunct w:val="0"/>
              <w:spacing w:line="360" w:lineRule="auto"/>
              <w:jc w:val="center"/>
              <w:rPr>
                <w:rFonts w:ascii="宋体"/>
                <w:color w:val="000000"/>
                <w:sz w:val="24"/>
              </w:rPr>
            </w:pPr>
          </w:p>
        </w:tc>
        <w:tc>
          <w:tcPr>
            <w:tcW w:w="1160" w:type="dxa"/>
            <w:noWrap w:val="0"/>
            <w:vAlign w:val="center"/>
          </w:tcPr>
          <w:p>
            <w:pPr>
              <w:overflowPunct w:val="0"/>
              <w:spacing w:line="360" w:lineRule="auto"/>
              <w:jc w:val="center"/>
              <w:rPr>
                <w:rFonts w:ascii="宋体"/>
                <w:color w:val="000000"/>
                <w:sz w:val="24"/>
              </w:rPr>
            </w:pPr>
          </w:p>
        </w:tc>
        <w:tc>
          <w:tcPr>
            <w:tcW w:w="845" w:type="dxa"/>
            <w:noWrap w:val="0"/>
            <w:vAlign w:val="center"/>
          </w:tcPr>
          <w:p>
            <w:pPr>
              <w:overflowPunct w:val="0"/>
              <w:spacing w:line="360" w:lineRule="auto"/>
              <w:jc w:val="center"/>
              <w:rPr>
                <w:rFonts w:ascii="宋体"/>
                <w:color w:val="000000"/>
                <w:sz w:val="24"/>
              </w:rPr>
            </w:pPr>
          </w:p>
        </w:tc>
        <w:tc>
          <w:tcPr>
            <w:tcW w:w="1746" w:type="dxa"/>
            <w:noWrap w:val="0"/>
            <w:vAlign w:val="center"/>
          </w:tcPr>
          <w:p>
            <w:pPr>
              <w:overflowPunct w:val="0"/>
              <w:spacing w:line="360" w:lineRule="auto"/>
              <w:jc w:val="center"/>
              <w:rPr>
                <w:rFonts w:ascii="宋体"/>
                <w:color w:val="000000"/>
                <w:sz w:val="24"/>
              </w:rPr>
            </w:pPr>
          </w:p>
        </w:tc>
        <w:tc>
          <w:tcPr>
            <w:tcW w:w="745" w:type="dxa"/>
            <w:noWrap w:val="0"/>
            <w:vAlign w:val="center"/>
          </w:tcPr>
          <w:p>
            <w:pPr>
              <w:overflowPunct w:val="0"/>
              <w:spacing w:line="360" w:lineRule="auto"/>
              <w:jc w:val="center"/>
              <w:rPr>
                <w:rFonts w:ascii="宋体"/>
                <w:color w:val="000000"/>
                <w:sz w:val="24"/>
              </w:rPr>
            </w:pPr>
          </w:p>
        </w:tc>
      </w:tr>
    </w:tbl>
    <w:p>
      <w:pPr>
        <w:overflowPunct w:val="0"/>
        <w:spacing w:line="360" w:lineRule="auto"/>
        <w:rPr>
          <w:rFonts w:ascii="宋体"/>
          <w:b/>
          <w:color w:val="000000"/>
          <w:sz w:val="24"/>
        </w:rPr>
      </w:pPr>
      <w:r>
        <w:rPr>
          <w:rFonts w:ascii="宋体"/>
          <w:color w:val="000000"/>
          <w:sz w:val="24"/>
        </w:rPr>
        <w:br w:type="page"/>
      </w:r>
      <w:r>
        <w:rPr>
          <w:rFonts w:hint="eastAsia" w:ascii="宋体" w:hAnsi="宋体"/>
          <w:b/>
          <w:color w:val="000000"/>
          <w:sz w:val="24"/>
        </w:rPr>
        <w:t>附</w:t>
      </w:r>
      <w:r>
        <w:rPr>
          <w:rFonts w:hint="eastAsia" w:ascii="宋体" w:hAnsi="宋体"/>
          <w:b/>
          <w:color w:val="000000"/>
          <w:sz w:val="24"/>
          <w:lang w:val="en-US" w:eastAsia="zh-CN"/>
        </w:rPr>
        <w:t>5</w:t>
      </w:r>
      <w:r>
        <w:rPr>
          <w:rFonts w:hint="eastAsia" w:ascii="宋体" w:hAnsi="宋体"/>
          <w:b/>
          <w:color w:val="000000"/>
          <w:sz w:val="24"/>
        </w:rPr>
        <w:t>：拟配备本工程的试验和检测仪器设备表</w:t>
      </w:r>
    </w:p>
    <w:tbl>
      <w:tblPr>
        <w:tblStyle w:val="34"/>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序号</w:t>
            </w:r>
          </w:p>
        </w:tc>
        <w:tc>
          <w:tcPr>
            <w:tcW w:w="1064"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仪器设备名称</w:t>
            </w:r>
          </w:p>
        </w:tc>
        <w:tc>
          <w:tcPr>
            <w:tcW w:w="1120"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型号</w:t>
            </w:r>
          </w:p>
          <w:p>
            <w:pPr>
              <w:overflowPunct w:val="0"/>
              <w:spacing w:line="360" w:lineRule="auto"/>
              <w:jc w:val="center"/>
              <w:rPr>
                <w:rFonts w:ascii="宋体"/>
                <w:color w:val="000000"/>
                <w:sz w:val="24"/>
              </w:rPr>
            </w:pPr>
            <w:r>
              <w:rPr>
                <w:rFonts w:hint="eastAsia" w:ascii="宋体" w:hAnsi="宋体"/>
                <w:color w:val="000000"/>
                <w:sz w:val="24"/>
              </w:rPr>
              <w:t>规格</w:t>
            </w:r>
          </w:p>
        </w:tc>
        <w:tc>
          <w:tcPr>
            <w:tcW w:w="1031"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数量</w:t>
            </w:r>
          </w:p>
        </w:tc>
        <w:tc>
          <w:tcPr>
            <w:tcW w:w="876"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国别</w:t>
            </w:r>
          </w:p>
          <w:p>
            <w:pPr>
              <w:overflowPunct w:val="0"/>
              <w:spacing w:line="360" w:lineRule="auto"/>
              <w:jc w:val="center"/>
              <w:rPr>
                <w:rFonts w:ascii="宋体"/>
                <w:color w:val="000000"/>
                <w:sz w:val="24"/>
              </w:rPr>
            </w:pPr>
            <w:r>
              <w:rPr>
                <w:rFonts w:hint="eastAsia" w:ascii="宋体" w:hAnsi="宋体"/>
                <w:color w:val="000000"/>
                <w:sz w:val="24"/>
              </w:rPr>
              <w:t>产地</w:t>
            </w:r>
          </w:p>
        </w:tc>
        <w:tc>
          <w:tcPr>
            <w:tcW w:w="973"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制造</w:t>
            </w:r>
          </w:p>
          <w:p>
            <w:pPr>
              <w:overflowPunct w:val="0"/>
              <w:spacing w:line="360" w:lineRule="auto"/>
              <w:jc w:val="center"/>
              <w:rPr>
                <w:rFonts w:ascii="宋体"/>
                <w:color w:val="000000"/>
                <w:sz w:val="24"/>
              </w:rPr>
            </w:pPr>
            <w:r>
              <w:rPr>
                <w:rFonts w:hint="eastAsia" w:ascii="宋体" w:hAnsi="宋体"/>
                <w:color w:val="000000"/>
                <w:sz w:val="24"/>
              </w:rPr>
              <w:t>年份</w:t>
            </w:r>
          </w:p>
        </w:tc>
        <w:tc>
          <w:tcPr>
            <w:tcW w:w="1260"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已使用</w:t>
            </w:r>
          </w:p>
          <w:p>
            <w:pPr>
              <w:overflowPunct w:val="0"/>
              <w:spacing w:line="360" w:lineRule="auto"/>
              <w:jc w:val="center"/>
              <w:rPr>
                <w:rFonts w:ascii="宋体"/>
                <w:color w:val="000000"/>
                <w:sz w:val="24"/>
              </w:rPr>
            </w:pPr>
            <w:r>
              <w:rPr>
                <w:rFonts w:hint="eastAsia" w:ascii="宋体" w:hAnsi="宋体"/>
                <w:color w:val="000000"/>
                <w:sz w:val="24"/>
              </w:rPr>
              <w:t>台时数</w:t>
            </w:r>
          </w:p>
        </w:tc>
        <w:tc>
          <w:tcPr>
            <w:tcW w:w="856"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用</w:t>
            </w:r>
            <w:r>
              <w:rPr>
                <w:rFonts w:ascii="宋体" w:hAnsi="宋体"/>
                <w:color w:val="000000"/>
                <w:sz w:val="24"/>
              </w:rPr>
              <w:t xml:space="preserve">  </w:t>
            </w:r>
            <w:r>
              <w:rPr>
                <w:rFonts w:hint="eastAsia" w:ascii="宋体" w:hAnsi="宋体"/>
                <w:color w:val="000000"/>
                <w:sz w:val="24"/>
              </w:rPr>
              <w:t>途</w:t>
            </w:r>
          </w:p>
        </w:tc>
        <w:tc>
          <w:tcPr>
            <w:tcW w:w="1056" w:type="dxa"/>
            <w:noWrap w:val="0"/>
            <w:vAlign w:val="center"/>
          </w:tcPr>
          <w:p>
            <w:pPr>
              <w:overflowPunct w:val="0"/>
              <w:spacing w:line="360" w:lineRule="auto"/>
              <w:jc w:val="center"/>
              <w:rPr>
                <w:rFonts w:asci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overflowPunct w:val="0"/>
              <w:spacing w:line="360" w:lineRule="auto"/>
              <w:jc w:val="center"/>
              <w:rPr>
                <w:rFonts w:ascii="宋体"/>
                <w:color w:val="000000"/>
                <w:sz w:val="24"/>
              </w:rPr>
            </w:pPr>
          </w:p>
        </w:tc>
        <w:tc>
          <w:tcPr>
            <w:tcW w:w="1064" w:type="dxa"/>
            <w:noWrap w:val="0"/>
            <w:vAlign w:val="center"/>
          </w:tcPr>
          <w:p>
            <w:pPr>
              <w:overflowPunct w:val="0"/>
              <w:spacing w:line="360" w:lineRule="auto"/>
              <w:jc w:val="center"/>
              <w:rPr>
                <w:rFonts w:ascii="宋体"/>
                <w:color w:val="000000"/>
                <w:sz w:val="24"/>
              </w:rPr>
            </w:pPr>
          </w:p>
        </w:tc>
        <w:tc>
          <w:tcPr>
            <w:tcW w:w="1120" w:type="dxa"/>
            <w:noWrap w:val="0"/>
            <w:vAlign w:val="center"/>
          </w:tcPr>
          <w:p>
            <w:pPr>
              <w:overflowPunct w:val="0"/>
              <w:spacing w:line="360" w:lineRule="auto"/>
              <w:jc w:val="center"/>
              <w:rPr>
                <w:rFonts w:ascii="宋体"/>
                <w:color w:val="000000"/>
                <w:sz w:val="24"/>
              </w:rPr>
            </w:pPr>
          </w:p>
        </w:tc>
        <w:tc>
          <w:tcPr>
            <w:tcW w:w="1031" w:type="dxa"/>
            <w:noWrap w:val="0"/>
            <w:vAlign w:val="center"/>
          </w:tcPr>
          <w:p>
            <w:pPr>
              <w:overflowPunct w:val="0"/>
              <w:spacing w:line="360" w:lineRule="auto"/>
              <w:jc w:val="center"/>
              <w:rPr>
                <w:rFonts w:ascii="宋体"/>
                <w:color w:val="000000"/>
                <w:sz w:val="24"/>
              </w:rPr>
            </w:pPr>
          </w:p>
        </w:tc>
        <w:tc>
          <w:tcPr>
            <w:tcW w:w="876" w:type="dxa"/>
            <w:noWrap w:val="0"/>
            <w:vAlign w:val="center"/>
          </w:tcPr>
          <w:p>
            <w:pPr>
              <w:overflowPunct w:val="0"/>
              <w:spacing w:line="360" w:lineRule="auto"/>
              <w:jc w:val="center"/>
              <w:rPr>
                <w:rFonts w:ascii="宋体"/>
                <w:color w:val="000000"/>
                <w:sz w:val="24"/>
              </w:rPr>
            </w:pPr>
          </w:p>
        </w:tc>
        <w:tc>
          <w:tcPr>
            <w:tcW w:w="973" w:type="dxa"/>
            <w:noWrap w:val="0"/>
            <w:vAlign w:val="center"/>
          </w:tcPr>
          <w:p>
            <w:pPr>
              <w:overflowPunct w:val="0"/>
              <w:spacing w:line="360" w:lineRule="auto"/>
              <w:jc w:val="center"/>
              <w:rPr>
                <w:rFonts w:ascii="宋体"/>
                <w:color w:val="000000"/>
                <w:sz w:val="24"/>
              </w:rPr>
            </w:pPr>
          </w:p>
        </w:tc>
        <w:tc>
          <w:tcPr>
            <w:tcW w:w="1260" w:type="dxa"/>
            <w:noWrap w:val="0"/>
            <w:vAlign w:val="center"/>
          </w:tcPr>
          <w:p>
            <w:pPr>
              <w:overflowPunct w:val="0"/>
              <w:spacing w:line="360" w:lineRule="auto"/>
              <w:jc w:val="center"/>
              <w:rPr>
                <w:rFonts w:ascii="宋体"/>
                <w:color w:val="000000"/>
                <w:sz w:val="24"/>
              </w:rPr>
            </w:pPr>
          </w:p>
        </w:tc>
        <w:tc>
          <w:tcPr>
            <w:tcW w:w="856" w:type="dxa"/>
            <w:noWrap w:val="0"/>
            <w:vAlign w:val="center"/>
          </w:tcPr>
          <w:p>
            <w:pPr>
              <w:overflowPunct w:val="0"/>
              <w:spacing w:line="360" w:lineRule="auto"/>
              <w:jc w:val="center"/>
              <w:rPr>
                <w:rFonts w:ascii="宋体"/>
                <w:color w:val="000000"/>
                <w:sz w:val="24"/>
              </w:rPr>
            </w:pPr>
          </w:p>
        </w:tc>
        <w:tc>
          <w:tcPr>
            <w:tcW w:w="1056" w:type="dxa"/>
            <w:noWrap w:val="0"/>
            <w:vAlign w:val="center"/>
          </w:tcPr>
          <w:p>
            <w:pPr>
              <w:overflowPunct w:val="0"/>
              <w:spacing w:line="360" w:lineRule="auto"/>
              <w:jc w:val="center"/>
              <w:rPr>
                <w:rFonts w:ascii="宋体"/>
                <w:color w:val="000000"/>
                <w:sz w:val="24"/>
              </w:rPr>
            </w:pPr>
          </w:p>
        </w:tc>
      </w:tr>
    </w:tbl>
    <w:p>
      <w:pPr>
        <w:widowControl/>
        <w:jc w:val="left"/>
        <w:rPr>
          <w:rFonts w:hint="eastAsia" w:ascii="宋体" w:hAnsi="宋体"/>
          <w:b/>
          <w:color w:val="000000"/>
          <w:sz w:val="24"/>
        </w:rPr>
      </w:pPr>
      <w:r>
        <w:rPr>
          <w:rFonts w:ascii="宋体"/>
          <w:b/>
          <w:color w:val="000000"/>
          <w:sz w:val="24"/>
        </w:rPr>
        <w:br w:type="page"/>
      </w:r>
    </w:p>
    <w:p>
      <w:pPr>
        <w:keepLines/>
        <w:pageBreakBefore/>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320" w:name="_Toc500323116"/>
      <w:bookmarkStart w:id="321" w:name="_Toc6747"/>
      <w:bookmarkStart w:id="322" w:name="_Toc14452"/>
      <w:bookmarkStart w:id="323" w:name="_Toc6183"/>
      <w:bookmarkStart w:id="324" w:name="_Toc526842731"/>
      <w:r>
        <w:rPr>
          <w:rFonts w:hint="eastAsia" w:ascii="宋体" w:hAnsi="宋体" w:cs="宋体"/>
          <w:b/>
          <w:color w:val="000000" w:themeColor="text1"/>
          <w:sz w:val="28"/>
          <w:szCs w:val="28"/>
          <w:lang w:eastAsia="zh-CN"/>
          <w14:textFill>
            <w14:solidFill>
              <w14:schemeClr w14:val="tx1"/>
            </w14:solidFill>
          </w14:textFill>
        </w:rPr>
        <w:t>六</w:t>
      </w:r>
      <w:r>
        <w:rPr>
          <w:rFonts w:hint="eastAsia" w:ascii="宋体" w:hAnsi="宋体" w:eastAsia="宋体" w:cs="宋体"/>
          <w:b/>
          <w:color w:val="000000" w:themeColor="text1"/>
          <w:sz w:val="28"/>
          <w:szCs w:val="28"/>
          <w14:textFill>
            <w14:solidFill>
              <w14:schemeClr w14:val="tx1"/>
            </w14:solidFill>
          </w14:textFill>
        </w:rPr>
        <w:t>、商务</w:t>
      </w:r>
      <w:bookmarkEnd w:id="320"/>
      <w:bookmarkEnd w:id="321"/>
      <w:bookmarkEnd w:id="322"/>
      <w:r>
        <w:rPr>
          <w:rFonts w:hint="eastAsia" w:ascii="宋体" w:hAnsi="宋体" w:eastAsia="宋体" w:cs="宋体"/>
          <w:b/>
          <w:color w:val="000000" w:themeColor="text1"/>
          <w:sz w:val="28"/>
          <w:szCs w:val="28"/>
          <w14:textFill>
            <w14:solidFill>
              <w14:schemeClr w14:val="tx1"/>
            </w14:solidFill>
          </w14:textFill>
        </w:rPr>
        <w:t>方案</w:t>
      </w:r>
      <w:bookmarkEnd w:id="323"/>
      <w:bookmarkEnd w:id="324"/>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包括但不限于：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1.同类业绩；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2.项目组织管理及人员安排；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3.后续服务；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4.有必要说明的商务事宜。</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eastAsia="宋体" w:cs="宋体"/>
          <w:b/>
          <w:bCs/>
          <w:color w:val="000000" w:themeColor="text1"/>
          <w:sz w:val="24"/>
          <w:szCs w:val="22"/>
          <w14:textFill>
            <w14:solidFill>
              <w14:schemeClr w14:val="tx1"/>
            </w14:solidFill>
          </w14:textFill>
        </w:rPr>
        <w:t>注：磋商方案无固定格式，供应商自拟（参照评标办法中商务</w:t>
      </w:r>
      <w:r>
        <w:rPr>
          <w:rFonts w:hint="eastAsia" w:ascii="宋体" w:hAnsi="宋体" w:eastAsia="宋体" w:cs="宋体"/>
          <w:b/>
          <w:bCs/>
          <w:color w:val="000000" w:themeColor="text1"/>
          <w:sz w:val="24"/>
          <w:szCs w:val="22"/>
          <w:lang w:val="en-US" w:eastAsia="zh-CN"/>
          <w14:textFill>
            <w14:solidFill>
              <w14:schemeClr w14:val="tx1"/>
            </w14:solidFill>
          </w14:textFill>
        </w:rPr>
        <w:t>部分</w:t>
      </w:r>
      <w:r>
        <w:rPr>
          <w:rFonts w:hint="eastAsia" w:ascii="宋体" w:hAnsi="宋体" w:eastAsia="宋体" w:cs="宋体"/>
          <w:b/>
          <w:bCs/>
          <w:color w:val="000000" w:themeColor="text1"/>
          <w:sz w:val="24"/>
          <w:szCs w:val="22"/>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318"/>
    <w:bookmarkEnd w:id="319"/>
    <w:p>
      <w:pPr>
        <w:spacing w:line="360" w:lineRule="auto"/>
        <w:ind w:firstLine="420" w:firstLineChars="200"/>
        <w:rPr>
          <w:rFonts w:hint="eastAsia" w:ascii="宋体" w:hAnsi="宋体" w:eastAsia="宋体" w:cs="宋体"/>
          <w:color w:val="000000" w:themeColor="text1"/>
          <w14:textFill>
            <w14:solidFill>
              <w14:schemeClr w14:val="tx1"/>
            </w14:solidFill>
          </w14:textFill>
        </w:rPr>
      </w:pPr>
      <w:bookmarkStart w:id="325" w:name="_Toc19179"/>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bookmarkEnd w:id="325"/>
    <w:p>
      <w:pPr>
        <w:keepLines/>
        <w:pageBreakBefore/>
        <w:numPr>
          <w:ilvl w:val="0"/>
          <w:numId w:val="5"/>
        </w:numPr>
        <w:spacing w:line="360" w:lineRule="auto"/>
        <w:jc w:val="center"/>
        <w:outlineLvl w:val="1"/>
        <w:rPr>
          <w:rFonts w:hint="eastAsia" w:ascii="宋体" w:hAnsi="宋体" w:cs="宋体"/>
          <w:b/>
          <w:color w:val="000000"/>
          <w:sz w:val="30"/>
          <w:szCs w:val="30"/>
        </w:rPr>
      </w:pPr>
      <w:r>
        <w:rPr>
          <w:rFonts w:hint="eastAsia" w:ascii="宋体" w:hAnsi="宋体" w:cs="宋体"/>
          <w:b/>
          <w:color w:val="000000"/>
          <w:sz w:val="30"/>
          <w:szCs w:val="30"/>
        </w:rPr>
        <w:t>陕西省政府采购供应商拒绝政府采购领域商业贿赂承诺书</w:t>
      </w:r>
    </w:p>
    <w:p>
      <w:pPr>
        <w:pStyle w:val="17"/>
        <w:numPr>
          <w:ilvl w:val="0"/>
          <w:numId w:val="0"/>
        </w:numPr>
        <w:jc w:val="both"/>
        <w:rPr>
          <w:rFonts w:hint="eastAsia"/>
        </w:rPr>
      </w:pP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为响应党中央、国务院关于治理政府采购领域商业贿赂行为的号召，我公司在此庄严承诺：</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1.在参与政府采购活动中遵纪守法、诚信经营、公平竞标。</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2.不向政府采购人、采购代理机构和政府采购评审专家进行任何形式的商业贿赂以谋取交易机会。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3.不向政府采购代理机构和采购人提供虚假资质文件或采用虚假应标方式参与政府采购市场竞争并谋取中标、成交。</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4.不采取“围标、陪标”等商业欺诈手段获得政府采购定单。</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5.不采取不正当手段诋毁、排挤其他供应商。</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6.不在提供商品和服务时“偷梁换柱、以次充好”损害采购人的合法权益。</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7.不与采购人、采购代理机构政府采购评审专家或其它供应商恶意串通，进行质疑和投诉，维护政府采购市场秩序。</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8.尊重和接受政府采购监督管理部门的监督和政府采购代理机构招标采购要求，承担因违约行为给采购人造成的损失。</w:t>
      </w:r>
    </w:p>
    <w:p>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9.不发生其他有悖于政府采购公开、公平、公正和诚信原则的行为。</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  址：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邮  编：</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hAnsi="宋体" w:cs="宋体"/>
          <w:b/>
          <w:color w:val="000000"/>
          <w:sz w:val="24"/>
          <w:szCs w:val="24"/>
        </w:rPr>
      </w:pPr>
      <w:r>
        <w:rPr>
          <w:rFonts w:hint="eastAsia" w:ascii="宋体" w:hAnsi="宋体" w:cs="宋体"/>
          <w:color w:val="000000"/>
          <w:kern w:val="0"/>
          <w:sz w:val="24"/>
          <w:szCs w:val="24"/>
        </w:rPr>
        <w:t>电  话：                        </w:t>
      </w:r>
    </w:p>
    <w:p>
      <w:pPr>
        <w:keepNext w:val="0"/>
        <w:keepLines w:val="0"/>
        <w:pageBreakBefore w:val="0"/>
        <w:kinsoku/>
        <w:wordWrap/>
        <w:overflowPunct/>
        <w:topLinePunct w:val="0"/>
        <w:autoSpaceDE/>
        <w:autoSpaceDN/>
        <w:bidi w:val="0"/>
        <w:adjustRightInd/>
        <w:snapToGrid/>
        <w:spacing w:line="580" w:lineRule="exact"/>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供应商：</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（盖章）                                </w:t>
      </w:r>
    </w:p>
    <w:p>
      <w:pPr>
        <w:keepNext w:val="0"/>
        <w:keepLines w:val="0"/>
        <w:pageBreakBefore w:val="0"/>
        <w:kinsoku/>
        <w:wordWrap/>
        <w:overflowPunct/>
        <w:topLinePunct w:val="0"/>
        <w:autoSpaceDE/>
        <w:autoSpaceDN/>
        <w:bidi w:val="0"/>
        <w:adjustRightInd/>
        <w:snapToGrid/>
        <w:spacing w:line="580" w:lineRule="exact"/>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pPr>
        <w:keepNext w:val="0"/>
        <w:keepLines w:val="0"/>
        <w:pageBreakBefore w:val="0"/>
        <w:kinsoku/>
        <w:wordWrap/>
        <w:overflowPunct/>
        <w:topLinePunct w:val="0"/>
        <w:autoSpaceDE/>
        <w:autoSpaceDN/>
        <w:bidi w:val="0"/>
        <w:adjustRightInd/>
        <w:snapToGrid/>
        <w:spacing w:line="580" w:lineRule="exact"/>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（签字）  </w:t>
      </w:r>
    </w:p>
    <w:p>
      <w:pPr>
        <w:keepNext w:val="0"/>
        <w:keepLines w:val="0"/>
        <w:pageBreakBefore w:val="0"/>
        <w:kinsoku/>
        <w:wordWrap/>
        <w:overflowPunct/>
        <w:topLinePunct w:val="0"/>
        <w:autoSpaceDE/>
        <w:autoSpaceDN/>
        <w:bidi w:val="0"/>
        <w:adjustRightInd/>
        <w:snapToGrid/>
        <w:spacing w:line="580" w:lineRule="exact"/>
        <w:ind w:firstLine="482" w:firstLineChars="200"/>
        <w:jc w:val="both"/>
        <w:textAlignment w:val="auto"/>
        <w:rPr>
          <w:rFonts w:hint="default" w:ascii="宋体" w:hAnsi="宋体" w:eastAsia="宋体" w:cs="宋体"/>
          <w:b/>
          <w:color w:val="000000"/>
          <w:sz w:val="32"/>
          <w:szCs w:val="32"/>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000000"/>
          <w:sz w:val="24"/>
          <w:szCs w:val="24"/>
        </w:rPr>
        <w:t xml:space="preserve">日    期：  年 </w:t>
      </w:r>
      <w:r>
        <w:rPr>
          <w:rFonts w:hint="eastAsia" w:ascii="宋体" w:hAnsi="宋体" w:cs="宋体"/>
          <w:b/>
          <w:color w:val="000000"/>
          <w:sz w:val="24"/>
          <w:szCs w:val="24"/>
          <w:lang w:val="en-US" w:eastAsia="zh-CN"/>
        </w:rPr>
        <w:t xml:space="preserve"> 月  日</w:t>
      </w:r>
    </w:p>
    <w:p>
      <w:pPr>
        <w:pStyle w:val="32"/>
        <w:ind w:left="0" w:leftChars="0" w:firstLine="0" w:firstLineChars="0"/>
        <w:rPr>
          <w:rFonts w:hint="eastAsia" w:ascii="宋体" w:hAnsi="宋体" w:eastAsia="宋体" w:cs="宋体"/>
          <w:b/>
          <w:bCs/>
          <w:color w:val="000000"/>
          <w:sz w:val="24"/>
        </w:rPr>
      </w:pPr>
    </w:p>
    <w:p>
      <w:pPr>
        <w:widowControl/>
        <w:numPr>
          <w:ilvl w:val="0"/>
          <w:numId w:val="0"/>
        </w:numPr>
        <w:spacing w:line="360" w:lineRule="auto"/>
        <w:ind w:leftChars="200"/>
        <w:jc w:val="center"/>
        <w:rPr>
          <w:rFonts w:hint="eastAsia" w:ascii="宋体" w:hAnsi="宋体" w:eastAsia="宋体" w:cs="宋体"/>
          <w:b/>
          <w:color w:val="000000" w:themeColor="text1"/>
          <w:sz w:val="28"/>
          <w:szCs w:val="28"/>
          <w14:textFill>
            <w14:solidFill>
              <w14:schemeClr w14:val="tx1"/>
            </w14:solidFill>
          </w14:textFill>
        </w:rPr>
      </w:pPr>
      <w:bookmarkStart w:id="326" w:name="_Toc11275"/>
      <w:bookmarkStart w:id="327" w:name="_Toc526842734"/>
      <w:bookmarkStart w:id="328" w:name="_Toc500323119"/>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14:textFill>
            <w14:solidFill>
              <w14:schemeClr w14:val="tx1"/>
            </w14:solidFill>
          </w14:textFill>
        </w:rPr>
        <w:t>资格审查资料</w:t>
      </w:r>
      <w:bookmarkEnd w:id="326"/>
      <w:bookmarkEnd w:id="327"/>
      <w:bookmarkEnd w:id="328"/>
    </w:p>
    <w:p>
      <w:pPr>
        <w:pStyle w:val="9"/>
        <w:numPr>
          <w:ilvl w:val="0"/>
          <w:numId w:val="0"/>
        </w:numPr>
        <w:ind w:leftChars="200"/>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以下资格审查资料在磋商响应文件中需提供加盖公章的复印件：</w:t>
      </w:r>
    </w:p>
    <w:p>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（1）基本资格条件：符合《中华人民共和国政府采购法》第二十二条的规定；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rPr>
      </w:pPr>
      <w:r>
        <w:rPr>
          <w:rFonts w:hint="eastAsia" w:ascii="宋体" w:hAnsi="宋体" w:cs="宋体"/>
          <w:bCs/>
          <w:color w:val="000000"/>
          <w:sz w:val="24"/>
          <w:szCs w:val="24"/>
          <w:lang w:val="en-US" w:eastAsia="zh-CN"/>
        </w:rPr>
        <w:t>（2）特定资格条件：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bookmarkStart w:id="329" w:name="_Toc421778393"/>
      <w:bookmarkStart w:id="330" w:name="_Toc25286"/>
      <w:bookmarkStart w:id="331" w:name="_Toc410976269"/>
      <w:bookmarkStart w:id="332" w:name="_Toc420591675"/>
      <w:bookmarkStart w:id="333" w:name="_Toc425240488"/>
      <w:bookmarkStart w:id="334" w:name="_Toc17898"/>
      <w:r>
        <w:rPr>
          <w:rFonts w:hint="eastAsia" w:ascii="宋体" w:hAnsi="宋体" w:eastAsia="宋体" w:cs="宋体"/>
          <w:color w:val="000000"/>
          <w:sz w:val="24"/>
          <w:szCs w:val="24"/>
          <w:lang w:val="en-US" w:eastAsia="zh-CN"/>
        </w:rPr>
        <w:t>具有独立承担民事责任能力的法人、其他组织或自然人，法人或其他组织提供营业执照（事业单位法人证书），自然人提供身份证明；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提供营业执照、税务登记证、组织机构代码证或三证合一的营业执照（供应商无需提供营业执照年检报告，在资格审查时通过互联网或者相关信息系统查询）；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2.银行开户许可证或开户行基本信息；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.法定代表人授权委托书及被授权人身份证（法定代表人直接参加时，只须出示法定代表人身份证）；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.提供参加政府采购活动前3年内经营活动中没有重大违法记录声明；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5.税收缴纳证明：自20</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月1日以来已缴纳的至少一个月的纳税证明或完税证明，纳税证明或完税证明上应有代收机构或税务机关的公章。依法免税的供应商应提供相关文件证明；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6.社会保障资金缴纳证明：自20</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月1日以来至少一个月的已缴存的社会保障资金缴存单据或社保机构开具的社会保险参保缴费情况证明。依法不需要缴纳社会保障资金的磋商供应商应提供相关文件证明；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7.财务状况报告：提供</w:t>
      </w:r>
      <w:r>
        <w:rPr>
          <w:rFonts w:hint="eastAsia" w:ascii="宋体" w:hAnsi="宋体" w:cs="宋体"/>
          <w:color w:val="000000"/>
          <w:sz w:val="24"/>
          <w:szCs w:val="24"/>
          <w:lang w:val="en-US" w:eastAsia="zh-CN"/>
        </w:rPr>
        <w:t>2022</w:t>
      </w:r>
      <w:r>
        <w:rPr>
          <w:rFonts w:hint="eastAsia" w:ascii="宋体" w:hAnsi="宋体" w:eastAsia="宋体" w:cs="宋体"/>
          <w:color w:val="000000"/>
          <w:sz w:val="24"/>
          <w:szCs w:val="24"/>
          <w:lang w:val="en-US" w:eastAsia="zh-CN"/>
        </w:rPr>
        <w:t>或20</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lang w:val="en-US" w:eastAsia="zh-CN"/>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需具备建筑工程施工总承包叁级及以上资质（含叁级），或建筑装修装饰工程专业承包贰级及以上资质（含贰级），并在人员、设备、资金等方面具有相应的施工能力，具有有效的安全生产许可证，其中拟派项目经理须具备建筑工程专业二级及以上注册建造师执业资格，具备有效的安全生产考核合格证书，且在本单位注册，未担任其他在建工程项目的项目经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val="en-US" w:eastAsia="zh-CN"/>
        </w:rPr>
        <w:t>.根据财政部《关于在政府采购活动中查询及使用信用记录有关问题的通知》（财库〔2016〕125号）要求，供应商不得被列入【信用中国（www.creditchina.gov.cn）】“重大税收违法案件当事人名单”，【中国执行信息公开网（http://zxgk.court.gov.cn）】“失信被执行人”，【中国政府采购网（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.提供磋商保证金的银行转账或电汇凭证并确保响应文件递交截止时间前到达采购文件指定账户；</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.本项目专门面向中小企业采购（提供中小企业声明函）。</w:t>
      </w:r>
    </w:p>
    <w:p>
      <w:pPr>
        <w:pageBreakBefore w:val="0"/>
        <w:kinsoku/>
        <w:wordWrap/>
        <w:overflowPunct/>
        <w:topLinePunct w:val="0"/>
        <w:autoSpaceDE/>
        <w:autoSpaceDN/>
        <w:bidi w:val="0"/>
        <w:spacing w:line="48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.本项目不接受联合体磋商。</w:t>
      </w:r>
    </w:p>
    <w:p>
      <w:pPr>
        <w:widowControl/>
        <w:spacing w:line="360" w:lineRule="auto"/>
        <w:ind w:firstLine="560" w:firstLineChars="200"/>
        <w:rPr>
          <w:rFonts w:hint="eastAsia"/>
          <w:sz w:val="28"/>
          <w:szCs w:val="28"/>
          <w:lang w:val="en-US" w:eastAsia="zh-CN"/>
        </w:rPr>
        <w:sectPr>
          <w:footerReference r:id="rId13" w:type="first"/>
          <w:footerReference r:id="rId12"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2"/>
        <w:rPr>
          <w:rFonts w:hint="eastAsia" w:ascii="宋体" w:hAnsi="宋体" w:eastAsia="宋体" w:cs="宋体"/>
          <w:b/>
          <w:bCs/>
          <w:sz w:val="24"/>
          <w:szCs w:val="24"/>
          <w:lang w:val="en-US" w:eastAsia="zh-CN"/>
        </w:rPr>
      </w:pPr>
      <w:bookmarkStart w:id="335" w:name="_Hlk518637502"/>
      <w:bookmarkStart w:id="336"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pPr>
        <w:pStyle w:val="32"/>
        <w:rPr>
          <w:rFonts w:hint="eastAsia"/>
          <w:lang w:val="en-US" w:eastAsia="zh-CN"/>
        </w:rPr>
      </w:pPr>
    </w:p>
    <w:p>
      <w:pPr>
        <w:pStyle w:val="32"/>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《中华人民共和国政府采购法》第二十二条的</w:t>
      </w:r>
      <w:r>
        <w:rPr>
          <w:rFonts w:hint="eastAsia" w:ascii="宋体" w:hAnsi="宋体" w:eastAsia="宋体" w:cs="宋体"/>
          <w:b/>
          <w:color w:val="000000"/>
          <w:sz w:val="28"/>
          <w:szCs w:val="28"/>
        </w:rPr>
        <w:t>书面</w:t>
      </w:r>
      <w:r>
        <w:rPr>
          <w:rFonts w:hint="eastAsia" w:ascii="宋体" w:hAnsi="宋体" w:eastAsia="宋体" w:cs="宋体"/>
          <w:b/>
          <w:color w:val="000000"/>
          <w:sz w:val="28"/>
          <w:szCs w:val="28"/>
          <w:lang w:val="en-US" w:eastAsia="zh-CN"/>
        </w:rPr>
        <w:t>承诺函</w:t>
      </w:r>
    </w:p>
    <w:p>
      <w:pPr>
        <w:pStyle w:val="3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我单位作为参加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采购项目的</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 xml:space="preserve">单位，现郑重承诺我单位具备《中华人民共和国政府采购法》第二十二条供应商参加政府采购活动的基本资格条件： </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（一）我单位具有独立承担民事责任的能力； </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（二）我单位具有良好的商业信誉和健全的财务会计制度；</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（三）我单位具有履行合同所必需的设备和专业技术能力； </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（四）我单位有依法缴纳税收和社会保障资金的良好记录； </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（五）我单位参加政府采购活动前三年内，在经营活动中没有重大违法记录； </w:t>
      </w:r>
    </w:p>
    <w:p>
      <w:pPr>
        <w:pStyle w:val="32"/>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（六）我单位满足法律、行政法规规定的其他条件。</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法定代表人：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none"/>
          <w:lang w:val="en-US" w:eastAsia="zh-CN"/>
        </w:rPr>
        <w:t>（签字或法人印鉴）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委托代理人：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 xml:space="preserve">（签字）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日    期：  年  月  日</w:t>
      </w: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2</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参加政府采购活动前3年内在经营活动中没有重大违法记录的书面声明</w:t>
      </w:r>
    </w:p>
    <w:p>
      <w:pPr>
        <w:spacing w:line="360" w:lineRule="auto"/>
        <w:jc w:val="left"/>
        <w:rPr>
          <w:rFonts w:hint="eastAsia" w:ascii="宋体" w:hAnsi="宋体" w:eastAsia="宋体" w:cs="宋体"/>
          <w:color w:val="000000" w:themeColor="text1"/>
          <w:sz w:val="28"/>
          <w:szCs w:val="28"/>
          <w14:textFill>
            <w14:solidFill>
              <w14:schemeClr w14:val="tx1"/>
            </w14:solidFill>
          </w14:textFill>
        </w:rPr>
      </w:pP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（采购人名称）</w:t>
      </w:r>
    </w:p>
    <w:p>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w:t>
      </w:r>
      <w:r>
        <w:rPr>
          <w:rFonts w:hint="eastAsia" w:ascii="宋体" w:hAnsi="宋体" w:eastAsia="宋体" w:cs="宋体"/>
          <w:color w:val="000000" w:themeColor="text1"/>
          <w:sz w:val="24"/>
          <w:szCs w:val="24"/>
          <w:u w:val="single"/>
          <w14:textFill>
            <w14:solidFill>
              <w14:schemeClr w14:val="tx1"/>
            </w14:solidFill>
          </w14:textFill>
        </w:rPr>
        <w:t xml:space="preserve">         （供应商名称）</w:t>
      </w:r>
      <w:r>
        <w:rPr>
          <w:rFonts w:hint="eastAsia" w:ascii="宋体" w:hAnsi="宋体" w:eastAsia="宋体" w:cs="宋体"/>
          <w:color w:val="000000" w:themeColor="text1"/>
          <w:sz w:val="24"/>
          <w:szCs w:val="24"/>
          <w14:textFill>
            <w14:solidFill>
              <w14:schemeClr w14:val="tx1"/>
            </w14:solidFill>
          </w14:textFill>
        </w:rPr>
        <w:t>参加政府采购活动前3年内，在经营活动中没有重大违法记录，特此声明。</w:t>
      </w:r>
    </w:p>
    <w:p>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若采购人在本项目</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活动，并承担因此引起的一切后果。</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17"/>
        <w:rPr>
          <w:rFonts w:hint="eastAsia" w:ascii="宋体" w:hAnsi="宋体" w:eastAsia="宋体" w:cs="宋体"/>
          <w:color w:val="000000" w:themeColor="text1"/>
          <w:sz w:val="24"/>
          <w:szCs w:val="24"/>
          <w14:textFill>
            <w14:solidFill>
              <w14:schemeClr w14:val="tx1"/>
            </w14:solidFill>
          </w14:textFill>
        </w:rPr>
      </w:pPr>
    </w:p>
    <w:p>
      <w:pPr>
        <w:rPr>
          <w:rFonts w:hint="eastAsia"/>
          <w:sz w:val="24"/>
          <w:szCs w:val="24"/>
        </w:rPr>
      </w:pPr>
    </w:p>
    <w:p>
      <w:pPr>
        <w:pStyle w:val="17"/>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法定代表人：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none"/>
          <w:lang w:val="en-US" w:eastAsia="zh-CN"/>
        </w:rPr>
        <w:t>（签字或法人印鉴）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委托代理人：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 xml:space="preserve">（签字）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szCs w:val="24"/>
        </w:rPr>
        <w:t>日    期：  年  月  日</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pStyle w:val="17"/>
        <w:rPr>
          <w:rFonts w:hint="eastAsia" w:ascii="宋体" w:hAnsi="宋体" w:eastAsia="宋体" w:cs="宋体"/>
          <w:b/>
          <w:color w:val="000000" w:themeColor="text1"/>
          <w:sz w:val="24"/>
          <w14:textFill>
            <w14:solidFill>
              <w14:schemeClr w14:val="tx1"/>
            </w14:solidFill>
          </w14:textFill>
        </w:rPr>
      </w:pPr>
    </w:p>
    <w:p>
      <w:pPr>
        <w:rPr>
          <w:rFonts w:hint="eastAsia"/>
        </w:rPr>
      </w:pPr>
    </w:p>
    <w:p>
      <w:pPr>
        <w:spacing w:line="360" w:lineRule="auto"/>
        <w:jc w:val="left"/>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3</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非联合体</w:t>
      </w:r>
      <w:r>
        <w:rPr>
          <w:rFonts w:hint="eastAsia" w:ascii="宋体" w:hAnsi="宋体" w:cs="宋体"/>
          <w:b/>
          <w:color w:val="000000" w:themeColor="text1"/>
          <w:sz w:val="28"/>
          <w:szCs w:val="28"/>
          <w:lang w:eastAsia="zh-CN"/>
          <w14:textFill>
            <w14:solidFill>
              <w14:schemeClr w14:val="tx1"/>
            </w14:solidFill>
          </w14:textFill>
        </w:rPr>
        <w:t>磋商</w:t>
      </w:r>
      <w:r>
        <w:rPr>
          <w:rFonts w:hint="eastAsia" w:ascii="宋体" w:hAnsi="宋体" w:eastAsia="宋体" w:cs="宋体"/>
          <w:b/>
          <w:color w:val="000000" w:themeColor="text1"/>
          <w:sz w:val="28"/>
          <w:szCs w:val="28"/>
          <w14:textFill>
            <w14:solidFill>
              <w14:schemeClr w14:val="tx1"/>
            </w14:solidFill>
          </w14:textFill>
        </w:rPr>
        <w:t>声明</w:t>
      </w:r>
    </w:p>
    <w:p>
      <w:pPr>
        <w:pStyle w:val="9"/>
        <w:rPr>
          <w:rFonts w:hint="eastAsia"/>
        </w:rPr>
      </w:pPr>
    </w:p>
    <w:p>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（采购人名称）</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我公司收到贵单位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竞争性磋商（项目编号：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）的磋商文件，经详细研究，我们决定参加该项目的磋商活动。为此，我方郑重声明以下内容，并负法律责任。</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1.本项目我公司以自己的名义参加</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，不存在联合体</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的情况。</w:t>
      </w:r>
    </w:p>
    <w:p>
      <w:pPr>
        <w:pStyle w:val="3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2.我公司愿按《中华人民共和国</w:t>
      </w:r>
      <w:r>
        <w:rPr>
          <w:rFonts w:hint="eastAsia" w:cs="宋体"/>
          <w:color w:val="000000" w:themeColor="text1"/>
          <w:sz w:val="24"/>
          <w:szCs w:val="24"/>
          <w:lang w:val="en-US"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》履行自己的全部责任。</w:t>
      </w:r>
    </w:p>
    <w:p>
      <w:pPr>
        <w:pStyle w:val="3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pStyle w:val="30"/>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bookmarkEnd w:id="335"/>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法定代表人：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none"/>
          <w:lang w:val="en-US" w:eastAsia="zh-CN"/>
        </w:rPr>
        <w:t>（签字或法人印鉴）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委托代理人：</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 xml:space="preserve">（签字）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szCs w:val="24"/>
        </w:rPr>
        <w:t>日    期：  年  月  日</w:t>
      </w:r>
    </w:p>
    <w:p>
      <w:pPr>
        <w:spacing w:line="360" w:lineRule="auto"/>
        <w:rPr>
          <w:rFonts w:hint="eastAsia" w:ascii="宋体" w:hAnsi="宋体" w:eastAsia="宋体" w:cs="宋体"/>
          <w:color w:val="000000" w:themeColor="text1"/>
          <w:sz w:val="24"/>
          <w14:textFill>
            <w14:solidFill>
              <w14:schemeClr w14:val="tx1"/>
            </w14:solidFill>
          </w14:textFill>
        </w:rPr>
      </w:pPr>
    </w:p>
    <w:bookmarkEnd w:id="336"/>
    <w:p>
      <w:pPr>
        <w:pStyle w:val="17"/>
        <w:jc w:val="left"/>
        <w:rPr>
          <w:rFonts w:hint="eastAsia" w:ascii="宋体" w:hAnsi="宋体" w:eastAsia="宋体" w:cs="宋体"/>
          <w:b/>
          <w:color w:val="000000"/>
          <w:sz w:val="24"/>
          <w:szCs w:val="24"/>
        </w:rPr>
      </w:pPr>
      <w:bookmarkStart w:id="337" w:name="_Toc526842735"/>
      <w:bookmarkStart w:id="338" w:name="_Toc500323120"/>
      <w:bookmarkStart w:id="339" w:name="_Toc27768"/>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rPr>
          <w:rFonts w:hint="eastAsia" w:ascii="宋体" w:hAnsi="宋体" w:eastAsia="宋体" w:cs="宋体"/>
          <w:b/>
          <w:color w:val="000000"/>
          <w:sz w:val="24"/>
          <w:szCs w:val="24"/>
        </w:rPr>
      </w:pPr>
    </w:p>
    <w:p>
      <w:pPr>
        <w:pStyle w:val="17"/>
        <w:rPr>
          <w:rFonts w:hint="eastAsia" w:ascii="宋体" w:hAnsi="宋体" w:eastAsia="宋体" w:cs="宋体"/>
          <w:b/>
          <w:color w:val="000000"/>
          <w:sz w:val="24"/>
          <w:szCs w:val="24"/>
        </w:rPr>
      </w:pPr>
    </w:p>
    <w:p>
      <w:pPr>
        <w:rPr>
          <w:rFonts w:hint="eastAsia"/>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rPr>
      </w:pPr>
    </w:p>
    <w:p>
      <w:pPr>
        <w:pStyle w:val="17"/>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4</w:t>
      </w:r>
    </w:p>
    <w:p>
      <w:pPr>
        <w:rPr>
          <w:rFonts w:hint="eastAsia"/>
          <w:lang w:val="en-US" w:eastAsia="zh-CN"/>
        </w:rPr>
      </w:pPr>
    </w:p>
    <w:p>
      <w:pPr>
        <w:rPr>
          <w:rFonts w:hint="eastAsia" w:ascii="宋体" w:hAnsi="宋体" w:eastAsia="宋体" w:cs="宋体"/>
          <w:b/>
          <w:color w:val="000000"/>
          <w:sz w:val="24"/>
          <w:lang w:val="en-US" w:eastAsia="zh-CN"/>
        </w:rPr>
      </w:pPr>
    </w:p>
    <w:p>
      <w:pPr>
        <w:jc w:val="center"/>
        <w:rPr>
          <w:rFonts w:hint="eastAsia"/>
          <w:b/>
          <w:bCs/>
          <w:sz w:val="28"/>
          <w:szCs w:val="22"/>
        </w:rPr>
      </w:pPr>
      <w:r>
        <w:rPr>
          <w:rFonts w:hint="eastAsia"/>
          <w:b/>
          <w:bCs/>
          <w:sz w:val="28"/>
          <w:szCs w:val="22"/>
        </w:rPr>
        <w:t>控股管理关系承诺书</w:t>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（采购人名称）</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我公司参加贵单位组织的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项目名称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）的投标，现我公司向贵单位承诺：</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我公司郑重承诺，我公司参加此次项目的投标，不存在单位负责人为同一人或直接控股、管理关系。如有虚假或隐瞒，我公司愿承担一切后果。</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700" w:lineRule="exact"/>
        <w:ind w:firstLine="3614" w:firstLineChars="15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（盖章）</w:t>
      </w:r>
    </w:p>
    <w:p>
      <w:pPr>
        <w:keepNext w:val="0"/>
        <w:keepLines w:val="0"/>
        <w:pageBreakBefore w:val="0"/>
        <w:widowControl w:val="0"/>
        <w:kinsoku/>
        <w:wordWrap/>
        <w:overflowPunct/>
        <w:topLinePunct w:val="0"/>
        <w:autoSpaceDE/>
        <w:autoSpaceDN/>
        <w:bidi w:val="0"/>
        <w:adjustRightInd/>
        <w:snapToGrid/>
        <w:spacing w:line="700" w:lineRule="exact"/>
        <w:ind w:firstLine="3614" w:firstLineChars="15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日</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期：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年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月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14:textFill>
            <w14:solidFill>
              <w14:schemeClr w14:val="tx1"/>
            </w14:solidFill>
          </w14:textFill>
        </w:rPr>
        <w:t>、其他材</w:t>
      </w:r>
      <w:bookmarkEnd w:id="329"/>
      <w:bookmarkEnd w:id="330"/>
      <w:bookmarkEnd w:id="331"/>
      <w:bookmarkEnd w:id="332"/>
      <w:bookmarkEnd w:id="333"/>
      <w:r>
        <w:rPr>
          <w:rFonts w:hint="eastAsia" w:ascii="宋体" w:hAnsi="宋体" w:eastAsia="宋体" w:cs="宋体"/>
          <w:b/>
          <w:color w:val="000000" w:themeColor="text1"/>
          <w:sz w:val="32"/>
          <w:szCs w:val="32"/>
          <w14:textFill>
            <w14:solidFill>
              <w14:schemeClr w14:val="tx1"/>
            </w14:solidFill>
          </w14:textFill>
        </w:rPr>
        <w:t>料</w:t>
      </w:r>
      <w:bookmarkEnd w:id="334"/>
      <w:bookmarkEnd w:id="337"/>
      <w:bookmarkEnd w:id="338"/>
      <w:bookmarkEnd w:id="339"/>
    </w:p>
    <w:p>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40" w:name="_Toc10352"/>
      <w:bookmarkStart w:id="341" w:name="_Toc500323121"/>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40"/>
      <w:bookmarkEnd w:id="341"/>
    </w:p>
    <w:p>
      <w:pPr>
        <w:jc w:val="center"/>
        <w:rPr>
          <w:rFonts w:hint="eastAsia"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中小企业声明函（工程）</w:t>
      </w:r>
    </w:p>
    <w:p>
      <w:pPr>
        <w:pStyle w:val="17"/>
        <w:spacing w:before="5"/>
        <w:rPr>
          <w:rFonts w:ascii="宋体" w:hAnsi="宋体" w:cs="宋体"/>
          <w:b/>
          <w:color w:val="auto"/>
          <w:sz w:val="24"/>
          <w:highlight w:val="none"/>
        </w:rPr>
      </w:pP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spacing w:line="480" w:lineRule="auto"/>
        <w:ind w:firstLine="5520" w:firstLineChars="2300"/>
        <w:rPr>
          <w:rFonts w:hint="eastAsia" w:ascii="宋体" w:hAnsi="宋体" w:eastAsia="宋体" w:cs="宋体"/>
          <w:color w:val="auto"/>
          <w:sz w:val="24"/>
          <w:szCs w:val="24"/>
          <w:highlight w:val="none"/>
        </w:rPr>
      </w:pPr>
    </w:p>
    <w:p>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42"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504" w:firstLineChars="20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80" w:lineRule="auto"/>
        <w:ind w:firstLine="504" w:firstLineChars="20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pacing w:val="6"/>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pacing w:val="6"/>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pacing w:val="6"/>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pacing w:val="6"/>
          <w:sz w:val="24"/>
          <w:szCs w:val="24"/>
          <w14:textFill>
            <w14:solidFill>
              <w14:schemeClr w14:val="tx1"/>
            </w14:solidFill>
          </w14:textFill>
        </w:rPr>
      </w:pP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firstLine="504" w:firstLineChars="20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firstLine="504" w:firstLineChars="20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42"/>
    <w:p>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889"/>
        </w:sectPr>
      </w:pPr>
    </w:p>
    <w:p>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pPr>
        <w:rPr>
          <w:rFonts w:hint="eastAsia" w:ascii="宋体" w:hAnsi="宋体" w:eastAsia="宋体" w:cs="宋体"/>
          <w:sz w:val="24"/>
          <w:szCs w:val="24"/>
          <w:lang w:eastAsia="zh-CN"/>
        </w:rPr>
      </w:pPr>
    </w:p>
    <w:p>
      <w:pPr>
        <w:spacing w:line="360" w:lineRule="auto"/>
        <w:jc w:val="left"/>
        <w:rPr>
          <w:rFonts w:hint="eastAsia" w:ascii="宋体" w:hAnsi="宋体" w:cs="宋体"/>
          <w:color w:val="000000"/>
          <w:sz w:val="24"/>
          <w:szCs w:val="24"/>
          <w:lang w:eastAsia="zh-CN"/>
        </w:rPr>
      </w:pPr>
    </w:p>
    <w:p>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陕西宸永项目管理有限公司</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bidi w:val="0"/>
        <w:snapToGrid/>
        <w:spacing w:line="48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pPr>
        <w:pStyle w:val="5"/>
        <w:keepNext w:val="0"/>
        <w:keepLines w:val="0"/>
        <w:pageBreakBefore w:val="0"/>
        <w:widowControl w:val="0"/>
        <w:kinsoku/>
        <w:wordWrap/>
        <w:overflowPunct/>
        <w:topLinePunct w:val="0"/>
        <w:bidi w:val="0"/>
        <w:snapToGrid/>
        <w:spacing w:line="480" w:lineRule="auto"/>
        <w:ind w:firstLine="57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pPr>
        <w:keepNext w:val="0"/>
        <w:keepLines w:val="0"/>
        <w:pageBreakBefore w:val="0"/>
        <w:widowControl w:val="0"/>
        <w:kinsoku/>
        <w:wordWrap/>
        <w:overflowPunct/>
        <w:topLinePunct w:val="0"/>
        <w:bidi w:val="0"/>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pPr>
        <w:keepNext w:val="0"/>
        <w:keepLines w:val="0"/>
        <w:pageBreakBefore w:val="0"/>
        <w:widowControl w:val="0"/>
        <w:kinsoku/>
        <w:wordWrap/>
        <w:overflowPunct/>
        <w:topLinePunct w:val="0"/>
        <w:bidi w:val="0"/>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pPr>
        <w:keepNext w:val="0"/>
        <w:keepLines w:val="0"/>
        <w:pageBreakBefore w:val="0"/>
        <w:widowControl w:val="0"/>
        <w:kinsoku/>
        <w:wordWrap/>
        <w:overflowPunct/>
        <w:topLinePunct w:val="0"/>
        <w:bidi w:val="0"/>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pPr>
        <w:rPr>
          <w:rFonts w:hint="eastAsia" w:ascii="宋体" w:hAnsi="宋体" w:eastAsia="宋体" w:cs="宋体"/>
        </w:rPr>
      </w:pPr>
    </w:p>
    <w:p>
      <w:pPr>
        <w:pStyle w:val="7"/>
        <w:rPr>
          <w:rFonts w:hint="eastAsia"/>
        </w:rPr>
      </w:pPr>
    </w:p>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仿宋" w:hAnsi="仿宋" w:eastAsia="仿宋"/>
        <w:color w:val="000000" w:themeColor="text1"/>
        <w:szCs w:val="18"/>
        <w:lang w:val="en-US" w:eastAsia="zh-CN"/>
        <w14:textFill>
          <w14:solidFill>
            <w14:schemeClr w14:val="tx1"/>
          </w14:solidFill>
        </w14:textFill>
      </w:rPr>
    </w:pPr>
    <w:r>
      <w:rPr>
        <w:rFonts w:hint="eastAsia" w:ascii="仿宋" w:hAnsi="仿宋" w:eastAsia="仿宋"/>
        <w:color w:val="000000" w:themeColor="text1"/>
        <w:szCs w:val="18"/>
        <w:lang w:val="en-US" w:eastAsia="zh-CN"/>
        <w14:textFill>
          <w14:solidFill>
            <w14:schemeClr w14:val="tx1"/>
          </w14:solidFill>
        </w14:textFill>
      </w:rPr>
      <w:t>第6页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仿宋" w:hAnsi="仿宋" w:eastAsia="仿宋"/>
        <w:color w:val="000000"/>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pPr>
                      <w:rPr>
                        <w:rFonts w:hint="eastAsia"/>
                        <w:lang w:eastAsia="zh-CN"/>
                      </w:rPr>
                    </w:pPr>
                  </w:p>
                </w:txbxContent>
              </v:textbox>
            </v:shape>
          </w:pict>
        </mc:Fallback>
      </mc:AlternateContent>
    </w:r>
    <w:r>
      <w:rPr>
        <w:rFonts w:hint="eastAsia"/>
        <w:sz w:val="18"/>
        <w:lang w:val="en-US" w:eastAsia="zh-CN"/>
      </w:rPr>
      <w:t xml:space="preserve">                                                                                         </w:t>
    </w:r>
  </w:p>
  <w:p>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仿宋" w:hAnsi="仿宋" w:eastAsia="仿宋"/>
        <w:color w:val="000000"/>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64EA8"/>
    <w:multiLevelType w:val="singleLevel"/>
    <w:tmpl w:val="83664EA8"/>
    <w:lvl w:ilvl="0" w:tentative="0">
      <w:start w:val="7"/>
      <w:numFmt w:val="chineseCounting"/>
      <w:suff w:val="nothing"/>
      <w:lvlText w:val="%1、"/>
      <w:lvlJc w:val="left"/>
      <w:rPr>
        <w:rFonts w:hint="eastAsia"/>
      </w:rPr>
    </w:lvl>
  </w:abstractNum>
  <w:abstractNum w:abstractNumId="1">
    <w:nsid w:val="88290D86"/>
    <w:multiLevelType w:val="singleLevel"/>
    <w:tmpl w:val="88290D86"/>
    <w:lvl w:ilvl="0" w:tentative="0">
      <w:start w:val="1"/>
      <w:numFmt w:val="chineseCounting"/>
      <w:suff w:val="space"/>
      <w:lvlText w:val="第%1章"/>
      <w:lvlJc w:val="left"/>
      <w:rPr>
        <w:rFonts w:hint="eastAsia"/>
      </w:rPr>
    </w:lvl>
  </w:abstractNum>
  <w:abstractNum w:abstractNumId="2">
    <w:nsid w:val="53B7A859"/>
    <w:multiLevelType w:val="singleLevel"/>
    <w:tmpl w:val="53B7A859"/>
    <w:lvl w:ilvl="0" w:tentative="0">
      <w:start w:val="1"/>
      <w:numFmt w:val="decimal"/>
      <w:lvlText w:val="%1."/>
      <w:lvlJc w:val="left"/>
      <w:pPr>
        <w:tabs>
          <w:tab w:val="left" w:pos="312"/>
        </w:tabs>
      </w:pPr>
    </w:lvl>
  </w:abstractNum>
  <w:abstractNum w:abstractNumId="3">
    <w:nsid w:val="582A8D5B"/>
    <w:multiLevelType w:val="singleLevel"/>
    <w:tmpl w:val="582A8D5B"/>
    <w:lvl w:ilvl="0" w:tentative="0">
      <w:start w:val="5"/>
      <w:numFmt w:val="decimal"/>
      <w:suff w:val="nothing"/>
      <w:lvlText w:val="（%1）"/>
      <w:lvlJc w:val="left"/>
    </w:lvl>
  </w:abstractNum>
  <w:abstractNum w:abstractNumId="4">
    <w:nsid w:val="65AE7335"/>
    <w:multiLevelType w:val="singleLevel"/>
    <w:tmpl w:val="65AE7335"/>
    <w:lvl w:ilvl="0" w:tentative="0">
      <w:start w:val="3"/>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Q8lZv6KJj5uFdinb4QYCiHWCh2c=" w:salt="I27VPTzaYWc8iI5oxHcC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zIwNWVkOWFkNDUxMDRlZjk3ZGNiMDJjZDM2ZjEifQ=="/>
  </w:docVars>
  <w:rsids>
    <w:rsidRoot w:val="0093278F"/>
    <w:rsid w:val="00000D62"/>
    <w:rsid w:val="000018F5"/>
    <w:rsid w:val="00001CC7"/>
    <w:rsid w:val="0000212D"/>
    <w:rsid w:val="0000214F"/>
    <w:rsid w:val="000048B5"/>
    <w:rsid w:val="00015CE8"/>
    <w:rsid w:val="00017281"/>
    <w:rsid w:val="00017DC3"/>
    <w:rsid w:val="00021358"/>
    <w:rsid w:val="00022F22"/>
    <w:rsid w:val="00025D01"/>
    <w:rsid w:val="00027C2A"/>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3A15"/>
    <w:rsid w:val="00053CB1"/>
    <w:rsid w:val="00056310"/>
    <w:rsid w:val="00056BFE"/>
    <w:rsid w:val="0005762A"/>
    <w:rsid w:val="00057A66"/>
    <w:rsid w:val="00060164"/>
    <w:rsid w:val="00062DF9"/>
    <w:rsid w:val="00066AF7"/>
    <w:rsid w:val="00073DDA"/>
    <w:rsid w:val="0007452B"/>
    <w:rsid w:val="000764B7"/>
    <w:rsid w:val="00076D51"/>
    <w:rsid w:val="000809DF"/>
    <w:rsid w:val="00081CC9"/>
    <w:rsid w:val="000829F1"/>
    <w:rsid w:val="00082B17"/>
    <w:rsid w:val="0008413F"/>
    <w:rsid w:val="000857C3"/>
    <w:rsid w:val="00091357"/>
    <w:rsid w:val="0009187F"/>
    <w:rsid w:val="000944D4"/>
    <w:rsid w:val="000A0468"/>
    <w:rsid w:val="000A0542"/>
    <w:rsid w:val="000A0965"/>
    <w:rsid w:val="000A13CA"/>
    <w:rsid w:val="000A28B8"/>
    <w:rsid w:val="000A4D13"/>
    <w:rsid w:val="000A575B"/>
    <w:rsid w:val="000A766A"/>
    <w:rsid w:val="000B2864"/>
    <w:rsid w:val="000B3389"/>
    <w:rsid w:val="000B50A8"/>
    <w:rsid w:val="000C3E85"/>
    <w:rsid w:val="000C6648"/>
    <w:rsid w:val="000D1788"/>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34305"/>
    <w:rsid w:val="00135B38"/>
    <w:rsid w:val="001372A4"/>
    <w:rsid w:val="00140CCD"/>
    <w:rsid w:val="00146520"/>
    <w:rsid w:val="00147891"/>
    <w:rsid w:val="00151D52"/>
    <w:rsid w:val="00151EB2"/>
    <w:rsid w:val="0015209A"/>
    <w:rsid w:val="00152AE8"/>
    <w:rsid w:val="001607E6"/>
    <w:rsid w:val="00166CC4"/>
    <w:rsid w:val="00167F5D"/>
    <w:rsid w:val="0017598A"/>
    <w:rsid w:val="00177894"/>
    <w:rsid w:val="001835F8"/>
    <w:rsid w:val="001836B2"/>
    <w:rsid w:val="00186AFE"/>
    <w:rsid w:val="00187F17"/>
    <w:rsid w:val="00192900"/>
    <w:rsid w:val="00193659"/>
    <w:rsid w:val="00194F25"/>
    <w:rsid w:val="001959B6"/>
    <w:rsid w:val="0019684D"/>
    <w:rsid w:val="00196CE2"/>
    <w:rsid w:val="001A08AA"/>
    <w:rsid w:val="001A1237"/>
    <w:rsid w:val="001A3119"/>
    <w:rsid w:val="001A3C54"/>
    <w:rsid w:val="001A436B"/>
    <w:rsid w:val="001A526D"/>
    <w:rsid w:val="001A63C3"/>
    <w:rsid w:val="001A732D"/>
    <w:rsid w:val="001B186A"/>
    <w:rsid w:val="001B2266"/>
    <w:rsid w:val="001B501F"/>
    <w:rsid w:val="001C27C2"/>
    <w:rsid w:val="001C38A6"/>
    <w:rsid w:val="001C6476"/>
    <w:rsid w:val="001C6905"/>
    <w:rsid w:val="001D0DFE"/>
    <w:rsid w:val="001D1890"/>
    <w:rsid w:val="001D1A35"/>
    <w:rsid w:val="001D2053"/>
    <w:rsid w:val="001D2958"/>
    <w:rsid w:val="001D6624"/>
    <w:rsid w:val="001D7A05"/>
    <w:rsid w:val="001E0366"/>
    <w:rsid w:val="001E2CC4"/>
    <w:rsid w:val="001E697F"/>
    <w:rsid w:val="001E793A"/>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5638"/>
    <w:rsid w:val="0025244F"/>
    <w:rsid w:val="0025370F"/>
    <w:rsid w:val="00255859"/>
    <w:rsid w:val="0026093B"/>
    <w:rsid w:val="00260FFD"/>
    <w:rsid w:val="00264E6B"/>
    <w:rsid w:val="002651E7"/>
    <w:rsid w:val="0026693B"/>
    <w:rsid w:val="0026785F"/>
    <w:rsid w:val="00270146"/>
    <w:rsid w:val="00271840"/>
    <w:rsid w:val="00273347"/>
    <w:rsid w:val="002749D2"/>
    <w:rsid w:val="00275196"/>
    <w:rsid w:val="00276DC0"/>
    <w:rsid w:val="00277E16"/>
    <w:rsid w:val="00283967"/>
    <w:rsid w:val="002846EF"/>
    <w:rsid w:val="002861C4"/>
    <w:rsid w:val="002870F0"/>
    <w:rsid w:val="00291433"/>
    <w:rsid w:val="0029361D"/>
    <w:rsid w:val="002944D0"/>
    <w:rsid w:val="00295AB1"/>
    <w:rsid w:val="002A07D4"/>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FC7"/>
    <w:rsid w:val="002F1D3B"/>
    <w:rsid w:val="002F2542"/>
    <w:rsid w:val="002F400E"/>
    <w:rsid w:val="002F5048"/>
    <w:rsid w:val="002F53A1"/>
    <w:rsid w:val="002F6804"/>
    <w:rsid w:val="002F6FF0"/>
    <w:rsid w:val="002F7B34"/>
    <w:rsid w:val="0030794B"/>
    <w:rsid w:val="00307CF5"/>
    <w:rsid w:val="0031157E"/>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67D3"/>
    <w:rsid w:val="003771AB"/>
    <w:rsid w:val="003800E5"/>
    <w:rsid w:val="00381802"/>
    <w:rsid w:val="00381ED9"/>
    <w:rsid w:val="003830D6"/>
    <w:rsid w:val="00385C8D"/>
    <w:rsid w:val="00386021"/>
    <w:rsid w:val="00386805"/>
    <w:rsid w:val="00386930"/>
    <w:rsid w:val="00386988"/>
    <w:rsid w:val="003913A6"/>
    <w:rsid w:val="0039275B"/>
    <w:rsid w:val="00392F56"/>
    <w:rsid w:val="00393233"/>
    <w:rsid w:val="0039341E"/>
    <w:rsid w:val="0039349A"/>
    <w:rsid w:val="003939C4"/>
    <w:rsid w:val="003A0F61"/>
    <w:rsid w:val="003A1B2B"/>
    <w:rsid w:val="003A591C"/>
    <w:rsid w:val="003B0049"/>
    <w:rsid w:val="003B2350"/>
    <w:rsid w:val="003B3C4B"/>
    <w:rsid w:val="003C015B"/>
    <w:rsid w:val="003C07E8"/>
    <w:rsid w:val="003C1AF2"/>
    <w:rsid w:val="003C2919"/>
    <w:rsid w:val="003C5679"/>
    <w:rsid w:val="003C68EE"/>
    <w:rsid w:val="003D0A9B"/>
    <w:rsid w:val="003D1728"/>
    <w:rsid w:val="003D19BC"/>
    <w:rsid w:val="003D1CAB"/>
    <w:rsid w:val="003D2FFC"/>
    <w:rsid w:val="003D3568"/>
    <w:rsid w:val="003D4EE1"/>
    <w:rsid w:val="003D56FD"/>
    <w:rsid w:val="003D60AA"/>
    <w:rsid w:val="003D657C"/>
    <w:rsid w:val="003D75B2"/>
    <w:rsid w:val="003D7990"/>
    <w:rsid w:val="003E0B6D"/>
    <w:rsid w:val="003E2CE7"/>
    <w:rsid w:val="003E6154"/>
    <w:rsid w:val="003E6B32"/>
    <w:rsid w:val="003F0D7D"/>
    <w:rsid w:val="003F2B50"/>
    <w:rsid w:val="004009FC"/>
    <w:rsid w:val="004052E3"/>
    <w:rsid w:val="0040533A"/>
    <w:rsid w:val="004061F9"/>
    <w:rsid w:val="004068A3"/>
    <w:rsid w:val="00407327"/>
    <w:rsid w:val="00410C9E"/>
    <w:rsid w:val="00412AC6"/>
    <w:rsid w:val="004134BC"/>
    <w:rsid w:val="0041492A"/>
    <w:rsid w:val="00415DBC"/>
    <w:rsid w:val="00416790"/>
    <w:rsid w:val="00417B8C"/>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514FE"/>
    <w:rsid w:val="00451977"/>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92B"/>
    <w:rsid w:val="00482DAF"/>
    <w:rsid w:val="004838BA"/>
    <w:rsid w:val="00484666"/>
    <w:rsid w:val="0048525B"/>
    <w:rsid w:val="00487931"/>
    <w:rsid w:val="00487C96"/>
    <w:rsid w:val="00491FC1"/>
    <w:rsid w:val="00495724"/>
    <w:rsid w:val="00497DA8"/>
    <w:rsid w:val="004A42DA"/>
    <w:rsid w:val="004A4C9A"/>
    <w:rsid w:val="004A6D5C"/>
    <w:rsid w:val="004B3B77"/>
    <w:rsid w:val="004B72AE"/>
    <w:rsid w:val="004B77C1"/>
    <w:rsid w:val="004C1003"/>
    <w:rsid w:val="004C1410"/>
    <w:rsid w:val="004C1ADA"/>
    <w:rsid w:val="004C3B66"/>
    <w:rsid w:val="004C3BC5"/>
    <w:rsid w:val="004C457C"/>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99B"/>
    <w:rsid w:val="004F4263"/>
    <w:rsid w:val="004F45D5"/>
    <w:rsid w:val="0050155C"/>
    <w:rsid w:val="00501C56"/>
    <w:rsid w:val="00502134"/>
    <w:rsid w:val="0050239B"/>
    <w:rsid w:val="00502C4B"/>
    <w:rsid w:val="00502CFB"/>
    <w:rsid w:val="0050382E"/>
    <w:rsid w:val="00507173"/>
    <w:rsid w:val="00512B47"/>
    <w:rsid w:val="00513A07"/>
    <w:rsid w:val="00514A59"/>
    <w:rsid w:val="005200CE"/>
    <w:rsid w:val="00521733"/>
    <w:rsid w:val="00521CA3"/>
    <w:rsid w:val="0053602D"/>
    <w:rsid w:val="00540627"/>
    <w:rsid w:val="00541067"/>
    <w:rsid w:val="005460CA"/>
    <w:rsid w:val="00551B8E"/>
    <w:rsid w:val="00554058"/>
    <w:rsid w:val="005574E8"/>
    <w:rsid w:val="005641D3"/>
    <w:rsid w:val="0057192F"/>
    <w:rsid w:val="00572C20"/>
    <w:rsid w:val="00574F48"/>
    <w:rsid w:val="00580CFF"/>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C1A"/>
    <w:rsid w:val="005C59B8"/>
    <w:rsid w:val="005D1FFB"/>
    <w:rsid w:val="005D2A2F"/>
    <w:rsid w:val="005D2B60"/>
    <w:rsid w:val="005D305D"/>
    <w:rsid w:val="005D392B"/>
    <w:rsid w:val="005D3CE6"/>
    <w:rsid w:val="005D54FA"/>
    <w:rsid w:val="005D6143"/>
    <w:rsid w:val="005D74EB"/>
    <w:rsid w:val="005E2B7C"/>
    <w:rsid w:val="005E5173"/>
    <w:rsid w:val="005F19FE"/>
    <w:rsid w:val="005F2EB0"/>
    <w:rsid w:val="005F566D"/>
    <w:rsid w:val="005F66E2"/>
    <w:rsid w:val="00600F03"/>
    <w:rsid w:val="00603DC6"/>
    <w:rsid w:val="00604CA8"/>
    <w:rsid w:val="00605A3F"/>
    <w:rsid w:val="006064AB"/>
    <w:rsid w:val="00610461"/>
    <w:rsid w:val="00611023"/>
    <w:rsid w:val="0061589D"/>
    <w:rsid w:val="0061796C"/>
    <w:rsid w:val="006205A5"/>
    <w:rsid w:val="00620F88"/>
    <w:rsid w:val="006270C5"/>
    <w:rsid w:val="006311E0"/>
    <w:rsid w:val="0063180F"/>
    <w:rsid w:val="006361F1"/>
    <w:rsid w:val="0063734F"/>
    <w:rsid w:val="00642CF4"/>
    <w:rsid w:val="00644E19"/>
    <w:rsid w:val="00645DC9"/>
    <w:rsid w:val="00646656"/>
    <w:rsid w:val="006473CC"/>
    <w:rsid w:val="00647CC1"/>
    <w:rsid w:val="0065134A"/>
    <w:rsid w:val="0065283E"/>
    <w:rsid w:val="00652919"/>
    <w:rsid w:val="00653852"/>
    <w:rsid w:val="0065421E"/>
    <w:rsid w:val="006562AF"/>
    <w:rsid w:val="00656346"/>
    <w:rsid w:val="00657014"/>
    <w:rsid w:val="00662616"/>
    <w:rsid w:val="00664732"/>
    <w:rsid w:val="0066606A"/>
    <w:rsid w:val="00667CDD"/>
    <w:rsid w:val="00672B39"/>
    <w:rsid w:val="006739E8"/>
    <w:rsid w:val="006739FC"/>
    <w:rsid w:val="0067736D"/>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605F"/>
    <w:rsid w:val="006B7833"/>
    <w:rsid w:val="006C121E"/>
    <w:rsid w:val="006C131C"/>
    <w:rsid w:val="006C1567"/>
    <w:rsid w:val="006C376A"/>
    <w:rsid w:val="006C5779"/>
    <w:rsid w:val="006C6595"/>
    <w:rsid w:val="006D1021"/>
    <w:rsid w:val="006D1557"/>
    <w:rsid w:val="006D172B"/>
    <w:rsid w:val="006D3F4A"/>
    <w:rsid w:val="006D5B04"/>
    <w:rsid w:val="006D6C4F"/>
    <w:rsid w:val="006E5BAD"/>
    <w:rsid w:val="006E61DA"/>
    <w:rsid w:val="006F549D"/>
    <w:rsid w:val="006F5F41"/>
    <w:rsid w:val="007020DF"/>
    <w:rsid w:val="00702572"/>
    <w:rsid w:val="00703C87"/>
    <w:rsid w:val="00703CC4"/>
    <w:rsid w:val="0070496C"/>
    <w:rsid w:val="0070603A"/>
    <w:rsid w:val="00706C7B"/>
    <w:rsid w:val="00706CC7"/>
    <w:rsid w:val="00707191"/>
    <w:rsid w:val="00712860"/>
    <w:rsid w:val="00720B5C"/>
    <w:rsid w:val="00722DE3"/>
    <w:rsid w:val="00727940"/>
    <w:rsid w:val="00727CC9"/>
    <w:rsid w:val="0073078A"/>
    <w:rsid w:val="00732284"/>
    <w:rsid w:val="007323CE"/>
    <w:rsid w:val="00733732"/>
    <w:rsid w:val="00734251"/>
    <w:rsid w:val="00734894"/>
    <w:rsid w:val="007379A0"/>
    <w:rsid w:val="00741564"/>
    <w:rsid w:val="0074241C"/>
    <w:rsid w:val="00747341"/>
    <w:rsid w:val="0075201C"/>
    <w:rsid w:val="007538C3"/>
    <w:rsid w:val="007539DD"/>
    <w:rsid w:val="0075489D"/>
    <w:rsid w:val="007552F6"/>
    <w:rsid w:val="0075656C"/>
    <w:rsid w:val="00756F7B"/>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8768E"/>
    <w:rsid w:val="00791994"/>
    <w:rsid w:val="007A38E7"/>
    <w:rsid w:val="007A4476"/>
    <w:rsid w:val="007A49F6"/>
    <w:rsid w:val="007A7910"/>
    <w:rsid w:val="007B5837"/>
    <w:rsid w:val="007B695B"/>
    <w:rsid w:val="007B74A9"/>
    <w:rsid w:val="007B7878"/>
    <w:rsid w:val="007C16C1"/>
    <w:rsid w:val="007C1BF9"/>
    <w:rsid w:val="007C3C82"/>
    <w:rsid w:val="007C3CA0"/>
    <w:rsid w:val="007C49C0"/>
    <w:rsid w:val="007C648B"/>
    <w:rsid w:val="007C7809"/>
    <w:rsid w:val="007C7B61"/>
    <w:rsid w:val="007D1AEE"/>
    <w:rsid w:val="007D28ED"/>
    <w:rsid w:val="007D40B9"/>
    <w:rsid w:val="007D4D8A"/>
    <w:rsid w:val="007E30A7"/>
    <w:rsid w:val="007E3477"/>
    <w:rsid w:val="007E5AC5"/>
    <w:rsid w:val="007E7CD8"/>
    <w:rsid w:val="007F0AB9"/>
    <w:rsid w:val="007F45FD"/>
    <w:rsid w:val="00800678"/>
    <w:rsid w:val="008021B2"/>
    <w:rsid w:val="00802272"/>
    <w:rsid w:val="00802BDC"/>
    <w:rsid w:val="00802EC4"/>
    <w:rsid w:val="008030DA"/>
    <w:rsid w:val="0080379C"/>
    <w:rsid w:val="0080386D"/>
    <w:rsid w:val="008060F6"/>
    <w:rsid w:val="00810662"/>
    <w:rsid w:val="00810913"/>
    <w:rsid w:val="00813AD5"/>
    <w:rsid w:val="00813E73"/>
    <w:rsid w:val="0081450D"/>
    <w:rsid w:val="00820F1F"/>
    <w:rsid w:val="00824408"/>
    <w:rsid w:val="00824E18"/>
    <w:rsid w:val="00826844"/>
    <w:rsid w:val="00826F4B"/>
    <w:rsid w:val="00830474"/>
    <w:rsid w:val="0083272D"/>
    <w:rsid w:val="0084036F"/>
    <w:rsid w:val="00843C5A"/>
    <w:rsid w:val="00850DED"/>
    <w:rsid w:val="00852405"/>
    <w:rsid w:val="0085327A"/>
    <w:rsid w:val="00855EF0"/>
    <w:rsid w:val="008562AF"/>
    <w:rsid w:val="00856CA9"/>
    <w:rsid w:val="008574AC"/>
    <w:rsid w:val="00860DC6"/>
    <w:rsid w:val="008641A8"/>
    <w:rsid w:val="00867B4C"/>
    <w:rsid w:val="00871A47"/>
    <w:rsid w:val="00877879"/>
    <w:rsid w:val="00877BF2"/>
    <w:rsid w:val="00882446"/>
    <w:rsid w:val="00883BD0"/>
    <w:rsid w:val="00884C9F"/>
    <w:rsid w:val="00885C2C"/>
    <w:rsid w:val="0089046A"/>
    <w:rsid w:val="00891CC3"/>
    <w:rsid w:val="0089281C"/>
    <w:rsid w:val="00893599"/>
    <w:rsid w:val="00893A08"/>
    <w:rsid w:val="008952DA"/>
    <w:rsid w:val="00897E9C"/>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595D"/>
    <w:rsid w:val="00957CDF"/>
    <w:rsid w:val="009642F2"/>
    <w:rsid w:val="00964C07"/>
    <w:rsid w:val="00965392"/>
    <w:rsid w:val="00965C71"/>
    <w:rsid w:val="00972DAC"/>
    <w:rsid w:val="0097380C"/>
    <w:rsid w:val="0097390B"/>
    <w:rsid w:val="0097525F"/>
    <w:rsid w:val="009766C6"/>
    <w:rsid w:val="009775B6"/>
    <w:rsid w:val="00977A0D"/>
    <w:rsid w:val="00984A05"/>
    <w:rsid w:val="009865EF"/>
    <w:rsid w:val="009876E9"/>
    <w:rsid w:val="00990862"/>
    <w:rsid w:val="00993623"/>
    <w:rsid w:val="009938D6"/>
    <w:rsid w:val="00993964"/>
    <w:rsid w:val="00997CB7"/>
    <w:rsid w:val="009A2DDB"/>
    <w:rsid w:val="009A3135"/>
    <w:rsid w:val="009A4226"/>
    <w:rsid w:val="009A4FE1"/>
    <w:rsid w:val="009B0D18"/>
    <w:rsid w:val="009B399D"/>
    <w:rsid w:val="009B3AD2"/>
    <w:rsid w:val="009B613B"/>
    <w:rsid w:val="009B7891"/>
    <w:rsid w:val="009C04B5"/>
    <w:rsid w:val="009C14C2"/>
    <w:rsid w:val="009C1EA3"/>
    <w:rsid w:val="009C45A1"/>
    <w:rsid w:val="009C4AD7"/>
    <w:rsid w:val="009D0C09"/>
    <w:rsid w:val="009D4EB9"/>
    <w:rsid w:val="009D57E7"/>
    <w:rsid w:val="009D58BB"/>
    <w:rsid w:val="009E1AE6"/>
    <w:rsid w:val="009E2354"/>
    <w:rsid w:val="009E434C"/>
    <w:rsid w:val="009E4951"/>
    <w:rsid w:val="009E75FC"/>
    <w:rsid w:val="009F0134"/>
    <w:rsid w:val="009F3D6E"/>
    <w:rsid w:val="009F4001"/>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515"/>
    <w:rsid w:val="00A360D3"/>
    <w:rsid w:val="00A403E0"/>
    <w:rsid w:val="00A445BE"/>
    <w:rsid w:val="00A45370"/>
    <w:rsid w:val="00A455C4"/>
    <w:rsid w:val="00A457E4"/>
    <w:rsid w:val="00A4667E"/>
    <w:rsid w:val="00A475DF"/>
    <w:rsid w:val="00A50A64"/>
    <w:rsid w:val="00A60946"/>
    <w:rsid w:val="00A615F0"/>
    <w:rsid w:val="00A61F61"/>
    <w:rsid w:val="00A62975"/>
    <w:rsid w:val="00A64BE6"/>
    <w:rsid w:val="00A6536D"/>
    <w:rsid w:val="00A65CD4"/>
    <w:rsid w:val="00A70867"/>
    <w:rsid w:val="00A70C28"/>
    <w:rsid w:val="00A81C05"/>
    <w:rsid w:val="00A82F2D"/>
    <w:rsid w:val="00A836EE"/>
    <w:rsid w:val="00A83E78"/>
    <w:rsid w:val="00A846E6"/>
    <w:rsid w:val="00A90164"/>
    <w:rsid w:val="00A933F3"/>
    <w:rsid w:val="00A93D3B"/>
    <w:rsid w:val="00A970A8"/>
    <w:rsid w:val="00AA4EBF"/>
    <w:rsid w:val="00AA6E3F"/>
    <w:rsid w:val="00AA7936"/>
    <w:rsid w:val="00AA7973"/>
    <w:rsid w:val="00AB1429"/>
    <w:rsid w:val="00AB1938"/>
    <w:rsid w:val="00AB391F"/>
    <w:rsid w:val="00AB5956"/>
    <w:rsid w:val="00AB674B"/>
    <w:rsid w:val="00AB699A"/>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838"/>
    <w:rsid w:val="00AF6504"/>
    <w:rsid w:val="00B0018F"/>
    <w:rsid w:val="00B051CE"/>
    <w:rsid w:val="00B05561"/>
    <w:rsid w:val="00B07F6F"/>
    <w:rsid w:val="00B11746"/>
    <w:rsid w:val="00B140EF"/>
    <w:rsid w:val="00B14269"/>
    <w:rsid w:val="00B14FA7"/>
    <w:rsid w:val="00B20C04"/>
    <w:rsid w:val="00B30DA9"/>
    <w:rsid w:val="00B351BF"/>
    <w:rsid w:val="00B3626C"/>
    <w:rsid w:val="00B36776"/>
    <w:rsid w:val="00B36ABE"/>
    <w:rsid w:val="00B4478F"/>
    <w:rsid w:val="00B44C82"/>
    <w:rsid w:val="00B450FC"/>
    <w:rsid w:val="00B465B3"/>
    <w:rsid w:val="00B50F8D"/>
    <w:rsid w:val="00B5626E"/>
    <w:rsid w:val="00B5628B"/>
    <w:rsid w:val="00B56393"/>
    <w:rsid w:val="00B619C6"/>
    <w:rsid w:val="00B61DAA"/>
    <w:rsid w:val="00B62376"/>
    <w:rsid w:val="00B670C5"/>
    <w:rsid w:val="00B75058"/>
    <w:rsid w:val="00B752BA"/>
    <w:rsid w:val="00B7765A"/>
    <w:rsid w:val="00B80106"/>
    <w:rsid w:val="00B8475C"/>
    <w:rsid w:val="00B8643A"/>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C091C"/>
    <w:rsid w:val="00BC0B00"/>
    <w:rsid w:val="00BC0D74"/>
    <w:rsid w:val="00BC3761"/>
    <w:rsid w:val="00BC5699"/>
    <w:rsid w:val="00BD15E7"/>
    <w:rsid w:val="00BD4C75"/>
    <w:rsid w:val="00BD5A64"/>
    <w:rsid w:val="00BD6583"/>
    <w:rsid w:val="00BE3425"/>
    <w:rsid w:val="00BE4401"/>
    <w:rsid w:val="00BE55AC"/>
    <w:rsid w:val="00BE5811"/>
    <w:rsid w:val="00BE6A6B"/>
    <w:rsid w:val="00BE7F73"/>
    <w:rsid w:val="00BF24BC"/>
    <w:rsid w:val="00BF35D4"/>
    <w:rsid w:val="00BF6247"/>
    <w:rsid w:val="00BF6968"/>
    <w:rsid w:val="00C0256A"/>
    <w:rsid w:val="00C02B7A"/>
    <w:rsid w:val="00C119D7"/>
    <w:rsid w:val="00C15459"/>
    <w:rsid w:val="00C160F7"/>
    <w:rsid w:val="00C21F78"/>
    <w:rsid w:val="00C24FDE"/>
    <w:rsid w:val="00C2633E"/>
    <w:rsid w:val="00C26EB9"/>
    <w:rsid w:val="00C3031C"/>
    <w:rsid w:val="00C3207E"/>
    <w:rsid w:val="00C32B90"/>
    <w:rsid w:val="00C346CE"/>
    <w:rsid w:val="00C35010"/>
    <w:rsid w:val="00C352EC"/>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80151"/>
    <w:rsid w:val="00C80805"/>
    <w:rsid w:val="00C80C04"/>
    <w:rsid w:val="00C82C0D"/>
    <w:rsid w:val="00C91036"/>
    <w:rsid w:val="00C9193B"/>
    <w:rsid w:val="00C91BB1"/>
    <w:rsid w:val="00C93099"/>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3BF0"/>
    <w:rsid w:val="00CD3DAC"/>
    <w:rsid w:val="00CD4989"/>
    <w:rsid w:val="00CD6047"/>
    <w:rsid w:val="00CD7AFE"/>
    <w:rsid w:val="00CE3A32"/>
    <w:rsid w:val="00CE3C1D"/>
    <w:rsid w:val="00CE46D3"/>
    <w:rsid w:val="00CE4B79"/>
    <w:rsid w:val="00CF27AB"/>
    <w:rsid w:val="00CF2D37"/>
    <w:rsid w:val="00CF3837"/>
    <w:rsid w:val="00CF3C53"/>
    <w:rsid w:val="00CF5281"/>
    <w:rsid w:val="00CF5D30"/>
    <w:rsid w:val="00CF6DFD"/>
    <w:rsid w:val="00D02FA5"/>
    <w:rsid w:val="00D0365C"/>
    <w:rsid w:val="00D0395E"/>
    <w:rsid w:val="00D03A4B"/>
    <w:rsid w:val="00D0496A"/>
    <w:rsid w:val="00D07C4E"/>
    <w:rsid w:val="00D106D6"/>
    <w:rsid w:val="00D14D28"/>
    <w:rsid w:val="00D20A0A"/>
    <w:rsid w:val="00D24015"/>
    <w:rsid w:val="00D250D6"/>
    <w:rsid w:val="00D3173A"/>
    <w:rsid w:val="00D34A87"/>
    <w:rsid w:val="00D413E4"/>
    <w:rsid w:val="00D441A6"/>
    <w:rsid w:val="00D4459A"/>
    <w:rsid w:val="00D45D39"/>
    <w:rsid w:val="00D50997"/>
    <w:rsid w:val="00D52A98"/>
    <w:rsid w:val="00D6004C"/>
    <w:rsid w:val="00D6106F"/>
    <w:rsid w:val="00D61E25"/>
    <w:rsid w:val="00D62425"/>
    <w:rsid w:val="00D629DE"/>
    <w:rsid w:val="00D6400C"/>
    <w:rsid w:val="00D640ED"/>
    <w:rsid w:val="00D64BB0"/>
    <w:rsid w:val="00D64D39"/>
    <w:rsid w:val="00D7218F"/>
    <w:rsid w:val="00D73F55"/>
    <w:rsid w:val="00D7500E"/>
    <w:rsid w:val="00D75EC3"/>
    <w:rsid w:val="00D76F8A"/>
    <w:rsid w:val="00D807F7"/>
    <w:rsid w:val="00D80D1D"/>
    <w:rsid w:val="00D83CBC"/>
    <w:rsid w:val="00D909D4"/>
    <w:rsid w:val="00D911A8"/>
    <w:rsid w:val="00D92BAA"/>
    <w:rsid w:val="00D92F21"/>
    <w:rsid w:val="00D968DA"/>
    <w:rsid w:val="00D96F04"/>
    <w:rsid w:val="00DA0266"/>
    <w:rsid w:val="00DA0CF8"/>
    <w:rsid w:val="00DA2CA8"/>
    <w:rsid w:val="00DA2E65"/>
    <w:rsid w:val="00DA4287"/>
    <w:rsid w:val="00DA53DC"/>
    <w:rsid w:val="00DA5B99"/>
    <w:rsid w:val="00DA7DA2"/>
    <w:rsid w:val="00DA7F5F"/>
    <w:rsid w:val="00DB3B45"/>
    <w:rsid w:val="00DB4511"/>
    <w:rsid w:val="00DC0F91"/>
    <w:rsid w:val="00DC1D2C"/>
    <w:rsid w:val="00DC1FB5"/>
    <w:rsid w:val="00DC26E2"/>
    <w:rsid w:val="00DC33B9"/>
    <w:rsid w:val="00DD31DD"/>
    <w:rsid w:val="00DD4E85"/>
    <w:rsid w:val="00DD6418"/>
    <w:rsid w:val="00DE1B30"/>
    <w:rsid w:val="00DE2002"/>
    <w:rsid w:val="00DE35FC"/>
    <w:rsid w:val="00DE72B5"/>
    <w:rsid w:val="00DF48D0"/>
    <w:rsid w:val="00DF5017"/>
    <w:rsid w:val="00DF55C6"/>
    <w:rsid w:val="00DF6031"/>
    <w:rsid w:val="00E002FC"/>
    <w:rsid w:val="00E00FBD"/>
    <w:rsid w:val="00E0269B"/>
    <w:rsid w:val="00E029DD"/>
    <w:rsid w:val="00E04E24"/>
    <w:rsid w:val="00E05F56"/>
    <w:rsid w:val="00E06A0C"/>
    <w:rsid w:val="00E06F9C"/>
    <w:rsid w:val="00E10C60"/>
    <w:rsid w:val="00E173EC"/>
    <w:rsid w:val="00E17726"/>
    <w:rsid w:val="00E177DC"/>
    <w:rsid w:val="00E201B1"/>
    <w:rsid w:val="00E21093"/>
    <w:rsid w:val="00E21C6F"/>
    <w:rsid w:val="00E26C4E"/>
    <w:rsid w:val="00E324CF"/>
    <w:rsid w:val="00E350F8"/>
    <w:rsid w:val="00E36823"/>
    <w:rsid w:val="00E40AB2"/>
    <w:rsid w:val="00E41273"/>
    <w:rsid w:val="00E432BB"/>
    <w:rsid w:val="00E433EC"/>
    <w:rsid w:val="00E469B6"/>
    <w:rsid w:val="00E46CF7"/>
    <w:rsid w:val="00E46DF5"/>
    <w:rsid w:val="00E47796"/>
    <w:rsid w:val="00E53924"/>
    <w:rsid w:val="00E54185"/>
    <w:rsid w:val="00E55E0B"/>
    <w:rsid w:val="00E56886"/>
    <w:rsid w:val="00E64DB0"/>
    <w:rsid w:val="00E6704E"/>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FBF"/>
    <w:rsid w:val="00EC5752"/>
    <w:rsid w:val="00ED0521"/>
    <w:rsid w:val="00ED18D1"/>
    <w:rsid w:val="00ED2376"/>
    <w:rsid w:val="00ED44E2"/>
    <w:rsid w:val="00ED7A3F"/>
    <w:rsid w:val="00ED7DED"/>
    <w:rsid w:val="00EE363C"/>
    <w:rsid w:val="00EE6E87"/>
    <w:rsid w:val="00EE775D"/>
    <w:rsid w:val="00EF0A7F"/>
    <w:rsid w:val="00EF0A8B"/>
    <w:rsid w:val="00EF14DB"/>
    <w:rsid w:val="00EF20D0"/>
    <w:rsid w:val="00EF471C"/>
    <w:rsid w:val="00EF5256"/>
    <w:rsid w:val="00EF62D5"/>
    <w:rsid w:val="00F00393"/>
    <w:rsid w:val="00F003CF"/>
    <w:rsid w:val="00F026AD"/>
    <w:rsid w:val="00F03729"/>
    <w:rsid w:val="00F12B2A"/>
    <w:rsid w:val="00F1416C"/>
    <w:rsid w:val="00F22358"/>
    <w:rsid w:val="00F2277A"/>
    <w:rsid w:val="00F25AEF"/>
    <w:rsid w:val="00F27EB2"/>
    <w:rsid w:val="00F30003"/>
    <w:rsid w:val="00F3059D"/>
    <w:rsid w:val="00F3233C"/>
    <w:rsid w:val="00F324B5"/>
    <w:rsid w:val="00F33E66"/>
    <w:rsid w:val="00F37B1F"/>
    <w:rsid w:val="00F403F8"/>
    <w:rsid w:val="00F41C53"/>
    <w:rsid w:val="00F440A7"/>
    <w:rsid w:val="00F51FDE"/>
    <w:rsid w:val="00F52D4B"/>
    <w:rsid w:val="00F5741E"/>
    <w:rsid w:val="00F57FF0"/>
    <w:rsid w:val="00F60AC6"/>
    <w:rsid w:val="00F6112C"/>
    <w:rsid w:val="00F64D17"/>
    <w:rsid w:val="00F65C88"/>
    <w:rsid w:val="00F70DC5"/>
    <w:rsid w:val="00F719AF"/>
    <w:rsid w:val="00F73630"/>
    <w:rsid w:val="00F7441B"/>
    <w:rsid w:val="00F75081"/>
    <w:rsid w:val="00F754A4"/>
    <w:rsid w:val="00F75DF6"/>
    <w:rsid w:val="00F763B6"/>
    <w:rsid w:val="00F76FD6"/>
    <w:rsid w:val="00F7754B"/>
    <w:rsid w:val="00F837D2"/>
    <w:rsid w:val="00F83908"/>
    <w:rsid w:val="00F84AAA"/>
    <w:rsid w:val="00F87245"/>
    <w:rsid w:val="00F904A8"/>
    <w:rsid w:val="00F94C01"/>
    <w:rsid w:val="00F952A6"/>
    <w:rsid w:val="00F962A1"/>
    <w:rsid w:val="00F96B38"/>
    <w:rsid w:val="00F97AC0"/>
    <w:rsid w:val="00FA12B5"/>
    <w:rsid w:val="00FA4843"/>
    <w:rsid w:val="00FB1C01"/>
    <w:rsid w:val="00FB3424"/>
    <w:rsid w:val="00FB3BE4"/>
    <w:rsid w:val="00FB5EE7"/>
    <w:rsid w:val="00FC2705"/>
    <w:rsid w:val="00FC28F2"/>
    <w:rsid w:val="00FC57C9"/>
    <w:rsid w:val="00FC72AA"/>
    <w:rsid w:val="00FD212A"/>
    <w:rsid w:val="00FD36B8"/>
    <w:rsid w:val="00FE0928"/>
    <w:rsid w:val="00FE1D51"/>
    <w:rsid w:val="00FE5074"/>
    <w:rsid w:val="00FE5681"/>
    <w:rsid w:val="00FE5FF9"/>
    <w:rsid w:val="00FE7697"/>
    <w:rsid w:val="00FF0D68"/>
    <w:rsid w:val="00FF17A2"/>
    <w:rsid w:val="00FF3386"/>
    <w:rsid w:val="00FF6A1C"/>
    <w:rsid w:val="00FF6B1F"/>
    <w:rsid w:val="011949CD"/>
    <w:rsid w:val="01226120"/>
    <w:rsid w:val="01271818"/>
    <w:rsid w:val="012E439E"/>
    <w:rsid w:val="0152786E"/>
    <w:rsid w:val="01635C49"/>
    <w:rsid w:val="01AF70E0"/>
    <w:rsid w:val="01B30539"/>
    <w:rsid w:val="01B57CB1"/>
    <w:rsid w:val="026E7B4E"/>
    <w:rsid w:val="02866093"/>
    <w:rsid w:val="02F2088F"/>
    <w:rsid w:val="033B110D"/>
    <w:rsid w:val="03A2440C"/>
    <w:rsid w:val="03C7439E"/>
    <w:rsid w:val="03CA37D9"/>
    <w:rsid w:val="03D12B67"/>
    <w:rsid w:val="03D8626A"/>
    <w:rsid w:val="04021876"/>
    <w:rsid w:val="0422171C"/>
    <w:rsid w:val="042F5B05"/>
    <w:rsid w:val="04552C06"/>
    <w:rsid w:val="0458215C"/>
    <w:rsid w:val="046061CC"/>
    <w:rsid w:val="04745538"/>
    <w:rsid w:val="04C92897"/>
    <w:rsid w:val="04D03646"/>
    <w:rsid w:val="05895CC4"/>
    <w:rsid w:val="05997254"/>
    <w:rsid w:val="05B128D7"/>
    <w:rsid w:val="05E05A96"/>
    <w:rsid w:val="06361DFE"/>
    <w:rsid w:val="064648FC"/>
    <w:rsid w:val="06545602"/>
    <w:rsid w:val="06647E92"/>
    <w:rsid w:val="06972A8A"/>
    <w:rsid w:val="06B53563"/>
    <w:rsid w:val="06E57C76"/>
    <w:rsid w:val="074366AE"/>
    <w:rsid w:val="07D22987"/>
    <w:rsid w:val="07E350C8"/>
    <w:rsid w:val="082D6FB0"/>
    <w:rsid w:val="086668EF"/>
    <w:rsid w:val="090265EC"/>
    <w:rsid w:val="0930032E"/>
    <w:rsid w:val="0A8D1094"/>
    <w:rsid w:val="0A95537F"/>
    <w:rsid w:val="0A956499"/>
    <w:rsid w:val="0A9F3990"/>
    <w:rsid w:val="0B4576B0"/>
    <w:rsid w:val="0B571202"/>
    <w:rsid w:val="0B6C1E53"/>
    <w:rsid w:val="0BD9116B"/>
    <w:rsid w:val="0BE9290A"/>
    <w:rsid w:val="0C683626"/>
    <w:rsid w:val="0C7A5796"/>
    <w:rsid w:val="0C8C5AFB"/>
    <w:rsid w:val="0C963EF8"/>
    <w:rsid w:val="0D0826AD"/>
    <w:rsid w:val="0D103128"/>
    <w:rsid w:val="0D2D2AAA"/>
    <w:rsid w:val="0D30053E"/>
    <w:rsid w:val="0D8C04F1"/>
    <w:rsid w:val="0DAC4A67"/>
    <w:rsid w:val="0DBA4B4D"/>
    <w:rsid w:val="0DF5231E"/>
    <w:rsid w:val="0E1101F2"/>
    <w:rsid w:val="0E26072A"/>
    <w:rsid w:val="0FDC19E8"/>
    <w:rsid w:val="103D3F25"/>
    <w:rsid w:val="10A81246"/>
    <w:rsid w:val="119416B6"/>
    <w:rsid w:val="11982CCF"/>
    <w:rsid w:val="11B9148E"/>
    <w:rsid w:val="11D25F32"/>
    <w:rsid w:val="12125943"/>
    <w:rsid w:val="124011D5"/>
    <w:rsid w:val="12433B36"/>
    <w:rsid w:val="126569F8"/>
    <w:rsid w:val="128D50B0"/>
    <w:rsid w:val="12A92B51"/>
    <w:rsid w:val="12B83BF7"/>
    <w:rsid w:val="12C5437D"/>
    <w:rsid w:val="12C72DE6"/>
    <w:rsid w:val="133F20B0"/>
    <w:rsid w:val="134560F5"/>
    <w:rsid w:val="135E2740"/>
    <w:rsid w:val="13824BF1"/>
    <w:rsid w:val="143642E1"/>
    <w:rsid w:val="1490506D"/>
    <w:rsid w:val="14B65F60"/>
    <w:rsid w:val="14E57140"/>
    <w:rsid w:val="14EF0922"/>
    <w:rsid w:val="15224B0B"/>
    <w:rsid w:val="1533640A"/>
    <w:rsid w:val="153F50D3"/>
    <w:rsid w:val="15461F78"/>
    <w:rsid w:val="15EC7348"/>
    <w:rsid w:val="16035FDF"/>
    <w:rsid w:val="168C5D0E"/>
    <w:rsid w:val="168F6A22"/>
    <w:rsid w:val="16946343"/>
    <w:rsid w:val="16B543D5"/>
    <w:rsid w:val="16BD3F10"/>
    <w:rsid w:val="17053961"/>
    <w:rsid w:val="171559AB"/>
    <w:rsid w:val="1752258F"/>
    <w:rsid w:val="17593E68"/>
    <w:rsid w:val="176A78D9"/>
    <w:rsid w:val="17AC0656"/>
    <w:rsid w:val="17AF6D1D"/>
    <w:rsid w:val="17B113BF"/>
    <w:rsid w:val="17B12E8E"/>
    <w:rsid w:val="17F06029"/>
    <w:rsid w:val="18354E04"/>
    <w:rsid w:val="186971E7"/>
    <w:rsid w:val="19017392"/>
    <w:rsid w:val="191E736D"/>
    <w:rsid w:val="195049B4"/>
    <w:rsid w:val="195A108F"/>
    <w:rsid w:val="19B97B07"/>
    <w:rsid w:val="19DB3BBC"/>
    <w:rsid w:val="1A5F4E7E"/>
    <w:rsid w:val="1AA466A3"/>
    <w:rsid w:val="1AFE67D6"/>
    <w:rsid w:val="1B472C35"/>
    <w:rsid w:val="1B6E5458"/>
    <w:rsid w:val="1B846E73"/>
    <w:rsid w:val="1BA31ED5"/>
    <w:rsid w:val="1BE23ADA"/>
    <w:rsid w:val="1C1F18E8"/>
    <w:rsid w:val="1C516EF6"/>
    <w:rsid w:val="1C5273D7"/>
    <w:rsid w:val="1C6F7740"/>
    <w:rsid w:val="1C994E1A"/>
    <w:rsid w:val="1CD535BE"/>
    <w:rsid w:val="1CD67589"/>
    <w:rsid w:val="1D032F5A"/>
    <w:rsid w:val="1D88519E"/>
    <w:rsid w:val="1D9D511D"/>
    <w:rsid w:val="1DB22AE1"/>
    <w:rsid w:val="1E432EC2"/>
    <w:rsid w:val="1E5D0591"/>
    <w:rsid w:val="1F7C3428"/>
    <w:rsid w:val="1F8A649F"/>
    <w:rsid w:val="1F8A6578"/>
    <w:rsid w:val="1F9D4C77"/>
    <w:rsid w:val="1FA55AEB"/>
    <w:rsid w:val="201A4806"/>
    <w:rsid w:val="201D02D1"/>
    <w:rsid w:val="20740D69"/>
    <w:rsid w:val="20BF18B6"/>
    <w:rsid w:val="20EC1670"/>
    <w:rsid w:val="211778EC"/>
    <w:rsid w:val="213B0E0C"/>
    <w:rsid w:val="21FB5E4C"/>
    <w:rsid w:val="229C0E4F"/>
    <w:rsid w:val="22C3684E"/>
    <w:rsid w:val="22C94DED"/>
    <w:rsid w:val="22F268D4"/>
    <w:rsid w:val="234336EA"/>
    <w:rsid w:val="238B4E5F"/>
    <w:rsid w:val="23FD74A8"/>
    <w:rsid w:val="240E4B90"/>
    <w:rsid w:val="24B1674A"/>
    <w:rsid w:val="24BD3A36"/>
    <w:rsid w:val="2510464C"/>
    <w:rsid w:val="25171622"/>
    <w:rsid w:val="25195BA8"/>
    <w:rsid w:val="25215C0D"/>
    <w:rsid w:val="254B2DB0"/>
    <w:rsid w:val="254D3184"/>
    <w:rsid w:val="25526A20"/>
    <w:rsid w:val="2585340F"/>
    <w:rsid w:val="266B4401"/>
    <w:rsid w:val="26856324"/>
    <w:rsid w:val="269D352E"/>
    <w:rsid w:val="26AA671A"/>
    <w:rsid w:val="26BC4772"/>
    <w:rsid w:val="26D57F5A"/>
    <w:rsid w:val="26DC5ACA"/>
    <w:rsid w:val="26EA3245"/>
    <w:rsid w:val="26F561C6"/>
    <w:rsid w:val="270F5DA7"/>
    <w:rsid w:val="2764543E"/>
    <w:rsid w:val="27905770"/>
    <w:rsid w:val="27FA3F51"/>
    <w:rsid w:val="28053566"/>
    <w:rsid w:val="28434E9B"/>
    <w:rsid w:val="285D13EC"/>
    <w:rsid w:val="28645324"/>
    <w:rsid w:val="2865694F"/>
    <w:rsid w:val="28897A22"/>
    <w:rsid w:val="28A62BFE"/>
    <w:rsid w:val="28DE5466"/>
    <w:rsid w:val="28F8075F"/>
    <w:rsid w:val="296F4050"/>
    <w:rsid w:val="298C338C"/>
    <w:rsid w:val="29B2140D"/>
    <w:rsid w:val="2A106035"/>
    <w:rsid w:val="2AA82F26"/>
    <w:rsid w:val="2AF53303"/>
    <w:rsid w:val="2B557066"/>
    <w:rsid w:val="2B9841A4"/>
    <w:rsid w:val="2BCF773D"/>
    <w:rsid w:val="2C075BA7"/>
    <w:rsid w:val="2C4A24BC"/>
    <w:rsid w:val="2C8473B7"/>
    <w:rsid w:val="2C952343"/>
    <w:rsid w:val="2CA92085"/>
    <w:rsid w:val="2D114663"/>
    <w:rsid w:val="2D681650"/>
    <w:rsid w:val="2DF92934"/>
    <w:rsid w:val="2E5E55D3"/>
    <w:rsid w:val="2E7B1F74"/>
    <w:rsid w:val="2E7B5A71"/>
    <w:rsid w:val="2E994780"/>
    <w:rsid w:val="2F0A2E12"/>
    <w:rsid w:val="2F374CA2"/>
    <w:rsid w:val="2F454C5F"/>
    <w:rsid w:val="2F6A7667"/>
    <w:rsid w:val="2F7C50D3"/>
    <w:rsid w:val="2F976BF0"/>
    <w:rsid w:val="2FC45829"/>
    <w:rsid w:val="2FCE7794"/>
    <w:rsid w:val="305D4927"/>
    <w:rsid w:val="305F4787"/>
    <w:rsid w:val="306F174F"/>
    <w:rsid w:val="309B37DA"/>
    <w:rsid w:val="30B63A8B"/>
    <w:rsid w:val="30EB79CF"/>
    <w:rsid w:val="31075DC0"/>
    <w:rsid w:val="31167D3E"/>
    <w:rsid w:val="313578DA"/>
    <w:rsid w:val="31A84FF6"/>
    <w:rsid w:val="32002EBC"/>
    <w:rsid w:val="327B617E"/>
    <w:rsid w:val="32DE1DC2"/>
    <w:rsid w:val="32E30917"/>
    <w:rsid w:val="32F470C1"/>
    <w:rsid w:val="333402A1"/>
    <w:rsid w:val="33814D5C"/>
    <w:rsid w:val="3382133D"/>
    <w:rsid w:val="339F03AA"/>
    <w:rsid w:val="33B63632"/>
    <w:rsid w:val="33B87990"/>
    <w:rsid w:val="33FD7F0B"/>
    <w:rsid w:val="347D08A1"/>
    <w:rsid w:val="34A45A1D"/>
    <w:rsid w:val="34BA5572"/>
    <w:rsid w:val="34D3082A"/>
    <w:rsid w:val="34DE0A0E"/>
    <w:rsid w:val="352C27DA"/>
    <w:rsid w:val="3542119D"/>
    <w:rsid w:val="35E6294C"/>
    <w:rsid w:val="35F918D5"/>
    <w:rsid w:val="362B7879"/>
    <w:rsid w:val="36802A1D"/>
    <w:rsid w:val="36961941"/>
    <w:rsid w:val="36FB4B27"/>
    <w:rsid w:val="36FE3AF0"/>
    <w:rsid w:val="37123AEF"/>
    <w:rsid w:val="37AF4DE3"/>
    <w:rsid w:val="38261E7E"/>
    <w:rsid w:val="383A736B"/>
    <w:rsid w:val="386A6C8B"/>
    <w:rsid w:val="38D743AC"/>
    <w:rsid w:val="38DB5B90"/>
    <w:rsid w:val="38E70932"/>
    <w:rsid w:val="38E761C8"/>
    <w:rsid w:val="3964194F"/>
    <w:rsid w:val="3968645D"/>
    <w:rsid w:val="39827EF6"/>
    <w:rsid w:val="399732A4"/>
    <w:rsid w:val="39CF1A96"/>
    <w:rsid w:val="39D47467"/>
    <w:rsid w:val="39E134DF"/>
    <w:rsid w:val="3A43465E"/>
    <w:rsid w:val="3A474D97"/>
    <w:rsid w:val="3AAA2007"/>
    <w:rsid w:val="3AE448CA"/>
    <w:rsid w:val="3B35353A"/>
    <w:rsid w:val="3BC634D1"/>
    <w:rsid w:val="3BDD014F"/>
    <w:rsid w:val="3BEA3B49"/>
    <w:rsid w:val="3C681D8A"/>
    <w:rsid w:val="3CD8070C"/>
    <w:rsid w:val="3CF60FC7"/>
    <w:rsid w:val="3D1A3E3C"/>
    <w:rsid w:val="3D3103CE"/>
    <w:rsid w:val="3DAE3E14"/>
    <w:rsid w:val="3DB611CD"/>
    <w:rsid w:val="3DB83060"/>
    <w:rsid w:val="3DF040EA"/>
    <w:rsid w:val="3E18158D"/>
    <w:rsid w:val="3E2D40E6"/>
    <w:rsid w:val="3E395B9D"/>
    <w:rsid w:val="3E4A2E6D"/>
    <w:rsid w:val="3E572320"/>
    <w:rsid w:val="3EA719E9"/>
    <w:rsid w:val="3EB85B25"/>
    <w:rsid w:val="3F29723C"/>
    <w:rsid w:val="3FA37FE6"/>
    <w:rsid w:val="3FA44C23"/>
    <w:rsid w:val="3FEF4CAF"/>
    <w:rsid w:val="4003377A"/>
    <w:rsid w:val="40504003"/>
    <w:rsid w:val="40C13983"/>
    <w:rsid w:val="41271C6B"/>
    <w:rsid w:val="413D64F4"/>
    <w:rsid w:val="414F2C34"/>
    <w:rsid w:val="415112F9"/>
    <w:rsid w:val="415856A1"/>
    <w:rsid w:val="41855F22"/>
    <w:rsid w:val="41A97DAE"/>
    <w:rsid w:val="41DF1E21"/>
    <w:rsid w:val="420D409B"/>
    <w:rsid w:val="42216349"/>
    <w:rsid w:val="42333F9B"/>
    <w:rsid w:val="425608D6"/>
    <w:rsid w:val="426C033D"/>
    <w:rsid w:val="426D5939"/>
    <w:rsid w:val="429F4C54"/>
    <w:rsid w:val="42D61FC5"/>
    <w:rsid w:val="430A4537"/>
    <w:rsid w:val="430C142F"/>
    <w:rsid w:val="43576AE6"/>
    <w:rsid w:val="436C1C33"/>
    <w:rsid w:val="43776B01"/>
    <w:rsid w:val="444255B6"/>
    <w:rsid w:val="444A3AAA"/>
    <w:rsid w:val="44D71A86"/>
    <w:rsid w:val="44F7381B"/>
    <w:rsid w:val="452E53D5"/>
    <w:rsid w:val="4557336D"/>
    <w:rsid w:val="45716DC1"/>
    <w:rsid w:val="457B1381"/>
    <w:rsid w:val="45F26761"/>
    <w:rsid w:val="461F2696"/>
    <w:rsid w:val="462B0F4C"/>
    <w:rsid w:val="463B2A78"/>
    <w:rsid w:val="464C0026"/>
    <w:rsid w:val="464E08AF"/>
    <w:rsid w:val="469541B3"/>
    <w:rsid w:val="46A42F48"/>
    <w:rsid w:val="46A61876"/>
    <w:rsid w:val="46EF35FC"/>
    <w:rsid w:val="4727150D"/>
    <w:rsid w:val="472A4F66"/>
    <w:rsid w:val="47C22447"/>
    <w:rsid w:val="47D32661"/>
    <w:rsid w:val="48426A8C"/>
    <w:rsid w:val="48823CE4"/>
    <w:rsid w:val="488F68C6"/>
    <w:rsid w:val="48D679D5"/>
    <w:rsid w:val="48E6768F"/>
    <w:rsid w:val="491924BE"/>
    <w:rsid w:val="49272491"/>
    <w:rsid w:val="49A11775"/>
    <w:rsid w:val="49D34022"/>
    <w:rsid w:val="49DC11DB"/>
    <w:rsid w:val="4A190351"/>
    <w:rsid w:val="4A33475A"/>
    <w:rsid w:val="4A6034BA"/>
    <w:rsid w:val="4A7C09CE"/>
    <w:rsid w:val="4AC961D0"/>
    <w:rsid w:val="4B6A728E"/>
    <w:rsid w:val="4B9C30A6"/>
    <w:rsid w:val="4BD97452"/>
    <w:rsid w:val="4BDA77E8"/>
    <w:rsid w:val="4BDB3053"/>
    <w:rsid w:val="4C350CE3"/>
    <w:rsid w:val="4C806C7C"/>
    <w:rsid w:val="4C860B9A"/>
    <w:rsid w:val="4D3612B0"/>
    <w:rsid w:val="4D3B76F1"/>
    <w:rsid w:val="4D5821D2"/>
    <w:rsid w:val="4D7D0F3B"/>
    <w:rsid w:val="4E64541E"/>
    <w:rsid w:val="4ED513E2"/>
    <w:rsid w:val="4F1108C8"/>
    <w:rsid w:val="4F113151"/>
    <w:rsid w:val="4F8017A3"/>
    <w:rsid w:val="50AC6853"/>
    <w:rsid w:val="50D436DD"/>
    <w:rsid w:val="50DB6976"/>
    <w:rsid w:val="51357B34"/>
    <w:rsid w:val="518E129D"/>
    <w:rsid w:val="51D610EC"/>
    <w:rsid w:val="51ED7562"/>
    <w:rsid w:val="523336AF"/>
    <w:rsid w:val="529143BB"/>
    <w:rsid w:val="53330324"/>
    <w:rsid w:val="53512087"/>
    <w:rsid w:val="53A06B84"/>
    <w:rsid w:val="53B37E4E"/>
    <w:rsid w:val="53C322AA"/>
    <w:rsid w:val="5459619A"/>
    <w:rsid w:val="547D5970"/>
    <w:rsid w:val="54B679FB"/>
    <w:rsid w:val="54C05B91"/>
    <w:rsid w:val="54E03BC2"/>
    <w:rsid w:val="550255FC"/>
    <w:rsid w:val="551641B4"/>
    <w:rsid w:val="551A6761"/>
    <w:rsid w:val="558E52D9"/>
    <w:rsid w:val="55C12303"/>
    <w:rsid w:val="55CC7CC7"/>
    <w:rsid w:val="55CD4D71"/>
    <w:rsid w:val="561B2DB9"/>
    <w:rsid w:val="561D7C04"/>
    <w:rsid w:val="562A1095"/>
    <w:rsid w:val="56673C3A"/>
    <w:rsid w:val="56C9124D"/>
    <w:rsid w:val="56E140FB"/>
    <w:rsid w:val="56FE6795"/>
    <w:rsid w:val="57236962"/>
    <w:rsid w:val="57E82350"/>
    <w:rsid w:val="58717806"/>
    <w:rsid w:val="589670DF"/>
    <w:rsid w:val="58D13E1D"/>
    <w:rsid w:val="58E05682"/>
    <w:rsid w:val="58E92FFA"/>
    <w:rsid w:val="58EB7E6A"/>
    <w:rsid w:val="59350CC9"/>
    <w:rsid w:val="597C2D1D"/>
    <w:rsid w:val="5997199A"/>
    <w:rsid w:val="5A0459C7"/>
    <w:rsid w:val="5A2E5F69"/>
    <w:rsid w:val="5BA07082"/>
    <w:rsid w:val="5BBB770C"/>
    <w:rsid w:val="5BEF509F"/>
    <w:rsid w:val="5C244F48"/>
    <w:rsid w:val="5C366F18"/>
    <w:rsid w:val="5C506A6E"/>
    <w:rsid w:val="5C56110F"/>
    <w:rsid w:val="5CB249CD"/>
    <w:rsid w:val="5D075F37"/>
    <w:rsid w:val="5D621E21"/>
    <w:rsid w:val="5DB958C0"/>
    <w:rsid w:val="5DF348DD"/>
    <w:rsid w:val="5DFA7F3B"/>
    <w:rsid w:val="5E895E64"/>
    <w:rsid w:val="5EBC7BB2"/>
    <w:rsid w:val="5ECC1C80"/>
    <w:rsid w:val="5F106BEE"/>
    <w:rsid w:val="5FA328D4"/>
    <w:rsid w:val="5FEB663D"/>
    <w:rsid w:val="600307B6"/>
    <w:rsid w:val="6027664C"/>
    <w:rsid w:val="608D377A"/>
    <w:rsid w:val="6097121E"/>
    <w:rsid w:val="60B76F59"/>
    <w:rsid w:val="60CA5AC7"/>
    <w:rsid w:val="61024826"/>
    <w:rsid w:val="612754C0"/>
    <w:rsid w:val="613E2DDF"/>
    <w:rsid w:val="61691A64"/>
    <w:rsid w:val="61810B2C"/>
    <w:rsid w:val="61B04307"/>
    <w:rsid w:val="62101856"/>
    <w:rsid w:val="625C530B"/>
    <w:rsid w:val="62640718"/>
    <w:rsid w:val="62886ABB"/>
    <w:rsid w:val="634D1FCC"/>
    <w:rsid w:val="637C7219"/>
    <w:rsid w:val="63DE20A3"/>
    <w:rsid w:val="63FF5FD1"/>
    <w:rsid w:val="645C53F8"/>
    <w:rsid w:val="64782C4C"/>
    <w:rsid w:val="65844AA8"/>
    <w:rsid w:val="65A45545"/>
    <w:rsid w:val="66017CD6"/>
    <w:rsid w:val="661F2C0A"/>
    <w:rsid w:val="662D15EB"/>
    <w:rsid w:val="665C07DE"/>
    <w:rsid w:val="669E504F"/>
    <w:rsid w:val="66A8285C"/>
    <w:rsid w:val="66A87C06"/>
    <w:rsid w:val="66BE67E3"/>
    <w:rsid w:val="66D253E8"/>
    <w:rsid w:val="67015C25"/>
    <w:rsid w:val="67CA40EA"/>
    <w:rsid w:val="67FD1A54"/>
    <w:rsid w:val="69284D52"/>
    <w:rsid w:val="693D530D"/>
    <w:rsid w:val="694E068C"/>
    <w:rsid w:val="6A667FC2"/>
    <w:rsid w:val="6A6E6425"/>
    <w:rsid w:val="6A805D17"/>
    <w:rsid w:val="6A82333B"/>
    <w:rsid w:val="6AA12E54"/>
    <w:rsid w:val="6B596BBE"/>
    <w:rsid w:val="6B614B0D"/>
    <w:rsid w:val="6BA37194"/>
    <w:rsid w:val="6BF41EAC"/>
    <w:rsid w:val="6C65783C"/>
    <w:rsid w:val="6C8625D8"/>
    <w:rsid w:val="6CB155E4"/>
    <w:rsid w:val="6CDF423C"/>
    <w:rsid w:val="6D206400"/>
    <w:rsid w:val="6D2755C8"/>
    <w:rsid w:val="6D2F1B04"/>
    <w:rsid w:val="6D3962FB"/>
    <w:rsid w:val="6DCE7F8A"/>
    <w:rsid w:val="6E0858C1"/>
    <w:rsid w:val="6E3A229C"/>
    <w:rsid w:val="6E73509D"/>
    <w:rsid w:val="6EA2087C"/>
    <w:rsid w:val="6ED018F2"/>
    <w:rsid w:val="6EED78E4"/>
    <w:rsid w:val="6F453364"/>
    <w:rsid w:val="6FFC043E"/>
    <w:rsid w:val="70375EEC"/>
    <w:rsid w:val="703F503F"/>
    <w:rsid w:val="705E5F23"/>
    <w:rsid w:val="70693F83"/>
    <w:rsid w:val="70817048"/>
    <w:rsid w:val="70A62EBA"/>
    <w:rsid w:val="70AD6927"/>
    <w:rsid w:val="70F3689E"/>
    <w:rsid w:val="712C4A7F"/>
    <w:rsid w:val="720940B7"/>
    <w:rsid w:val="72AC6CBC"/>
    <w:rsid w:val="733676C5"/>
    <w:rsid w:val="739C44DF"/>
    <w:rsid w:val="73B47087"/>
    <w:rsid w:val="73D90F5C"/>
    <w:rsid w:val="746D7236"/>
    <w:rsid w:val="74BD1949"/>
    <w:rsid w:val="74CC4B6F"/>
    <w:rsid w:val="752244C4"/>
    <w:rsid w:val="75A14A43"/>
    <w:rsid w:val="75C35A3D"/>
    <w:rsid w:val="75CF3EA3"/>
    <w:rsid w:val="760514FB"/>
    <w:rsid w:val="77005D4D"/>
    <w:rsid w:val="771713B1"/>
    <w:rsid w:val="77802AF4"/>
    <w:rsid w:val="779F1DFC"/>
    <w:rsid w:val="77D645DA"/>
    <w:rsid w:val="77F00530"/>
    <w:rsid w:val="77F77867"/>
    <w:rsid w:val="788E0BA6"/>
    <w:rsid w:val="78C71B26"/>
    <w:rsid w:val="78F23F65"/>
    <w:rsid w:val="7926030E"/>
    <w:rsid w:val="79BC5EA6"/>
    <w:rsid w:val="79D7229C"/>
    <w:rsid w:val="79ED50A1"/>
    <w:rsid w:val="7A010B4C"/>
    <w:rsid w:val="7A5144A5"/>
    <w:rsid w:val="7AD97FC2"/>
    <w:rsid w:val="7B0B0739"/>
    <w:rsid w:val="7B2353F6"/>
    <w:rsid w:val="7B661412"/>
    <w:rsid w:val="7B9E6B59"/>
    <w:rsid w:val="7BFE4505"/>
    <w:rsid w:val="7C807CF6"/>
    <w:rsid w:val="7CBA79A4"/>
    <w:rsid w:val="7D0F4C89"/>
    <w:rsid w:val="7D3210C8"/>
    <w:rsid w:val="7D352A3F"/>
    <w:rsid w:val="7D385A74"/>
    <w:rsid w:val="7D5C27F7"/>
    <w:rsid w:val="7E03067F"/>
    <w:rsid w:val="7EAB1087"/>
    <w:rsid w:val="7F2E195D"/>
    <w:rsid w:val="7FC7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360" w:lineRule="auto"/>
      <w:outlineLvl w:val="0"/>
    </w:pPr>
    <w:rPr>
      <w:b/>
      <w:kern w:val="44"/>
      <w:sz w:val="32"/>
    </w:rPr>
  </w:style>
  <w:style w:type="paragraph" w:styleId="4">
    <w:name w:val="heading 2"/>
    <w:basedOn w:val="1"/>
    <w:next w:val="5"/>
    <w:link w:val="108"/>
    <w:autoRedefine/>
    <w:qFormat/>
    <w:uiPriority w:val="0"/>
    <w:pPr>
      <w:keepNext/>
      <w:keepLines/>
      <w:spacing w:before="260" w:after="260" w:line="416" w:lineRule="auto"/>
      <w:jc w:val="left"/>
      <w:outlineLvl w:val="1"/>
    </w:pPr>
    <w:rPr>
      <w:rFonts w:ascii="Cambria" w:hAnsi="Cambria"/>
      <w:b/>
      <w:sz w:val="32"/>
    </w:rPr>
  </w:style>
  <w:style w:type="paragraph" w:styleId="6">
    <w:name w:val="heading 3"/>
    <w:basedOn w:val="1"/>
    <w:next w:val="1"/>
    <w:autoRedefine/>
    <w:qFormat/>
    <w:uiPriority w:val="0"/>
    <w:pPr>
      <w:keepNext/>
      <w:keepLines/>
      <w:spacing w:line="360" w:lineRule="auto"/>
      <w:outlineLvl w:val="2"/>
    </w:pPr>
    <w:rPr>
      <w:b/>
      <w:sz w:val="24"/>
    </w:rPr>
  </w:style>
  <w:style w:type="paragraph" w:styleId="7">
    <w:name w:val="heading 4"/>
    <w:basedOn w:val="1"/>
    <w:next w:val="1"/>
    <w:link w:val="44"/>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8">
    <w:name w:val="heading 5"/>
    <w:basedOn w:val="1"/>
    <w:next w:val="9"/>
    <w:link w:val="45"/>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10">
    <w:name w:val="heading 6"/>
    <w:basedOn w:val="1"/>
    <w:next w:val="1"/>
    <w:link w:val="51"/>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11">
    <w:name w:val="heading 7"/>
    <w:basedOn w:val="1"/>
    <w:next w:val="1"/>
    <w:link w:val="55"/>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2">
    <w:name w:val="heading 8"/>
    <w:basedOn w:val="1"/>
    <w:next w:val="1"/>
    <w:link w:val="53"/>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3">
    <w:name w:val="heading 9"/>
    <w:basedOn w:val="1"/>
    <w:next w:val="1"/>
    <w:link w:val="46"/>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autoRedefine/>
    <w:qFormat/>
    <w:uiPriority w:val="99"/>
    <w:pPr>
      <w:autoSpaceDE w:val="0"/>
      <w:autoSpaceDN w:val="0"/>
      <w:adjustRightInd w:val="0"/>
      <w:ind w:firstLine="420"/>
    </w:pPr>
    <w:rPr>
      <w:kern w:val="0"/>
      <w:szCs w:val="21"/>
    </w:rPr>
  </w:style>
  <w:style w:type="paragraph" w:styleId="9">
    <w:name w:val="Body Text Indent"/>
    <w:basedOn w:val="1"/>
    <w:autoRedefine/>
    <w:qFormat/>
    <w:uiPriority w:val="0"/>
    <w:pPr>
      <w:spacing w:line="360" w:lineRule="auto"/>
      <w:ind w:left="424" w:leftChars="202" w:firstLine="567"/>
    </w:pPr>
    <w:rPr>
      <w:sz w:val="24"/>
    </w:rPr>
  </w:style>
  <w:style w:type="paragraph" w:styleId="14">
    <w:name w:val="Document Map"/>
    <w:basedOn w:val="1"/>
    <w:link w:val="54"/>
    <w:autoRedefine/>
    <w:qFormat/>
    <w:uiPriority w:val="0"/>
    <w:rPr>
      <w:rFonts w:hint="default" w:ascii="宋体"/>
      <w:sz w:val="18"/>
      <w:szCs w:val="18"/>
      <w:lang w:val="zh-CN" w:eastAsia="zh-CN"/>
    </w:rPr>
  </w:style>
  <w:style w:type="paragraph" w:styleId="15">
    <w:name w:val="annotation text"/>
    <w:basedOn w:val="1"/>
    <w:link w:val="61"/>
    <w:autoRedefine/>
    <w:qFormat/>
    <w:uiPriority w:val="0"/>
    <w:pPr>
      <w:jc w:val="left"/>
    </w:pPr>
    <w:rPr>
      <w:rFonts w:hint="default"/>
      <w:lang w:val="zh-CN" w:eastAsia="zh-CN"/>
    </w:rPr>
  </w:style>
  <w:style w:type="paragraph" w:styleId="16">
    <w:name w:val="Body Text 3"/>
    <w:basedOn w:val="1"/>
    <w:link w:val="66"/>
    <w:autoRedefine/>
    <w:qFormat/>
    <w:uiPriority w:val="0"/>
    <w:pPr>
      <w:spacing w:after="120"/>
    </w:pPr>
    <w:rPr>
      <w:rFonts w:hint="default"/>
      <w:sz w:val="16"/>
      <w:szCs w:val="16"/>
      <w:lang w:val="zh-CN" w:eastAsia="zh-CN"/>
    </w:rPr>
  </w:style>
  <w:style w:type="paragraph" w:styleId="17">
    <w:name w:val="Body Text"/>
    <w:basedOn w:val="1"/>
    <w:next w:val="1"/>
    <w:link w:val="49"/>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2"/>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7"/>
    <w:autoRedefine/>
    <w:qFormat/>
    <w:uiPriority w:val="0"/>
    <w:rPr>
      <w:rFonts w:hint="default"/>
      <w:sz w:val="18"/>
      <w:szCs w:val="18"/>
      <w:lang w:val="zh-CN" w:eastAsia="zh-CN"/>
    </w:rPr>
  </w:style>
  <w:style w:type="paragraph" w:styleId="24">
    <w:name w:val="footer"/>
    <w:basedOn w:val="1"/>
    <w:link w:val="56"/>
    <w:autoRedefine/>
    <w:qFormat/>
    <w:uiPriority w:val="0"/>
    <w:pPr>
      <w:tabs>
        <w:tab w:val="center" w:pos="4153"/>
        <w:tab w:val="right" w:pos="8306"/>
      </w:tabs>
      <w:snapToGrid w:val="0"/>
      <w:jc w:val="left"/>
    </w:pPr>
    <w:rPr>
      <w:rFonts w:hint="default"/>
      <w:sz w:val="18"/>
      <w:lang w:val="zh-CN" w:eastAsia="zh-CN"/>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Normal (Web)"/>
    <w:basedOn w:val="1"/>
    <w:next w:val="25"/>
    <w:autoRedefine/>
    <w:qFormat/>
    <w:uiPriority w:val="99"/>
    <w:pPr>
      <w:widowControl/>
      <w:spacing w:before="100" w:beforeAutospacing="1" w:after="100" w:afterAutospacing="1"/>
      <w:jc w:val="left"/>
    </w:pPr>
    <w:rPr>
      <w:rFonts w:ascii="宋体" w:hAnsi="宋体"/>
      <w:sz w:val="24"/>
    </w:rPr>
  </w:style>
  <w:style w:type="paragraph" w:styleId="31">
    <w:name w:val="annotation subject"/>
    <w:basedOn w:val="15"/>
    <w:next w:val="15"/>
    <w:link w:val="62"/>
    <w:autoRedefine/>
    <w:qFormat/>
    <w:uiPriority w:val="0"/>
    <w:rPr>
      <w:b/>
      <w:bCs/>
    </w:rPr>
  </w:style>
  <w:style w:type="paragraph" w:styleId="32">
    <w:name w:val="Body Text First Indent"/>
    <w:basedOn w:val="17"/>
    <w:autoRedefine/>
    <w:qFormat/>
    <w:uiPriority w:val="0"/>
    <w:pPr>
      <w:spacing w:after="120"/>
      <w:ind w:firstLine="420" w:firstLineChars="100"/>
      <w:jc w:val="both"/>
    </w:pPr>
  </w:style>
  <w:style w:type="paragraph" w:styleId="33">
    <w:name w:val="Body Text First Indent 2"/>
    <w:basedOn w:val="9"/>
    <w:next w:val="1"/>
    <w:autoRedefine/>
    <w:qFormat/>
    <w:uiPriority w:val="0"/>
    <w:pPr>
      <w:adjustRightInd w:val="0"/>
      <w:spacing w:after="80"/>
      <w:textAlignment w:val="baseline"/>
    </w:pPr>
    <w:rPr>
      <w:rFonts w:ascii="宋体" w:hAnsi="宋体"/>
      <w:color w:val="000000"/>
      <w:kern w:val="0"/>
      <w:szCs w:val="20"/>
    </w:rPr>
  </w:style>
  <w:style w:type="table" w:styleId="35">
    <w:name w:val="Table Grid"/>
    <w:basedOn w:val="3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hint="default" w:ascii="Times New Roman" w:hAnsi="Times New Roman" w:eastAsia="宋体"/>
      <w:b/>
      <w:sz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none"/>
    </w:rPr>
  </w:style>
  <w:style w:type="character" w:styleId="40">
    <w:name w:val="Emphasis"/>
    <w:basedOn w:val="36"/>
    <w:autoRedefine/>
    <w:qFormat/>
    <w:uiPriority w:val="0"/>
  </w:style>
  <w:style w:type="character" w:styleId="41">
    <w:name w:val="Hyperlink"/>
    <w:autoRedefine/>
    <w:qFormat/>
    <w:uiPriority w:val="99"/>
    <w:rPr>
      <w:rFonts w:hint="default" w:ascii="Times New Roman" w:hAnsi="Times New Roman" w:eastAsia="宋体"/>
      <w:color w:val="0000FF"/>
      <w:sz w:val="24"/>
      <w:u w:val="single"/>
    </w:rPr>
  </w:style>
  <w:style w:type="character" w:styleId="42">
    <w:name w:val="annotation reference"/>
    <w:autoRedefine/>
    <w:qFormat/>
    <w:uiPriority w:val="0"/>
    <w:rPr>
      <w:sz w:val="21"/>
      <w:szCs w:val="21"/>
    </w:rPr>
  </w:style>
  <w:style w:type="character" w:customStyle="1" w:styleId="43">
    <w:name w:val="已访问的超链接1"/>
    <w:autoRedefine/>
    <w:qFormat/>
    <w:uiPriority w:val="0"/>
    <w:rPr>
      <w:color w:val="800080"/>
      <w:u w:val="single"/>
    </w:rPr>
  </w:style>
  <w:style w:type="character" w:customStyle="1" w:styleId="44">
    <w:name w:val="标题 4 字符"/>
    <w:link w:val="7"/>
    <w:autoRedefine/>
    <w:semiHidden/>
    <w:qFormat/>
    <w:uiPriority w:val="0"/>
    <w:rPr>
      <w:rFonts w:ascii="Cambria" w:hAnsi="Cambria" w:eastAsia="宋体" w:cs="Times New Roman"/>
      <w:b/>
      <w:bCs/>
      <w:kern w:val="2"/>
      <w:sz w:val="28"/>
      <w:szCs w:val="28"/>
    </w:rPr>
  </w:style>
  <w:style w:type="character" w:customStyle="1" w:styleId="45">
    <w:name w:val="标题 5 字符"/>
    <w:link w:val="8"/>
    <w:autoRedefine/>
    <w:qFormat/>
    <w:uiPriority w:val="9"/>
    <w:rPr>
      <w:rFonts w:ascii="Times New Roman" w:hAnsi="Times New Roman" w:eastAsia="仿宋"/>
      <w:bCs/>
      <w:sz w:val="24"/>
      <w:szCs w:val="28"/>
    </w:rPr>
  </w:style>
  <w:style w:type="character" w:customStyle="1" w:styleId="46">
    <w:name w:val="标题 9 字符"/>
    <w:link w:val="13"/>
    <w:autoRedefine/>
    <w:qFormat/>
    <w:uiPriority w:val="0"/>
    <w:rPr>
      <w:rFonts w:ascii="Arial" w:hAnsi="Arial" w:eastAsia="仿宋" w:cs="Arial"/>
      <w:sz w:val="21"/>
      <w:szCs w:val="21"/>
    </w:rPr>
  </w:style>
  <w:style w:type="character" w:customStyle="1" w:styleId="47">
    <w:name w:val="批注框文本 字符"/>
    <w:link w:val="23"/>
    <w:autoRedefine/>
    <w:qFormat/>
    <w:uiPriority w:val="0"/>
    <w:rPr>
      <w:rFonts w:ascii="Times New Roman" w:hAnsi="Times New Roman"/>
      <w:kern w:val="2"/>
      <w:sz w:val="18"/>
      <w:szCs w:val="18"/>
    </w:rPr>
  </w:style>
  <w:style w:type="character" w:customStyle="1" w:styleId="48">
    <w:name w:val="正文首行缩进 Char"/>
    <w:basedOn w:val="49"/>
    <w:link w:val="50"/>
    <w:autoRedefine/>
    <w:qFormat/>
    <w:uiPriority w:val="0"/>
    <w:rPr>
      <w:rFonts w:ascii="Times New Roman" w:hAnsi="Times New Roman"/>
      <w:kern w:val="2"/>
      <w:sz w:val="21"/>
      <w:szCs w:val="22"/>
    </w:rPr>
  </w:style>
  <w:style w:type="character" w:customStyle="1" w:styleId="49">
    <w:name w:val="正文文本 字符"/>
    <w:link w:val="17"/>
    <w:autoRedefine/>
    <w:qFormat/>
    <w:uiPriority w:val="0"/>
    <w:rPr>
      <w:rFonts w:ascii="Times New Roman" w:hAnsi="Times New Roman"/>
      <w:kern w:val="2"/>
      <w:sz w:val="21"/>
      <w:szCs w:val="22"/>
    </w:rPr>
  </w:style>
  <w:style w:type="paragraph" w:customStyle="1" w:styleId="50">
    <w:name w:val="正文首行缩进1"/>
    <w:basedOn w:val="17"/>
    <w:link w:val="48"/>
    <w:autoRedefine/>
    <w:qFormat/>
    <w:uiPriority w:val="0"/>
    <w:pPr>
      <w:spacing w:after="120"/>
      <w:ind w:firstLine="420" w:firstLineChars="100"/>
      <w:jc w:val="both"/>
    </w:pPr>
  </w:style>
  <w:style w:type="character" w:customStyle="1" w:styleId="51">
    <w:name w:val="标题 6 字符"/>
    <w:link w:val="10"/>
    <w:autoRedefine/>
    <w:qFormat/>
    <w:uiPriority w:val="0"/>
    <w:rPr>
      <w:rFonts w:ascii="Arial" w:hAnsi="Arial" w:eastAsia="仿宋" w:cs="Arial"/>
      <w:b/>
      <w:bCs/>
      <w:szCs w:val="24"/>
    </w:rPr>
  </w:style>
  <w:style w:type="character" w:customStyle="1" w:styleId="52">
    <w:name w:val="日期 字符1"/>
    <w:link w:val="21"/>
    <w:autoRedefine/>
    <w:qFormat/>
    <w:uiPriority w:val="0"/>
    <w:rPr>
      <w:rFonts w:ascii="Times New Roman" w:hAnsi="Times New Roman"/>
      <w:kern w:val="2"/>
      <w:sz w:val="21"/>
      <w:szCs w:val="22"/>
    </w:rPr>
  </w:style>
  <w:style w:type="character" w:customStyle="1" w:styleId="53">
    <w:name w:val="标题 8 字符"/>
    <w:link w:val="12"/>
    <w:autoRedefine/>
    <w:qFormat/>
    <w:uiPriority w:val="0"/>
    <w:rPr>
      <w:rFonts w:ascii="Arial" w:hAnsi="Arial" w:eastAsia="仿宋" w:cs="Arial"/>
      <w:szCs w:val="24"/>
    </w:rPr>
  </w:style>
  <w:style w:type="character" w:customStyle="1" w:styleId="54">
    <w:name w:val="文档结构图 字符"/>
    <w:link w:val="14"/>
    <w:autoRedefine/>
    <w:qFormat/>
    <w:uiPriority w:val="0"/>
    <w:rPr>
      <w:rFonts w:ascii="宋体" w:hAnsi="Times New Roman"/>
      <w:kern w:val="2"/>
      <w:sz w:val="18"/>
      <w:szCs w:val="18"/>
    </w:rPr>
  </w:style>
  <w:style w:type="character" w:customStyle="1" w:styleId="55">
    <w:name w:val="标题 7 字符"/>
    <w:link w:val="11"/>
    <w:autoRedefine/>
    <w:qFormat/>
    <w:uiPriority w:val="0"/>
    <w:rPr>
      <w:rFonts w:ascii="Times New Roman" w:hAnsi="Times New Roman" w:eastAsia="仿宋"/>
      <w:b/>
      <w:bCs/>
      <w:szCs w:val="24"/>
    </w:rPr>
  </w:style>
  <w:style w:type="character" w:customStyle="1" w:styleId="56">
    <w:name w:val="页脚 字符"/>
    <w:link w:val="24"/>
    <w:autoRedefine/>
    <w:qFormat/>
    <w:uiPriority w:val="0"/>
    <w:rPr>
      <w:rFonts w:ascii="Times New Roman" w:hAnsi="Times New Roman"/>
      <w:kern w:val="2"/>
      <w:sz w:val="18"/>
      <w:szCs w:val="22"/>
    </w:rPr>
  </w:style>
  <w:style w:type="character" w:customStyle="1" w:styleId="57">
    <w:name w:val="正文3 Char"/>
    <w:link w:val="58"/>
    <w:autoRedefine/>
    <w:qFormat/>
    <w:uiPriority w:val="0"/>
    <w:rPr>
      <w:rFonts w:ascii="仿宋" w:hAnsi="仿宋" w:eastAsia="仿宋"/>
      <w:sz w:val="24"/>
      <w:szCs w:val="28"/>
    </w:rPr>
  </w:style>
  <w:style w:type="paragraph" w:customStyle="1" w:styleId="58">
    <w:name w:val="正文3"/>
    <w:basedOn w:val="50"/>
    <w:link w:val="57"/>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59">
    <w:name w:val="标题55 Char"/>
    <w:link w:val="60"/>
    <w:autoRedefine/>
    <w:qFormat/>
    <w:uiPriority w:val="0"/>
    <w:rPr>
      <w:rFonts w:ascii="Times New Roman" w:hAnsi="Times New Roman" w:eastAsia="仿宋"/>
      <w:b/>
      <w:bCs/>
      <w:sz w:val="28"/>
      <w:szCs w:val="28"/>
    </w:rPr>
  </w:style>
  <w:style w:type="paragraph" w:customStyle="1" w:styleId="60">
    <w:name w:val="标题55"/>
    <w:basedOn w:val="8"/>
    <w:next w:val="58"/>
    <w:link w:val="59"/>
    <w:autoRedefine/>
    <w:qFormat/>
    <w:uiPriority w:val="0"/>
    <w:pPr>
      <w:spacing w:before="50" w:beforeAutospacing="0"/>
    </w:pPr>
    <w:rPr>
      <w:b/>
      <w:sz w:val="28"/>
    </w:rPr>
  </w:style>
  <w:style w:type="character" w:customStyle="1" w:styleId="61">
    <w:name w:val="批注文字 字符"/>
    <w:link w:val="15"/>
    <w:autoRedefine/>
    <w:qFormat/>
    <w:uiPriority w:val="0"/>
    <w:rPr>
      <w:rFonts w:ascii="Times New Roman" w:hAnsi="Times New Roman"/>
      <w:kern w:val="2"/>
      <w:sz w:val="21"/>
      <w:szCs w:val="22"/>
    </w:rPr>
  </w:style>
  <w:style w:type="character" w:customStyle="1" w:styleId="62">
    <w:name w:val="批注主题 字符"/>
    <w:link w:val="31"/>
    <w:autoRedefine/>
    <w:qFormat/>
    <w:uiPriority w:val="0"/>
    <w:rPr>
      <w:rFonts w:ascii="Times New Roman" w:hAnsi="Times New Roman"/>
      <w:b/>
      <w:bCs/>
      <w:kern w:val="2"/>
      <w:sz w:val="21"/>
      <w:szCs w:val="22"/>
    </w:rPr>
  </w:style>
  <w:style w:type="character" w:customStyle="1" w:styleId="63">
    <w:name w:val="日期 字符"/>
    <w:autoRedefine/>
    <w:qFormat/>
    <w:uiPriority w:val="0"/>
    <w:rPr>
      <w:kern w:val="2"/>
      <w:sz w:val="21"/>
      <w:szCs w:val="24"/>
      <w:lang w:bidi="ar-SA"/>
    </w:rPr>
  </w:style>
  <w:style w:type="character" w:customStyle="1" w:styleId="64">
    <w:name w:val="06-正文 Char"/>
    <w:link w:val="65"/>
    <w:autoRedefine/>
    <w:qFormat/>
    <w:locked/>
    <w:uiPriority w:val="0"/>
    <w:rPr>
      <w:rFonts w:ascii="Arial" w:hAnsi="Arial"/>
      <w:sz w:val="24"/>
    </w:rPr>
  </w:style>
  <w:style w:type="paragraph" w:customStyle="1" w:styleId="65">
    <w:name w:val="06-正文"/>
    <w:basedOn w:val="1"/>
    <w:link w:val="64"/>
    <w:autoRedefine/>
    <w:qFormat/>
    <w:uiPriority w:val="0"/>
    <w:pPr>
      <w:ind w:firstLine="480" w:firstLineChars="200"/>
    </w:pPr>
    <w:rPr>
      <w:rFonts w:hint="default" w:ascii="Arial" w:hAnsi="Arial"/>
      <w:kern w:val="0"/>
      <w:sz w:val="24"/>
      <w:szCs w:val="20"/>
      <w:lang w:val="zh-CN" w:eastAsia="zh-CN"/>
    </w:rPr>
  </w:style>
  <w:style w:type="character" w:customStyle="1" w:styleId="66">
    <w:name w:val="正文文本 3 字符"/>
    <w:link w:val="16"/>
    <w:autoRedefine/>
    <w:qFormat/>
    <w:uiPriority w:val="0"/>
    <w:rPr>
      <w:rFonts w:ascii="Times New Roman" w:hAnsi="Times New Roman"/>
      <w:kern w:val="2"/>
      <w:sz w:val="16"/>
      <w:szCs w:val="16"/>
    </w:rPr>
  </w:style>
  <w:style w:type="paragraph" w:customStyle="1" w:styleId="67">
    <w:name w:val="目录 21"/>
    <w:basedOn w:val="1"/>
    <w:next w:val="1"/>
    <w:autoRedefine/>
    <w:qFormat/>
    <w:uiPriority w:val="39"/>
    <w:pPr>
      <w:ind w:left="210"/>
      <w:jc w:val="left"/>
    </w:pPr>
    <w:rPr>
      <w:rFonts w:ascii="Calibri" w:hAnsi="Calibri"/>
      <w:smallCaps/>
      <w:sz w:val="20"/>
    </w:rPr>
  </w:style>
  <w:style w:type="paragraph" w:customStyle="1" w:styleId="68">
    <w:name w:val="目录 31"/>
    <w:basedOn w:val="1"/>
    <w:next w:val="1"/>
    <w:autoRedefine/>
    <w:qFormat/>
    <w:uiPriority w:val="39"/>
    <w:pPr>
      <w:ind w:left="840" w:leftChars="400"/>
    </w:pPr>
  </w:style>
  <w:style w:type="paragraph" w:customStyle="1" w:styleId="69">
    <w:name w:val="目录 11"/>
    <w:basedOn w:val="1"/>
    <w:next w:val="1"/>
    <w:autoRedefine/>
    <w:qFormat/>
    <w:uiPriority w:val="39"/>
    <w:pPr>
      <w:spacing w:before="120" w:after="120"/>
      <w:jc w:val="left"/>
    </w:pPr>
    <w:rPr>
      <w:rFonts w:ascii="Calibri" w:hAnsi="Calibri"/>
      <w:b/>
      <w:caps/>
      <w:sz w:val="20"/>
    </w:rPr>
  </w:style>
  <w:style w:type="paragraph" w:customStyle="1" w:styleId="70">
    <w:name w:val="列表段落1"/>
    <w:basedOn w:val="1"/>
    <w:autoRedefine/>
    <w:qFormat/>
    <w:uiPriority w:val="34"/>
    <w:pPr>
      <w:ind w:firstLine="420" w:firstLineChars="200"/>
    </w:pPr>
  </w:style>
  <w:style w:type="paragraph" w:customStyle="1" w:styleId="71">
    <w:name w:val="目录"/>
    <w:basedOn w:val="1"/>
    <w:autoRedefine/>
    <w:unhideWhenUsed/>
    <w:qFormat/>
    <w:uiPriority w:val="99"/>
    <w:pPr>
      <w:widowControl/>
      <w:jc w:val="center"/>
    </w:pPr>
    <w:rPr>
      <w:rFonts w:ascii="宋体"/>
      <w:b/>
      <w:sz w:val="36"/>
    </w:rPr>
  </w:style>
  <w:style w:type="paragraph" w:customStyle="1" w:styleId="72">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3">
    <w:name w:val="节"/>
    <w:basedOn w:val="4"/>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4">
    <w:name w:val="列出段落"/>
    <w:basedOn w:val="1"/>
    <w:autoRedefine/>
    <w:qFormat/>
    <w:uiPriority w:val="34"/>
    <w:pPr>
      <w:ind w:firstLine="420" w:firstLineChars="200"/>
    </w:pPr>
    <w:rPr>
      <w:rFonts w:hint="default" w:ascii="Calibri" w:hAnsi="Calibri"/>
    </w:rPr>
  </w:style>
  <w:style w:type="paragraph" w:customStyle="1" w:styleId="75">
    <w:name w:val="Char Char Char Char Char Char Char Char Char Char Char1 Char Char Char Char Char Char Char Char Char Char Char Char"/>
    <w:basedOn w:val="1"/>
    <w:autoRedefine/>
    <w:qFormat/>
    <w:uiPriority w:val="0"/>
    <w:rPr>
      <w:rFonts w:hint="default"/>
      <w:szCs w:val="20"/>
    </w:rPr>
  </w:style>
  <w:style w:type="paragraph" w:customStyle="1" w:styleId="76">
    <w:name w:val="_Style 3"/>
    <w:basedOn w:val="1"/>
    <w:autoRedefine/>
    <w:qFormat/>
    <w:uiPriority w:val="34"/>
    <w:pPr>
      <w:ind w:firstLine="420" w:firstLineChars="200"/>
    </w:pPr>
    <w:rPr>
      <w:rFonts w:hint="default" w:ascii="Calibri" w:hAnsi="Calibri"/>
    </w:rPr>
  </w:style>
  <w:style w:type="paragraph" w:customStyle="1" w:styleId="77">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_Style 43"/>
    <w:basedOn w:val="14"/>
    <w:autoRedefine/>
    <w:qFormat/>
    <w:uiPriority w:val="0"/>
    <w:pPr>
      <w:shd w:val="clear" w:color="auto" w:fill="000080"/>
    </w:pPr>
    <w:rPr>
      <w:rFonts w:ascii="Tahoma" w:hAnsi="Tahoma"/>
      <w:sz w:val="24"/>
      <w:szCs w:val="24"/>
    </w:rPr>
  </w:style>
  <w:style w:type="paragraph" w:customStyle="1" w:styleId="79">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0">
    <w:name w:val="p17"/>
    <w:basedOn w:val="1"/>
    <w:autoRedefine/>
    <w:qFormat/>
    <w:uiPriority w:val="0"/>
    <w:pPr>
      <w:widowControl/>
      <w:ind w:firstLine="420"/>
    </w:pPr>
    <w:rPr>
      <w:rFonts w:hint="default"/>
      <w:kern w:val="0"/>
      <w:szCs w:val="21"/>
    </w:rPr>
  </w:style>
  <w:style w:type="paragraph" w:customStyle="1" w:styleId="81">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2">
    <w:name w:val="bt1bt1"/>
    <w:basedOn w:val="3"/>
    <w:autoRedefine/>
    <w:qFormat/>
    <w:uiPriority w:val="0"/>
    <w:pPr>
      <w:spacing w:before="340" w:after="330" w:line="240" w:lineRule="auto"/>
      <w:jc w:val="center"/>
    </w:pPr>
    <w:rPr>
      <w:rFonts w:hint="default" w:ascii="黑体" w:eastAsia="黑体"/>
      <w:b w:val="0"/>
      <w:bCs/>
      <w:sz w:val="36"/>
      <w:szCs w:val="36"/>
    </w:rPr>
  </w:style>
  <w:style w:type="paragraph" w:styleId="83">
    <w:name w:val="List Paragraph"/>
    <w:basedOn w:val="1"/>
    <w:autoRedefine/>
    <w:qFormat/>
    <w:uiPriority w:val="34"/>
    <w:pPr>
      <w:ind w:firstLine="420" w:firstLineChars="200"/>
    </w:pPr>
  </w:style>
  <w:style w:type="paragraph" w:customStyle="1" w:styleId="84">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5">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6">
    <w:name w:val="Table caption|2 + 10.5 pt"/>
    <w:basedOn w:val="87"/>
    <w:autoRedefine/>
    <w:semiHidden/>
    <w:unhideWhenUsed/>
    <w:qFormat/>
    <w:uiPriority w:val="0"/>
    <w:rPr>
      <w:color w:val="000000"/>
      <w:spacing w:val="0"/>
      <w:w w:val="120"/>
      <w:position w:val="0"/>
      <w:sz w:val="21"/>
      <w:szCs w:val="21"/>
      <w:lang w:val="zh-CN" w:eastAsia="zh-CN" w:bidi="zh-CN"/>
    </w:rPr>
  </w:style>
  <w:style w:type="character" w:customStyle="1" w:styleId="87">
    <w:name w:val="Table caption|2_"/>
    <w:basedOn w:val="36"/>
    <w:link w:val="88"/>
    <w:autoRedefine/>
    <w:qFormat/>
    <w:uiPriority w:val="0"/>
    <w:rPr>
      <w:rFonts w:ascii="PMingLiU" w:hAnsi="PMingLiU" w:eastAsia="PMingLiU" w:cs="PMingLiU"/>
      <w:spacing w:val="30"/>
      <w:sz w:val="28"/>
      <w:szCs w:val="28"/>
      <w:u w:val="none"/>
    </w:rPr>
  </w:style>
  <w:style w:type="paragraph" w:customStyle="1" w:styleId="88">
    <w:name w:val="Table caption|2"/>
    <w:basedOn w:val="1"/>
    <w:link w:val="87"/>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89">
    <w:name w:val="font31"/>
    <w:basedOn w:val="36"/>
    <w:autoRedefine/>
    <w:qFormat/>
    <w:uiPriority w:val="0"/>
    <w:rPr>
      <w:rFonts w:hint="eastAsia" w:ascii="宋体" w:hAnsi="宋体" w:eastAsia="宋体" w:cs="宋体"/>
      <w:color w:val="000000"/>
      <w:sz w:val="20"/>
      <w:szCs w:val="20"/>
      <w:u w:val="none"/>
    </w:rPr>
  </w:style>
  <w:style w:type="character" w:customStyle="1" w:styleId="90">
    <w:name w:val="font11"/>
    <w:basedOn w:val="36"/>
    <w:autoRedefine/>
    <w:qFormat/>
    <w:uiPriority w:val="0"/>
    <w:rPr>
      <w:rFonts w:hint="eastAsia" w:ascii="宋体" w:hAnsi="宋体" w:eastAsia="宋体" w:cs="宋体"/>
      <w:color w:val="000000"/>
      <w:sz w:val="20"/>
      <w:szCs w:val="20"/>
      <w:u w:val="none"/>
      <w:vertAlign w:val="subscript"/>
    </w:rPr>
  </w:style>
  <w:style w:type="character" w:customStyle="1" w:styleId="91">
    <w:name w:val="input-direction"/>
    <w:basedOn w:val="36"/>
    <w:autoRedefine/>
    <w:qFormat/>
    <w:uiPriority w:val="0"/>
    <w:rPr>
      <w:color w:val="FF6600"/>
    </w:rPr>
  </w:style>
  <w:style w:type="character" w:customStyle="1" w:styleId="92">
    <w:name w:val="number"/>
    <w:basedOn w:val="36"/>
    <w:autoRedefine/>
    <w:qFormat/>
    <w:uiPriority w:val="0"/>
    <w:rPr>
      <w:color w:val="FF8833"/>
      <w:sz w:val="18"/>
      <w:szCs w:val="18"/>
    </w:rPr>
  </w:style>
  <w:style w:type="character" w:customStyle="1" w:styleId="93">
    <w:name w:val="span-long"/>
    <w:basedOn w:val="36"/>
    <w:autoRedefine/>
    <w:qFormat/>
    <w:uiPriority w:val="0"/>
  </w:style>
  <w:style w:type="character" w:customStyle="1" w:styleId="94">
    <w:name w:val="proollist"/>
    <w:basedOn w:val="36"/>
    <w:autoRedefine/>
    <w:qFormat/>
    <w:uiPriority w:val="0"/>
  </w:style>
  <w:style w:type="character" w:customStyle="1" w:styleId="95">
    <w:name w:val="beforeinfotext"/>
    <w:basedOn w:val="36"/>
    <w:autoRedefine/>
    <w:qFormat/>
    <w:uiPriority w:val="0"/>
    <w:rPr>
      <w:color w:val="666666"/>
    </w:rPr>
  </w:style>
  <w:style w:type="character" w:customStyle="1" w:styleId="96">
    <w:name w:val="stclosebtn"/>
    <w:basedOn w:val="36"/>
    <w:autoRedefine/>
    <w:qFormat/>
    <w:uiPriority w:val="0"/>
  </w:style>
  <w:style w:type="character" w:customStyle="1" w:styleId="97">
    <w:name w:val="button"/>
    <w:basedOn w:val="36"/>
    <w:autoRedefine/>
    <w:qFormat/>
    <w:uiPriority w:val="0"/>
  </w:style>
  <w:style w:type="character" w:customStyle="1" w:styleId="98">
    <w:name w:val="phone"/>
    <w:basedOn w:val="36"/>
    <w:autoRedefine/>
    <w:qFormat/>
    <w:uiPriority w:val="0"/>
    <w:rPr>
      <w:color w:val="FF8833"/>
      <w:sz w:val="18"/>
      <w:szCs w:val="18"/>
    </w:rPr>
  </w:style>
  <w:style w:type="character" w:customStyle="1" w:styleId="99">
    <w:name w:val="tmpztreemove_arrow"/>
    <w:basedOn w:val="36"/>
    <w:autoRedefine/>
    <w:qFormat/>
    <w:uiPriority w:val="0"/>
  </w:style>
  <w:style w:type="character" w:customStyle="1" w:styleId="100">
    <w:name w:val="hilite"/>
    <w:basedOn w:val="36"/>
    <w:autoRedefine/>
    <w:qFormat/>
    <w:uiPriority w:val="0"/>
    <w:rPr>
      <w:color w:val="FFFFFF"/>
      <w:shd w:val="clear" w:fill="666677"/>
    </w:rPr>
  </w:style>
  <w:style w:type="character" w:customStyle="1" w:styleId="101">
    <w:name w:val="active"/>
    <w:basedOn w:val="36"/>
    <w:autoRedefine/>
    <w:qFormat/>
    <w:uiPriority w:val="0"/>
    <w:rPr>
      <w:color w:val="00FF00"/>
      <w:shd w:val="clear" w:fill="000000"/>
    </w:rPr>
  </w:style>
  <w:style w:type="character" w:customStyle="1" w:styleId="102">
    <w:name w:val="button2"/>
    <w:basedOn w:val="36"/>
    <w:autoRedefine/>
    <w:qFormat/>
    <w:uiPriority w:val="0"/>
  </w:style>
  <w:style w:type="character" w:customStyle="1" w:styleId="103">
    <w:name w:val="active4"/>
    <w:basedOn w:val="36"/>
    <w:autoRedefine/>
    <w:qFormat/>
    <w:uiPriority w:val="0"/>
    <w:rPr>
      <w:color w:val="00FF00"/>
      <w:shd w:val="clear" w:fill="000000"/>
    </w:rPr>
  </w:style>
  <w:style w:type="character" w:customStyle="1" w:styleId="104">
    <w:name w:val="hilite4"/>
    <w:basedOn w:val="36"/>
    <w:autoRedefine/>
    <w:qFormat/>
    <w:uiPriority w:val="0"/>
    <w:rPr>
      <w:color w:val="FFFFFF"/>
      <w:shd w:val="clear" w:fill="666677"/>
    </w:rPr>
  </w:style>
  <w:style w:type="character" w:customStyle="1" w:styleId="105">
    <w:name w:val="active6"/>
    <w:basedOn w:val="36"/>
    <w:autoRedefine/>
    <w:qFormat/>
    <w:uiPriority w:val="0"/>
    <w:rPr>
      <w:color w:val="00FF00"/>
      <w:shd w:val="clear" w:fill="000000"/>
    </w:rPr>
  </w:style>
  <w:style w:type="paragraph" w:customStyle="1" w:styleId="106">
    <w:name w:val="Table Paragraph"/>
    <w:basedOn w:val="1"/>
    <w:autoRedefine/>
    <w:qFormat/>
    <w:uiPriority w:val="1"/>
    <w:rPr>
      <w:rFonts w:ascii="PMingLiU" w:hAnsi="PMingLiU" w:eastAsia="PMingLiU" w:cs="PMingLiU"/>
      <w:lang w:val="zh-CN" w:eastAsia="zh-CN" w:bidi="zh-CN"/>
    </w:rPr>
  </w:style>
  <w:style w:type="character" w:customStyle="1" w:styleId="107">
    <w:name w:val="font71"/>
    <w:basedOn w:val="36"/>
    <w:autoRedefine/>
    <w:qFormat/>
    <w:uiPriority w:val="0"/>
    <w:rPr>
      <w:rFonts w:hint="default" w:ascii="仿宋_GB2312" w:eastAsia="仿宋_GB2312" w:cs="仿宋_GB2312"/>
      <w:color w:val="000000"/>
      <w:sz w:val="24"/>
      <w:szCs w:val="24"/>
      <w:u w:val="none"/>
    </w:rPr>
  </w:style>
  <w:style w:type="character" w:customStyle="1" w:styleId="108">
    <w:name w:val="标题 2 Char"/>
    <w:basedOn w:val="36"/>
    <w:link w:val="4"/>
    <w:qFormat/>
    <w:uiPriority w:val="0"/>
    <w:rPr>
      <w:rFonts w:ascii="Cambria" w:hAnsi="Cambria"/>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42268</Words>
  <Characters>44647</Characters>
  <Lines>334</Lines>
  <Paragraphs>94</Paragraphs>
  <TotalTime>6</TotalTime>
  <ScaleCrop>false</ScaleCrop>
  <LinksUpToDate>false</LinksUpToDate>
  <CharactersWithSpaces>48129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云深不知处</cp:lastModifiedBy>
  <cp:lastPrinted>2021-11-04T09:54:00Z</cp:lastPrinted>
  <dcterms:modified xsi:type="dcterms:W3CDTF">2024-06-11T06:54:11Z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F8E02A0907CD45AABD4419041034A2E8_13</vt:lpwstr>
  </property>
</Properties>
</file>