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28" w:lineRule="auto"/>
        <w:ind w:left="3077"/>
        <w:outlineLvl w:val="0"/>
        <w:rPr>
          <w:rFonts w:hint="eastAsia" w:ascii="宋体" w:hAnsi="宋体" w:eastAsia="宋体" w:cs="宋体"/>
          <w:sz w:val="31"/>
          <w:szCs w:val="31"/>
        </w:rPr>
      </w:pPr>
      <w:r>
        <w:rPr>
          <w:rFonts w:hint="eastAsia" w:ascii="宋体" w:hAnsi="宋体" w:eastAsia="宋体" w:cs="宋体"/>
          <w:spacing w:val="3"/>
          <w:sz w:val="31"/>
          <w:szCs w:val="31"/>
          <w14:textOutline w14:w="5793" w14:cap="sq" w14:cmpd="sng">
            <w14:solidFill>
              <w14:srgbClr w14:val="000000"/>
            </w14:solidFill>
            <w14:prstDash w14:val="solid"/>
            <w14:bevel/>
          </w14:textOutline>
        </w:rPr>
        <w:t>第三部分</w:t>
      </w:r>
      <w:r>
        <w:rPr>
          <w:rFonts w:hint="eastAsia" w:ascii="宋体" w:hAnsi="宋体" w:eastAsia="宋体" w:cs="宋体"/>
          <w:spacing w:val="19"/>
          <w:sz w:val="31"/>
          <w:szCs w:val="31"/>
        </w:rPr>
        <w:t xml:space="preserve">  </w:t>
      </w:r>
      <w:r>
        <w:rPr>
          <w:rFonts w:hint="eastAsia" w:ascii="宋体" w:hAnsi="宋体" w:eastAsia="宋体" w:cs="宋体"/>
          <w:spacing w:val="3"/>
          <w:sz w:val="31"/>
          <w:szCs w:val="31"/>
          <w14:textOutline w14:w="5793" w14:cap="sq" w14:cmpd="sng">
            <w14:solidFill>
              <w14:srgbClr w14:val="000000"/>
            </w14:solidFill>
            <w14:prstDash w14:val="solid"/>
            <w14:bevel/>
          </w14:textOutline>
        </w:rPr>
        <w:t>采购需求</w:t>
      </w:r>
    </w:p>
    <w:p>
      <w:pPr>
        <w:pStyle w:val="2"/>
        <w:spacing w:line="352" w:lineRule="auto"/>
        <w:rPr>
          <w:rFonts w:hint="eastAsia" w:ascii="宋体" w:hAnsi="宋体" w:eastAsia="宋体" w:cs="宋体"/>
        </w:rPr>
      </w:pPr>
    </w:p>
    <w:p>
      <w:pPr>
        <w:pStyle w:val="2"/>
        <w:spacing w:line="352" w:lineRule="auto"/>
        <w:rPr>
          <w:rFonts w:hint="eastAsia" w:ascii="宋体" w:hAnsi="宋体" w:eastAsia="宋体" w:cs="宋体"/>
        </w:rPr>
      </w:pPr>
    </w:p>
    <w:p>
      <w:pPr>
        <w:pStyle w:val="3"/>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0" w:name="_Toc14900"/>
      <w:r>
        <w:rPr>
          <w:rFonts w:hint="eastAsia" w:ascii="宋体" w:hAnsi="宋体" w:eastAsia="宋体" w:cs="宋体"/>
          <w:sz w:val="24"/>
          <w:szCs w:val="24"/>
          <w:lang w:val="en-US" w:eastAsia="zh-CN"/>
        </w:rPr>
        <w:t>总体要求</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为贯彻落实《自然资源部办公厅、国家林业和草原局办公室》（自然资办发（2020）31号）文件、《陕西省自然资源厅、陕西省林业局关于进一步规范林权类不动产登记工作的通知》（陕自然资发（2019）63号）文件）和《延市自然资源局、延安市林业局》延市自然籍发（2019）14号文件、《陕西省自然资源厅关于推进林权类不动产登记工作的通知》（陕西省自然资源登发（2020）5号）文件）和延市自然资登发（2022）7号文件要求。为确保全县林权登记数据高效整合汇交，进一步规范林权登记，全面依法履行林权类不动产登记职责，实现不动产统一登记职能。</w:t>
      </w:r>
    </w:p>
    <w:p>
      <w:pPr>
        <w:pStyle w:val="3"/>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1" w:name="_Toc29315081"/>
      <w:bookmarkStart w:id="2" w:name="_Toc8478"/>
      <w:bookmarkStart w:id="3" w:name="_Toc6414"/>
      <w:r>
        <w:rPr>
          <w:rFonts w:hint="eastAsia" w:ascii="宋体" w:hAnsi="宋体" w:eastAsia="宋体" w:cs="宋体"/>
          <w:sz w:val="24"/>
          <w:szCs w:val="24"/>
          <w:lang w:val="en-US" w:eastAsia="zh-CN"/>
        </w:rPr>
        <w:t>基本原则</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依法稳定林权的原则。对森林、林木、林地已经颁发过林权证而权属未发生变化的，予以承认，确定登记核实、解析其空间地理位置、统一坐标系等相关资料工作；对权属发生变化的，重新登记确权依法确定新的森林、林木和林地权属进行初始确权、登记；对符合国家法律、法规经营或作用森林、林木和林地的，进行初始确权、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（二）政策连续性的原则。本次林权登记确权工作，应严格按照国家现行、法律、法规、政策关于林权、权属的规定进行。对已承包的林木、林地，应按承包期予以登记。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（三）按权属发证的原则。依据权利者对森林、林木和林地的所有权或使用权，分别予以登记。其它事宜按合同约定执行。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（四）先易后难的原则。凡权属清楚的先予以登记确权；权属不清或有争议的，使用林地审批手续不全或不符合有关法律、法规、政策规定的，待理清权属或纠正违规行为后，再登记确权。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（五）公开的原则。在林权初始登记前，必须公告登记时间、地点和有关申请须知事项。登记结束后，公告审查结果，接受群众监督。</w:t>
      </w:r>
    </w:p>
    <w:p>
      <w:pPr>
        <w:pStyle w:val="3"/>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4" w:name="_Toc8013"/>
      <w:r>
        <w:rPr>
          <w:rFonts w:hint="eastAsia" w:ascii="宋体" w:hAnsi="宋体" w:eastAsia="宋体" w:cs="宋体"/>
          <w:sz w:val="24"/>
          <w:szCs w:val="24"/>
          <w:lang w:val="en-US" w:eastAsia="zh-CN"/>
        </w:rPr>
        <w:t>工作内容</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照《不动产暂行条例实施细则》，将现有分散存放、格式不一、介质不同的林权登记档案进行规范、整合，根据原林权登记资料及林权宗地位置图，对林权登记档案缺失、界址不清、首次登记未完成的国有林地、集体林地开展外业权籍调查测量，通过图解法、外业核查和实地测绘，核查每块林地土地面积、空间位置、形状、权属和空间分布等情况。按照不动产登记数据库要求，建立林权登记数据库，录入不动产登记业务系统，完成林权类不动产权证书制作及发放，同时，按照国家不动产登记数据汇交规范标准，完成数据汇交质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林权数据整合工作主要任务为：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（一）林权登记存量档案电子化。对纸质档林权登记档案进行扫描后利用电子档案翻阅，通过查阅到户的纸质申请表，对相应的小班号进行完善，保证落宗的正确性。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林权登记存量数据分析与标准化整理。存量数据分析：一是分析台账数据的完整性，检查有无缺失。二是分析字段属性之间是否存在逻辑性错误。三是分析存量数据的规范性。存量数据标准化整理：在数据分析的基础上，对数据进行标准化整理。一是通过对原数据空间图形的处理，解决不同介质、不同数据格式、不同坐标系的底图资料具有相同的数据格式和坐标系。二是因不同比例尺数据迭加造成线状、面状要素的精细程度变化，应按照原林权宗地四至描述的走向，将现有界限进行细化。三是对各空间数据、登记信息数据，应按照现行的技术标准和规范要求进行整理。四是对图形数据进行拓扑处理、冗余图形清理和碎面处理。五是对属性数据和档案数据进行归并和冗余数据清理，建立标准化的原始库。六是对宗地代码、林地小班（宗地）号以及证书号、业务号、档案编号等，按照空间数据、登记信息和档案资料的内在逻辑关系进行关联，从而解决同名异地和同地异名的问题，确保消除不动产登记信息中语义不一致的描述；同时注重解决数据类型、小数点位数和数量单位不统一的问题，确保实现在同一个县级行政区域内，同一类不动产登记的数据类型完全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林权登记存量数据空间信息补充采集。一是图形数据缺失但有纸质宗地图的，在地籍调查系统中直接将纸质宗地图进行转绘（需注意原图纸的坐标系与现行不动产地籍调查坐标系统是否一致），实现宗地图矢量化。二是资料缺失但能够直接在高清影像图上进行室内指界落宗、且当事人无异议的，无需开展实地调查。三是无纸质宗地图，确需重新调查或补充调查的，应通过外业补调的方式获取宗地图，从而实现无图宗的补充上图。四是属性数据缺失的，应依据林权登记档案资料进行补录。五是档案数据缺失的，应补充并扫描纸质档案资料。六是在数据整合过程中需要外业调查核实、补充调查、部门协调等情况，应提出处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建立图形数据、属性数据和档案资料之间的关联关系。实现林权登记存量数据的“图-属-档”一体化的数据库，按照《不动产单位设定与代码编制规则》编制不动产单元号。而后将原始资料整编成电子文件，挂接在数据库中，以便于后期办理业务时查找和对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导入不动产登记数据库。积极按照《不动产登记数据库标准（试行）》的要求，加强此项工作的学习培训和自身能力建设，搭建软硬环境，完善登记信息系统，加快推进互联网+登记，提升登簿治理。对林权登记存量数据整合结果进行检查，经验收合格后，将成果导入不动产登记数据库完成汇交。</w:t>
      </w:r>
    </w:p>
    <w:bookmarkEnd w:id="3"/>
    <w:p>
      <w:pPr>
        <w:pStyle w:val="3"/>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5" w:name="_Toc27375"/>
      <w:bookmarkStart w:id="6" w:name="_Toc29315079"/>
      <w:r>
        <w:rPr>
          <w:rFonts w:hint="eastAsia" w:ascii="宋体" w:hAnsi="宋体" w:eastAsia="宋体" w:cs="宋体"/>
          <w:sz w:val="24"/>
          <w:szCs w:val="24"/>
          <w:lang w:val="en-US" w:eastAsia="zh-CN"/>
        </w:rPr>
        <w:t>工作范围</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黄陵县境内除陕西黄陵国家级森林自然公园、陕西桥山省级自然保护区辖区以外的林地面积约236.83万亩。</w:t>
      </w:r>
    </w:p>
    <w:p>
      <w:pPr>
        <w:pStyle w:val="3"/>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7" w:name="_Toc22698"/>
      <w:bookmarkStart w:id="8" w:name="_Toc29315080"/>
      <w:r>
        <w:rPr>
          <w:rFonts w:hint="eastAsia" w:ascii="宋体" w:hAnsi="宋体" w:eastAsia="宋体" w:cs="宋体"/>
          <w:sz w:val="24"/>
          <w:szCs w:val="24"/>
          <w:lang w:val="en-US" w:eastAsia="zh-CN"/>
        </w:rPr>
        <w:t>技术要求</w:t>
      </w:r>
      <w:bookmarkEnd w:id="7"/>
      <w:bookmarkEnd w:id="8"/>
    </w:p>
    <w:p>
      <w:pPr>
        <w:pStyle w:val="4"/>
        <w:keepNext/>
        <w:keepLines/>
        <w:pageBreakBefore w:val="0"/>
        <w:widowControl w:val="0"/>
        <w:kinsoku/>
        <w:wordWrap w:val="0"/>
        <w:overflowPunct/>
        <w:topLinePunct w:val="0"/>
        <w:autoSpaceDE/>
        <w:autoSpaceDN/>
        <w:bidi w:val="0"/>
        <w:adjustRightInd/>
        <w:snapToGrid/>
        <w:spacing w:before="0" w:after="0" w:line="360" w:lineRule="auto"/>
        <w:jc w:val="left"/>
        <w:textAlignment w:val="baseline"/>
        <w:rPr>
          <w:rFonts w:hint="eastAsia" w:ascii="宋体" w:hAnsi="宋体" w:eastAsia="宋体" w:cs="宋体"/>
          <w:sz w:val="24"/>
          <w:szCs w:val="24"/>
        </w:rPr>
      </w:pPr>
      <w:bookmarkStart w:id="9" w:name="_Toc29315086"/>
      <w:bookmarkStart w:id="10" w:name="_Toc29697"/>
      <w:r>
        <w:rPr>
          <w:rFonts w:hint="eastAsia" w:ascii="宋体" w:hAnsi="宋体" w:eastAsia="宋体" w:cs="宋体"/>
          <w:sz w:val="24"/>
          <w:szCs w:val="24"/>
        </w:rPr>
        <w:t>作业依据</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1、《中华人民共和国森林法》（2019年12月28日修订）；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2、《不动产登记暂行条例实施细则》（中华人民共和国国土资源部令第63号,2016年）；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3、《自然资源确权登记暂行办法》（自然资发[2019]116号）；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4、《土地调查条例》（2018年修正本）；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5、《土地调查条例实施办法》（2019年修正本）；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6、《森林资源规划设计调查技术规程》（GB/T26424-2010）；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7、《地籍调查规程》（GB/T 42547-2023）；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8、《第三次全国土地调查技术规程》（TD/T1055-2019）；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9、《全球定位系统实时动态测量（RTK）技术规范》（CH/T2009-2010）；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10、《农村土地承包经营权调查规程》（NY/T2537-2014）；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11、《数字测绘产品质量要求》（第一部分GB/T17941.1）；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12、《全球定位系统（GPS）测量规范》（GB/T18314-2009）；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13、《数字测绘成果质量检查与验收》(GB/T18316-2008)；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14、《测绘成果质量检查与验收》(GB/T23456-2009)；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15、《国家基本比例尺地图图式》(第一部分:1:500、1:1000、1:2000地形图图式GB/T20257.1-2017)；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16、《国家基本比例尺地图图式》(第二部分:1:5000、1:10000地形图图式GB/T20257.1-2017)；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17、《土地利用现状分类》(GB/T21010-2017)；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18、《土地勘测定界技术规程》(TD/T1008-2007)；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19、《不动产登记数据库标准》（试行）。</w:t>
      </w:r>
    </w:p>
    <w:p>
      <w:pPr>
        <w:pStyle w:val="4"/>
        <w:keepNext/>
        <w:keepLines/>
        <w:pageBreakBefore w:val="0"/>
        <w:widowControl w:val="0"/>
        <w:kinsoku/>
        <w:wordWrap w:val="0"/>
        <w:overflowPunct/>
        <w:topLinePunct w:val="0"/>
        <w:autoSpaceDE/>
        <w:autoSpaceDN/>
        <w:bidi w:val="0"/>
        <w:adjustRightInd/>
        <w:snapToGrid/>
        <w:spacing w:before="0" w:after="0" w:line="360" w:lineRule="auto"/>
        <w:jc w:val="left"/>
        <w:textAlignment w:val="baseline"/>
        <w:rPr>
          <w:rFonts w:hint="eastAsia" w:ascii="宋体" w:hAnsi="宋体" w:eastAsia="宋体" w:cs="宋体"/>
          <w:sz w:val="24"/>
          <w:szCs w:val="24"/>
          <w:lang w:eastAsia="zh-CN"/>
        </w:rPr>
      </w:pPr>
      <w:bookmarkStart w:id="11" w:name="_Toc12566"/>
      <w:r>
        <w:rPr>
          <w:rFonts w:hint="eastAsia" w:ascii="宋体" w:hAnsi="宋体" w:eastAsia="宋体" w:cs="宋体"/>
          <w:sz w:val="24"/>
          <w:szCs w:val="24"/>
          <w:lang w:eastAsia="zh-CN"/>
        </w:rPr>
        <w:t>参数要求</w:t>
      </w:r>
      <w:bookmarkEnd w:id="11"/>
    </w:p>
    <w:p>
      <w:pPr>
        <w:keepNext/>
        <w:keepLines/>
        <w:spacing w:line="360" w:lineRule="auto"/>
        <w:ind w:firstLine="482" w:firstLineChars="200"/>
        <w:jc w:val="left"/>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坐标系统及数学基础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平面坐标系统采用“2000国家大地坐标系（CGCS2000）”，高程采用1985国家高程基准。长度单位采用米（m），保留2位小数；面积计算单位采用平方米（㎡），保留两位小数；面积统计汇总单位采用公顷（hm²），汇总时保留四位小数，可将亩作为辅助单位，保留三位小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精度要求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精度指标按照《地籍调查规程》（GB/T 42547-2023）、《全球定位系统实时动态测量（RTK）技术规范》（CH/T2009-2010）相关规定执行。</w:t>
      </w:r>
    </w:p>
    <w:p>
      <w:pPr>
        <w:pStyle w:val="3"/>
        <w:keepNext w:val="0"/>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12" w:name="_Toc22139"/>
      <w:r>
        <w:rPr>
          <w:rFonts w:hint="eastAsia" w:ascii="宋体" w:hAnsi="宋体" w:eastAsia="宋体" w:cs="宋体"/>
          <w:sz w:val="24"/>
          <w:szCs w:val="24"/>
          <w:lang w:val="en-US" w:eastAsia="zh-CN"/>
        </w:rPr>
        <w:t>实施流程</w:t>
      </w:r>
      <w:bookmarkEnd w:id="12"/>
    </w:p>
    <w:p>
      <w:pPr>
        <w:pStyle w:val="4"/>
        <w:keepNext w:val="0"/>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eastAsia="zh-CN"/>
        </w:rPr>
      </w:pPr>
      <w:bookmarkStart w:id="13" w:name="_Toc29329"/>
      <w:r>
        <w:rPr>
          <w:rFonts w:hint="eastAsia" w:ascii="宋体" w:hAnsi="宋体" w:eastAsia="宋体" w:cs="宋体"/>
          <w:sz w:val="24"/>
          <w:szCs w:val="24"/>
          <w:lang w:eastAsia="zh-CN"/>
        </w:rPr>
        <w:t>统一规范</w:t>
      </w:r>
      <w:bookmarkEnd w:id="13"/>
    </w:p>
    <w:p>
      <w:pPr>
        <w:keepNext w:val="0"/>
        <w:keepLines/>
        <w:pageBreakBefore w:val="0"/>
        <w:widowControl w:val="0"/>
        <w:kinsoku/>
        <w:wordWrap w:val="0"/>
        <w:overflowPunct/>
        <w:topLinePunct w:val="0"/>
        <w:autoSpaceDE/>
        <w:autoSpaceDN/>
        <w:bidi w:val="0"/>
        <w:adjustRightInd/>
        <w:snapToGrid/>
        <w:spacing w:line="360" w:lineRule="auto"/>
        <w:ind w:firstLine="480" w:firstLineChars="200"/>
        <w:jc w:val="left"/>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根据不动产登记的有关技术规程及要求，对历年已登记林权资料及首次林权登记资料统一工作平台、统一坐标系统、统一工作技术标准。</w:t>
      </w:r>
    </w:p>
    <w:p>
      <w:pPr>
        <w:pStyle w:val="4"/>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eastAsia="zh-CN"/>
        </w:rPr>
      </w:pPr>
      <w:bookmarkStart w:id="14" w:name="_Toc21224"/>
      <w:r>
        <w:rPr>
          <w:rFonts w:hint="eastAsia" w:ascii="宋体" w:hAnsi="宋体" w:eastAsia="宋体" w:cs="宋体"/>
          <w:sz w:val="24"/>
          <w:szCs w:val="24"/>
          <w:lang w:eastAsia="zh-CN"/>
        </w:rPr>
        <w:t>工作底图制作</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lang w:val="en-US" w:eastAsia="zh-CN"/>
        </w:rPr>
        <w:t>以最新正射影像图为基础制作，叠加全国第三次国土调查成果或2022年度国土变更调查成果、集体土地所有权确权登记成果、国有土地使用权确权登记成果、原林权不动产权籍调查登记界线编制工作底图。</w:t>
      </w:r>
    </w:p>
    <w:p>
      <w:pPr>
        <w:pStyle w:val="4"/>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eastAsia="zh-CN"/>
        </w:rPr>
      </w:pPr>
      <w:bookmarkStart w:id="15" w:name="_Toc18376"/>
      <w:r>
        <w:rPr>
          <w:rFonts w:hint="eastAsia" w:ascii="宋体" w:hAnsi="宋体" w:eastAsia="宋体" w:cs="宋体"/>
          <w:sz w:val="24"/>
          <w:szCs w:val="24"/>
          <w:lang w:eastAsia="zh-CN"/>
        </w:rPr>
        <w:t>权籍调查</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不动产登记暂行条例》及相关实施细则规定，按法律程序核定每宗林地的权属界线，填写不动产权籍调查表，量算面积，测绘宗地图，形成数据、图形、表册等调查资料；查清宗地、林木定着物组成的不动产单元状况，以及森林和林木信息等；查清宗地的权利人、权利类型、权利性质、土地用途、四至、面积等土地状况；查清森林与林木的权利人、坐落、造林年度、小地名、林班、小班、面积、起源、主要树种、株数、林种、共有情况等内容，满足林权不动产登记工作所需资料。</w:t>
      </w:r>
    </w:p>
    <w:p>
      <w:pPr>
        <w:pStyle w:val="4"/>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16" w:name="_Toc19563"/>
      <w:r>
        <w:rPr>
          <w:rFonts w:hint="eastAsia" w:ascii="宋体" w:hAnsi="宋体" w:eastAsia="宋体" w:cs="宋体"/>
          <w:sz w:val="24"/>
          <w:szCs w:val="24"/>
          <w:lang w:eastAsia="zh-CN"/>
        </w:rPr>
        <w:t>数据整理及</w:t>
      </w:r>
      <w:r>
        <w:rPr>
          <w:rFonts w:hint="eastAsia" w:ascii="宋体" w:hAnsi="宋体" w:eastAsia="宋体" w:cs="宋体"/>
          <w:sz w:val="24"/>
          <w:szCs w:val="24"/>
          <w:lang w:val="en-US" w:eastAsia="zh-CN"/>
        </w:rPr>
        <w:t>公示</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外业采集的宗地界址点、界址线数据，权利人信息，以及各类调查记录表等宗地调查数据录入不动产权籍调查数据处理系统，在GIS系统支持下，参考外业工作图、1:2000正射影像图，编辑宗地的界址点、界址线，制作林权不动产权籍调查信息公示图表。调查信息公示表的主要内容包括权利人姓名或名称、宗地编码、面积和地块四至等信息。打印输出张贴至村委会及相关村（组）的公告栏，进行张榜公示，公示期不少于15天。</w:t>
      </w:r>
    </w:p>
    <w:p>
      <w:pPr>
        <w:pStyle w:val="4"/>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bookmarkStart w:id="17" w:name="_Toc26091"/>
      <w:r>
        <w:rPr>
          <w:rFonts w:hint="eastAsia" w:ascii="宋体" w:hAnsi="宋体" w:eastAsia="宋体" w:cs="宋体"/>
          <w:sz w:val="24"/>
          <w:szCs w:val="24"/>
          <w:lang w:val="en-US" w:eastAsia="zh-CN"/>
        </w:rPr>
        <w:t>登记发证</w:t>
      </w:r>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根据调查及测量成果资料，逐宗逐单元进行审核、登记、发证工作。</w:t>
      </w:r>
    </w:p>
    <w:p>
      <w:pPr>
        <w:pStyle w:val="4"/>
        <w:keepNext/>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eastAsia="zh-CN"/>
        </w:rPr>
      </w:pPr>
      <w:bookmarkStart w:id="18" w:name="_Toc28577"/>
      <w:r>
        <w:rPr>
          <w:rFonts w:hint="eastAsia" w:ascii="宋体" w:hAnsi="宋体" w:eastAsia="宋体" w:cs="宋体"/>
          <w:sz w:val="24"/>
          <w:szCs w:val="24"/>
          <w:lang w:eastAsia="zh-CN"/>
        </w:rPr>
        <w:t>林权不动产权籍调查数据库建设</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lang w:val="en-US" w:eastAsia="zh-CN"/>
        </w:rPr>
        <w:t>根据《不动产登记数据库标准》，建立林权不动产权籍调查数据库，数据库内容包括不动产单元数据、权利人数据、权利数据和其它数据，对形成的图形信息与属性信息进行数据完整性、准确性、逻辑一致性以及数据分层和文件命名的规范性等检查，满足要求后汇总入库，建立林权不动产权籍调查数据库。对建立好的林权调查数据库进行管理和维护，及时更新权籍调查数据，扩展应用功能，满足相关的业务需求。</w:t>
      </w:r>
    </w:p>
    <w:p>
      <w:pPr>
        <w:pStyle w:val="3"/>
        <w:keepNext w:val="0"/>
        <w:keepLines/>
        <w:pageBreakBefore w:val="0"/>
        <w:widowControl w:val="0"/>
        <w:kinsoku/>
        <w:wordWrap w:val="0"/>
        <w:overflowPunct/>
        <w:topLinePunct w:val="0"/>
        <w:autoSpaceDE/>
        <w:autoSpaceDN/>
        <w:bidi w:val="0"/>
        <w:adjustRightInd/>
        <w:snapToGrid/>
        <w:spacing w:before="0" w:after="0" w:line="360" w:lineRule="auto"/>
        <w:ind w:firstLine="803"/>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主要成果</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（一）数据库成果</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建设黄陵县林权不动产权籍调查数据库，包括矢量空间图形成果、属性数据、元数据、其他数据成果。</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（二）文字成果</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（1）黄陵县林权不动产权籍调查技术设计书；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（2）黄陵县林权不动产权籍调查工作总结；</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（3）黄陵县林权不动产权籍调查技术总结；</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（4）黄陵县林权不动产权籍调查数据库建设工作报告；</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（5）黄陵县林权不动产权籍调查质量检查报告。</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（三）权属调查资料</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（1）法定代表人（或负责人）身份证明书；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（2）权利人身份证明材料；</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（3）权属来源证明；</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（4）指界委托书；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（5）林权不动产权籍调查指界公告；</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（6）林权不动产权籍调查指界通知书；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（7）地籍调查表、宗地图、宗地界址点成果表；</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（8）林权调查表；</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（9）法律法规规定的其他必要材料。</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（四）图件成果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（1）黄陵县林权不动产权籍调查工作底图（以行政村村为单位）；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（2）黄陵县林权不动产权籍调查外业公示图（以行政村村为单位）；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（3）黄陵县地籍区及地籍子区一览图；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（4）1:10000地籍图。</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（五）电子化成果（扫描件）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宗地成果扫描件：将宗地权属调查成果，以宗地为单位进行电子化扫描。</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（六）其他成果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反映调查登记过程的文字、照片、视频等资料。</w:t>
      </w:r>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EEA97"/>
    <w:multiLevelType w:val="singleLevel"/>
    <w:tmpl w:val="17DEEA97"/>
    <w:lvl w:ilvl="0" w:tentative="0">
      <w:start w:val="2"/>
      <w:numFmt w:val="decimal"/>
      <w:suff w:val="nothing"/>
      <w:lvlText w:val="%1、"/>
      <w:lvlJc w:val="left"/>
    </w:lvl>
  </w:abstractNum>
  <w:abstractNum w:abstractNumId="1">
    <w:nsid w:val="1FFC3860"/>
    <w:multiLevelType w:val="multilevel"/>
    <w:tmpl w:val="1FFC3860"/>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tabs>
          <w:tab w:val="left" w:pos="0"/>
        </w:tabs>
        <w:ind w:left="0" w:firstLine="400"/>
      </w:pPr>
      <w:rPr>
        <w:rFonts w:hint="eastAsia" w:ascii="宋体" w:hAnsi="宋体" w:eastAsia="宋体" w:cs="宋体"/>
      </w:rPr>
    </w:lvl>
    <w:lvl w:ilvl="3" w:tentative="0">
      <w:start w:val="1"/>
      <w:numFmt w:val="decimal"/>
      <w:suff w:val="nothing"/>
      <w:lvlText w:val="%3.%4"/>
      <w:lvlJc w:val="left"/>
      <w:pPr>
        <w:ind w:left="0" w:firstLine="402"/>
      </w:pPr>
      <w:rPr>
        <w:rFonts w:hint="eastAsia" w:ascii="宋体" w:hAnsi="宋体" w:eastAsia="宋体" w:cs="宋体"/>
      </w:rPr>
    </w:lvl>
    <w:lvl w:ilvl="4" w:tentative="0">
      <w:start w:val="1"/>
      <w:numFmt w:val="decimal"/>
      <w:suff w:val="nothing"/>
      <w:lvlText w:val="%3.%4.%5"/>
      <w:lvlJc w:val="left"/>
      <w:pPr>
        <w:tabs>
          <w:tab w:val="left" w:pos="0"/>
        </w:tabs>
        <w:ind w:left="0" w:firstLine="402"/>
      </w:pPr>
      <w:rPr>
        <w:rFonts w:hint="eastAsia" w:ascii="宋体" w:hAnsi="宋体" w:eastAsia="宋体" w:cs="宋体"/>
      </w:rPr>
    </w:lvl>
    <w:lvl w:ilvl="5" w:tentative="0">
      <w:start w:val="1"/>
      <w:numFmt w:val="decimal"/>
      <w:suff w:val="nothing"/>
      <w:lvlText w:val="%3.%4.%5.%6"/>
      <w:lvlJc w:val="left"/>
      <w:pPr>
        <w:tabs>
          <w:tab w:val="left" w:pos="0"/>
        </w:tabs>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TllZTg3NzkwNjFmMWQ0MDRjNTM5ZDQ0M2ZlOTIifQ=="/>
  </w:docVars>
  <w:rsids>
    <w:rsidRoot w:val="00000000"/>
    <w:rsid w:val="766A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line="413" w:lineRule="auto"/>
      <w:jc w:val="center"/>
      <w:outlineLvl w:val="1"/>
    </w:pPr>
    <w:rPr>
      <w:rFonts w:ascii="Arial" w:hAnsi="Arial" w:eastAsia="黑体"/>
      <w:b/>
      <w:sz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2024-03-19T08:14:49Z</dcterms:created>
  <dc:creator>Administrator</dc:creator>
  <cp:lastModifiedBy>Administrator</cp:lastModifiedBy>
  <dcterms:modified xsi:type="dcterms:W3CDTF">2024-03-19T08:14:54Z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242579521DC747CF88C6DF6C3E95DED4_12</vt:lpwstr>
  </property>
</Properties>
</file>