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经颅磁治疗仪采购项目</w:t>
      </w:r>
    </w:p>
    <w:p>
      <w:pPr>
        <w:pStyle w:val="null3"/>
        <w:jc w:val="center"/>
        <w:outlineLvl w:val="2"/>
      </w:pPr>
      <w:r>
        <w:rPr>
          <w:sz w:val="28"/>
          <w:b/>
        </w:rPr>
        <w:t>采购项目编号：</w:t>
      </w:r>
      <w:r>
        <w:rPr>
          <w:sz w:val="28"/>
          <w:b/>
        </w:rPr>
        <w:t>TZZB-HZ-2024262C</w:t>
      </w:r>
      <w:r>
        <w:br/>
      </w:r>
      <w:r>
        <w:br/>
      </w:r>
      <w:r>
        <w:br/>
      </w:r>
    </w:p>
    <w:p>
      <w:pPr>
        <w:pStyle w:val="null3"/>
        <w:jc w:val="center"/>
        <w:outlineLvl w:val="2"/>
      </w:pPr>
      <w:r>
        <w:rPr>
          <w:sz w:val="28"/>
          <w:b/>
        </w:rPr>
        <w:t>汉中市中医医院</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2024年10月10日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同正项目管理有限公司</w:t>
      </w:r>
      <w:r>
        <w:rPr/>
        <w:t>（以下简称“代理机构”）受</w:t>
      </w:r>
      <w:r>
        <w:rPr/>
        <w:t>汉中市中医医院</w:t>
      </w:r>
      <w:r>
        <w:rPr/>
        <w:t>委托，拟对</w:t>
      </w:r>
      <w:r>
        <w:rPr/>
        <w:t>经颅磁治疗仪采购项目</w:t>
      </w:r>
      <w:r>
        <w:rPr/>
        <w:t>进行国内公开招标，兹邀请符合本次招标要求的供应商参加投标。</w:t>
      </w:r>
    </w:p>
    <w:p>
      <w:pPr>
        <w:pStyle w:val="null3"/>
        <w:outlineLvl w:val="2"/>
      </w:pPr>
      <w:r>
        <w:rPr>
          <w:sz w:val="28"/>
          <w:b/>
        </w:rPr>
        <w:t>一、采购项目编号：</w:t>
      </w:r>
      <w:r>
        <w:rPr>
          <w:sz w:val="28"/>
          <w:b/>
        </w:rPr>
        <w:t>TZZB-HZ-2024262C</w:t>
      </w:r>
    </w:p>
    <w:p>
      <w:pPr>
        <w:pStyle w:val="null3"/>
        <w:outlineLvl w:val="2"/>
      </w:pPr>
      <w:r>
        <w:rPr>
          <w:sz w:val="28"/>
          <w:b/>
        </w:rPr>
        <w:t>二、采购项目名称：</w:t>
      </w:r>
      <w:r>
        <w:rPr>
          <w:sz w:val="28"/>
          <w:b/>
        </w:rPr>
        <w:t>经颅磁治疗仪采购项目</w:t>
      </w:r>
    </w:p>
    <w:p>
      <w:pPr>
        <w:pStyle w:val="null3"/>
        <w:outlineLvl w:val="2"/>
      </w:pPr>
      <w:r>
        <w:rPr>
          <w:sz w:val="28"/>
          <w:b/>
        </w:rPr>
        <w:t>三、招标项目简介</w:t>
      </w:r>
    </w:p>
    <w:p>
      <w:pPr>
        <w:pStyle w:val="null3"/>
        <w:ind w:firstLine="480"/>
      </w:pPr>
      <w:r>
        <w:rPr/>
        <w:t>汉中市中医医院经颅磁治疗仪采购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采购包1（经颅磁治疗仪采购）：属于专门面向中小企业采购。</w:t>
      </w:r>
    </w:p>
    <w:p>
      <w:pPr>
        <w:pStyle w:val="null3"/>
        <w:ind w:firstLine="480"/>
      </w:pPr>
      <w:r>
        <w:rPr/>
        <w:t>（三）本项目的特定资格要求：</w:t>
      </w:r>
    </w:p>
    <w:p>
      <w:pPr>
        <w:pStyle w:val="null3"/>
      </w:pPr>
      <w:r>
        <w:rPr/>
        <w:t>采购包1：</w:t>
      </w:r>
    </w:p>
    <w:p>
      <w:pPr>
        <w:pStyle w:val="null3"/>
      </w:pPr>
      <w:r>
        <w:rPr/>
        <w:t>1、投标人应授权合法的人员参加投标全过程：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2、信用证明：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t>3、投标人须为具有独立承担民事责任能力的法人、其他组织或自然人：出具合法有效的营业执照或事业单位法人证书等国家规定的相关证明，自然人参与的提供其身份证明。</w:t>
      </w:r>
    </w:p>
    <w:p>
      <w:pPr>
        <w:pStyle w:val="null3"/>
      </w:pPr>
      <w:r>
        <w:rPr/>
        <w:t>4、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t>5、社保缴纳证明：提供自2023年10月1日以来已缴存的任意1个月的社会保障资金缴存单据或社保机构开具的社会保险参保缴费情况证明；依法不需要缴纳社会保障资金的投标人应提供相关证明文件。</w:t>
      </w:r>
    </w:p>
    <w:p>
      <w:pPr>
        <w:pStyle w:val="null3"/>
      </w:pPr>
      <w:r>
        <w:rPr/>
        <w:t>6、税收缴纳证明：提供自2023年10月1日以来已缴纳的任意1个月的依法缴纳税收的相关凭据(时间以税款所属日期为准)，凭据应有税务机关或代收机关的公章或业务专用章；依法免税或无须缴纳税收的投标人，应提供相应证明文件。</w:t>
      </w:r>
    </w:p>
    <w:p>
      <w:pPr>
        <w:pStyle w:val="null3"/>
      </w:pPr>
      <w:r>
        <w:rPr/>
        <w:t>7、提供具有履行合同所必需的设备和专业技术能力的书面承诺：提供具有履行合同所必需的设备和专业技术能力的书面承诺，加盖投标人公章。</w:t>
      </w:r>
    </w:p>
    <w:p>
      <w:pPr>
        <w:pStyle w:val="null3"/>
      </w:pPr>
      <w:r>
        <w:rPr/>
        <w:t>8、提供参加政府采购活动前三年内在经营活动中没有重大违法记录的书面声明：提供参加政府采购活动前三年内在经营活动中没有重大违法记录的书面声明，加盖投标人公章。</w:t>
      </w:r>
    </w:p>
    <w:p>
      <w:pPr>
        <w:pStyle w:val="null3"/>
      </w:pPr>
      <w:r>
        <w:rPr/>
        <w:t>9、控股、管理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pPr>
        <w:pStyle w:val="null3"/>
      </w:pPr>
      <w:r>
        <w:rPr/>
        <w:t>10、投标人的经营资格要求：（1）投标人为经销商的应具备医疗器械经营许可证或医疗器械经营备案凭证（投标产品须在其经营范围内）；投标人为生产厂家的应具备医疗器械经营许可证或医疗器械经营备案凭证（投标产品须在其经营范围内），并具备医疗器械生产许可证（投标产品须在其生产范围内）。（2）投标产品属于医疗器械管理的提供医疗器械注册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汉中市中医医院</w:t>
      </w:r>
    </w:p>
    <w:p>
      <w:pPr>
        <w:pStyle w:val="null3"/>
      </w:pPr>
      <w:r>
        <w:rPr/>
        <w:t xml:space="preserve"> 地址： </w:t>
      </w:r>
      <w:r>
        <w:rPr/>
        <w:t>汉中市南郑区大河坎镇东昌街8号</w:t>
      </w:r>
    </w:p>
    <w:p>
      <w:pPr>
        <w:pStyle w:val="null3"/>
      </w:pPr>
      <w:r>
        <w:rPr/>
        <w:t xml:space="preserve"> 邮编： </w:t>
      </w:r>
      <w:r>
        <w:rPr/>
        <w:t>/</w:t>
      </w:r>
    </w:p>
    <w:p>
      <w:pPr>
        <w:pStyle w:val="null3"/>
      </w:pPr>
      <w:r>
        <w:rPr/>
        <w:t xml:space="preserve"> 联系人： </w:t>
      </w:r>
      <w:r>
        <w:rPr/>
        <w:t>张鑫</w:t>
      </w:r>
    </w:p>
    <w:p>
      <w:pPr>
        <w:pStyle w:val="null3"/>
      </w:pPr>
      <w:r>
        <w:rPr/>
        <w:t xml:space="preserve"> 联系电话： </w:t>
      </w:r>
      <w:r>
        <w:rPr/>
        <w:t>0916--5300351</w:t>
      </w:r>
    </w:p>
    <w:p>
      <w:pPr>
        <w:pStyle w:val="null3"/>
        <w:outlineLvl w:val="2"/>
      </w:pPr>
      <w:r>
        <w:rPr>
          <w:sz w:val="28"/>
          <w:b/>
        </w:rPr>
        <w:t>代理机构：</w:t>
      </w:r>
      <w:r>
        <w:rPr>
          <w:sz w:val="28"/>
          <w:b/>
        </w:rPr>
        <w:t>同正项目管理有限公司</w:t>
      </w:r>
    </w:p>
    <w:p>
      <w:pPr>
        <w:pStyle w:val="null3"/>
      </w:pPr>
      <w:r>
        <w:rPr/>
        <w:t xml:space="preserve"> 地址： </w:t>
      </w:r>
      <w:r>
        <w:rPr/>
        <w:t>西安市雁塔区科技二路71号竹园·天寰国际1107室</w:t>
      </w:r>
    </w:p>
    <w:p>
      <w:pPr>
        <w:pStyle w:val="null3"/>
      </w:pPr>
      <w:r>
        <w:rPr/>
        <w:t xml:space="preserve"> 邮编： </w:t>
      </w:r>
      <w:r>
        <w:rPr/>
        <w:t>710000</w:t>
      </w:r>
    </w:p>
    <w:p>
      <w:pPr>
        <w:pStyle w:val="null3"/>
      </w:pPr>
      <w:r>
        <w:rPr/>
        <w:t xml:space="preserve"> 联系人： </w:t>
      </w:r>
      <w:r>
        <w:rPr/>
        <w:t>温丽妮</w:t>
      </w:r>
    </w:p>
    <w:p>
      <w:pPr>
        <w:pStyle w:val="null3"/>
      </w:pPr>
      <w:r>
        <w:rPr/>
        <w:t xml:space="preserve"> 联系电话： </w:t>
      </w:r>
      <w:r>
        <w:rPr/>
        <w:t xml:space="preserve"> 029-65652860</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汉中市中医医院</w:t>
      </w:r>
      <w:r>
        <w:rPr/>
        <w:t>和</w:t>
      </w:r>
      <w:r>
        <w:rPr/>
        <w:t>同正项目管理有限公司</w:t>
      </w:r>
      <w:r>
        <w:rPr/>
        <w:t>享有。对招标文件中供应商参加本次政府采购活动应当具备的条件，招标项目技术、服务、商务及其他要求，评标细则及标准由</w:t>
      </w:r>
      <w:r>
        <w:rPr/>
        <w:t>汉中市中医医院</w:t>
      </w:r>
      <w:r>
        <w:rPr/>
        <w:t>负责解释。除上述招标文件内容，其他内容由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所有产品质量必须符合现行的国家标准或国家行政部门颁布的法律法规、规章制度等。没有国家标准的，可以参考行业标准。所有设备及辅材必须是未使用过的新产品，质量优良、渠道正当，配置合理。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联系人：温丽妮</w:t>
      </w:r>
    </w:p>
    <w:p>
      <w:pPr>
        <w:pStyle w:val="null3"/>
      </w:pPr>
      <w:r>
        <w:rPr/>
        <w:t>联系电话：029-65652860</w:t>
      </w:r>
    </w:p>
    <w:p>
      <w:pPr>
        <w:pStyle w:val="null3"/>
      </w:pPr>
      <w:r>
        <w:rPr/>
        <w:t>地址：西安市雁塔区科技二路71号竹园·天寰国际1107室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汉中市中医医院经颅磁治疗仪采购项目</w:t>
      </w:r>
    </w:p>
    <w:p>
      <w:pPr>
        <w:pStyle w:val="null3"/>
        <w:outlineLvl w:val="2"/>
      </w:pPr>
      <w:r>
        <w:rPr>
          <w:sz w:val="28"/>
          <w:b/>
        </w:rPr>
        <w:t>3.2采购内容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经颅磁治疗仪</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标的名称：经颅磁治疗仪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主要技术性能要求</w:t>
            </w:r>
          </w:p>
          <w:p>
            <w:pPr>
              <w:pStyle w:val="null3"/>
              <w:jc w:val="both"/>
            </w:pPr>
            <w:r>
              <w:rPr>
                <w:rFonts w:ascii="宋体" w:hAnsi="宋体" w:cs="宋体" w:eastAsia="宋体"/>
                <w:sz w:val="21"/>
              </w:rPr>
              <w:t>适应症：刺激人体中枢神经和外周神经</w:t>
            </w:r>
            <w:r>
              <w:rPr>
                <w:rFonts w:ascii="calibri" w:hAnsi="calibri" w:cs="calibri" w:eastAsia="calibri"/>
                <w:sz w:val="21"/>
              </w:rPr>
              <w:t>,</w:t>
            </w:r>
            <w:r>
              <w:rPr>
                <w:rFonts w:ascii="宋体" w:hAnsi="宋体" w:cs="宋体" w:eastAsia="宋体"/>
                <w:sz w:val="21"/>
              </w:rPr>
              <w:t>用于人体中枢神经和外周神经功能的检测、评定、改善，对脑神经及神经损伤性疾病的辅助治疗</w:t>
            </w:r>
            <w:r>
              <w:rPr>
                <w:rFonts w:ascii="宋体" w:hAnsi="宋体" w:cs="宋体" w:eastAsia="宋体"/>
                <w:sz w:val="21"/>
              </w:rPr>
              <w:t>，以及用于辅助治疗或改善失眠症状。</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主机：</w:t>
            </w:r>
          </w:p>
          <w:p>
            <w:pPr>
              <w:pStyle w:val="null3"/>
              <w:jc w:val="both"/>
            </w:pPr>
            <w:r>
              <w:rPr>
                <w:rFonts w:ascii="calibri" w:hAnsi="calibri" w:cs="calibri" w:eastAsia="calibri"/>
              </w:rPr>
              <w:t>2.1</w:t>
            </w:r>
            <w:r>
              <w:rPr>
                <w:rFonts w:ascii="宋体" w:hAnsi="宋体" w:cs="宋体" w:eastAsia="宋体"/>
              </w:rPr>
              <w:t>结构：一体式主机，脉冲源</w:t>
            </w:r>
            <w:r>
              <w:rPr>
                <w:rFonts w:ascii="宋体" w:hAnsi="宋体" w:cs="宋体" w:eastAsia="宋体"/>
              </w:rPr>
              <w:t>、</w:t>
            </w:r>
            <w:r>
              <w:rPr>
                <w:rFonts w:ascii="宋体" w:hAnsi="宋体" w:cs="宋体" w:eastAsia="宋体"/>
              </w:rPr>
              <w:t>冷却系统高度集成；非堆叠结构。</w:t>
            </w:r>
            <w:r>
              <w:rPr>
                <w:rFonts w:ascii="宋体" w:hAnsi="宋体" w:cs="宋体" w:eastAsia="宋体"/>
              </w:rPr>
              <w:t>（提供证明材料）</w:t>
            </w:r>
          </w:p>
          <w:p>
            <w:pPr>
              <w:pStyle w:val="null3"/>
              <w:jc w:val="both"/>
            </w:pPr>
            <w:r>
              <w:rPr>
                <w:rFonts w:ascii="calibri" w:hAnsi="calibri" w:cs="calibri" w:eastAsia="calibri"/>
              </w:rPr>
              <w:t xml:space="preserve">2.2 </w:t>
            </w:r>
            <w:r>
              <w:rPr>
                <w:rFonts w:ascii="宋体" w:hAnsi="宋体" w:cs="宋体" w:eastAsia="宋体"/>
              </w:rPr>
              <w:t>▲</w:t>
            </w:r>
            <w:r>
              <w:rPr>
                <w:rFonts w:ascii="宋体" w:hAnsi="宋体" w:cs="宋体" w:eastAsia="宋体"/>
              </w:rPr>
              <w:t>冷却系统：液态内循环冷却系统，非风冷或静态液冷或外循环液冷；冷却系统具备自主知识产权。</w:t>
            </w:r>
            <w:r>
              <w:rPr>
                <w:rFonts w:ascii="宋体" w:hAnsi="宋体" w:cs="宋体" w:eastAsia="宋体"/>
              </w:rPr>
              <w:t>（提供证明材料）</w:t>
            </w:r>
          </w:p>
          <w:p>
            <w:pPr>
              <w:pStyle w:val="null3"/>
              <w:jc w:val="both"/>
            </w:pPr>
            <w:r>
              <w:rPr>
                <w:rFonts w:ascii="calibri" w:hAnsi="calibri" w:cs="calibri" w:eastAsia="calibri"/>
              </w:rPr>
              <w:t xml:space="preserve">2.3 </w:t>
            </w:r>
            <w:r>
              <w:rPr>
                <w:rFonts w:ascii="宋体" w:hAnsi="宋体" w:cs="宋体" w:eastAsia="宋体"/>
              </w:rPr>
              <w:t>操作系统：</w:t>
            </w:r>
            <w:r>
              <w:rPr>
                <w:rFonts w:ascii="宋体" w:hAnsi="宋体" w:cs="宋体" w:eastAsia="宋体"/>
              </w:rPr>
              <w:t>笔记本电脑或触摸屏操作</w:t>
            </w:r>
            <w:r>
              <w:rPr>
                <w:rFonts w:ascii="宋体" w:hAnsi="宋体" w:cs="宋体" w:eastAsia="宋体"/>
              </w:rPr>
              <w:t>。</w:t>
            </w:r>
          </w:p>
          <w:p>
            <w:pPr>
              <w:pStyle w:val="null3"/>
              <w:jc w:val="both"/>
            </w:pPr>
            <w:r>
              <w:rPr>
                <w:rFonts w:ascii="calibri" w:hAnsi="calibri" w:cs="calibri" w:eastAsia="calibri"/>
              </w:rPr>
              <w:t xml:space="preserve">2.4 </w:t>
            </w:r>
            <w:r>
              <w:rPr>
                <w:rFonts w:ascii="宋体" w:hAnsi="宋体" w:cs="宋体" w:eastAsia="宋体"/>
              </w:rPr>
              <w:t>▲</w:t>
            </w:r>
            <w:r>
              <w:rPr>
                <w:rFonts w:ascii="宋体" w:hAnsi="宋体" w:cs="宋体" w:eastAsia="宋体"/>
              </w:rPr>
              <w:t>刺激线圈最大磁感应强度：</w:t>
            </w:r>
            <w:r>
              <w:rPr>
                <w:rFonts w:ascii="宋体" w:hAnsi="宋体" w:cs="宋体" w:eastAsia="宋体"/>
              </w:rPr>
              <w:t>≥</w:t>
            </w:r>
            <w:r>
              <w:rPr>
                <w:rFonts w:ascii="calibri" w:hAnsi="calibri" w:cs="calibri" w:eastAsia="calibri"/>
              </w:rPr>
              <w:t>6T</w:t>
            </w:r>
          </w:p>
          <w:p>
            <w:pPr>
              <w:pStyle w:val="null3"/>
              <w:jc w:val="both"/>
            </w:pPr>
            <w:r>
              <w:rPr>
                <w:rFonts w:ascii="calibri" w:hAnsi="calibri" w:cs="calibri" w:eastAsia="calibri"/>
              </w:rPr>
              <w:t>2.5</w:t>
            </w:r>
            <w:r>
              <w:rPr>
                <w:rFonts w:ascii="宋体" w:hAnsi="宋体" w:cs="宋体" w:eastAsia="宋体"/>
              </w:rPr>
              <w:t>磁感应强度稳定输出允差：≤±</w:t>
            </w:r>
            <w:r>
              <w:rPr>
                <w:rFonts w:ascii="calibri" w:hAnsi="calibri" w:cs="calibri" w:eastAsia="calibri"/>
              </w:rPr>
              <w:t>5%</w:t>
            </w:r>
          </w:p>
          <w:p>
            <w:pPr>
              <w:pStyle w:val="null3"/>
              <w:jc w:val="both"/>
            </w:pPr>
            <w:r>
              <w:rPr>
                <w:rFonts w:ascii="calibri" w:hAnsi="calibri" w:cs="calibri" w:eastAsia="calibri"/>
              </w:rPr>
              <w:t>2.6</w:t>
            </w:r>
            <w:r>
              <w:rPr>
                <w:rFonts w:ascii="宋体" w:hAnsi="宋体" w:cs="宋体" w:eastAsia="宋体"/>
              </w:rPr>
              <w:t>磁感应强度的最大变化率：</w:t>
            </w:r>
            <w:r>
              <w:rPr>
                <w:rFonts w:ascii="宋体" w:hAnsi="宋体" w:cs="宋体" w:eastAsia="宋体"/>
              </w:rPr>
              <w:t>≥</w:t>
            </w:r>
            <w:r>
              <w:rPr>
                <w:rFonts w:ascii="calibri" w:hAnsi="calibri" w:cs="calibri" w:eastAsia="calibri"/>
              </w:rPr>
              <w:t>20KT/s</w:t>
            </w:r>
            <w:r>
              <w:rPr>
                <w:rFonts w:ascii="calibri" w:hAnsi="calibri" w:cs="calibri" w:eastAsia="calibri"/>
              </w:rPr>
              <w:t>-</w:t>
            </w:r>
            <w:r>
              <w:rPr>
                <w:rFonts w:ascii="calibri" w:hAnsi="calibri" w:cs="calibri" w:eastAsia="calibri"/>
              </w:rPr>
              <w:t>80KT/s</w:t>
            </w:r>
          </w:p>
          <w:p>
            <w:pPr>
              <w:pStyle w:val="null3"/>
              <w:jc w:val="both"/>
            </w:pPr>
            <w:r>
              <w:rPr>
                <w:rFonts w:ascii="calibri" w:hAnsi="calibri" w:cs="calibri" w:eastAsia="calibri"/>
              </w:rPr>
              <w:t>2.7 TBS</w:t>
            </w:r>
            <w:r>
              <w:rPr>
                <w:rFonts w:ascii="宋体" w:hAnsi="宋体" w:cs="宋体" w:eastAsia="宋体"/>
              </w:rPr>
              <w:t>模式下支持以</w:t>
            </w:r>
            <w:r>
              <w:rPr>
                <w:rFonts w:ascii="calibri" w:hAnsi="calibri" w:cs="calibri" w:eastAsia="calibri"/>
              </w:rPr>
              <w:t>100%</w:t>
            </w:r>
            <w:r>
              <w:rPr>
                <w:rFonts w:ascii="宋体" w:hAnsi="宋体" w:cs="宋体" w:eastAsia="宋体"/>
              </w:rPr>
              <w:t>刺激强度输出</w:t>
            </w:r>
          </w:p>
          <w:p>
            <w:pPr>
              <w:pStyle w:val="null3"/>
              <w:jc w:val="both"/>
            </w:pPr>
            <w:r>
              <w:rPr>
                <w:rFonts w:ascii="calibri" w:hAnsi="calibri" w:cs="calibri" w:eastAsia="calibri"/>
              </w:rPr>
              <w:t>2.8</w:t>
            </w:r>
            <w:r>
              <w:rPr>
                <w:rFonts w:ascii="宋体" w:hAnsi="宋体" w:cs="宋体" w:eastAsia="宋体"/>
              </w:rPr>
              <w:t>脉冲上升时间：</w:t>
            </w:r>
            <w:r>
              <w:rPr>
                <w:rFonts w:ascii="calibri" w:hAnsi="calibri" w:cs="calibri" w:eastAsia="calibri"/>
              </w:rPr>
              <w:t>60</w:t>
            </w:r>
            <w:r>
              <w:rPr>
                <w:rFonts w:ascii="宋体" w:hAnsi="宋体" w:cs="宋体" w:eastAsia="宋体"/>
              </w:rPr>
              <w:t>μ</w:t>
            </w:r>
            <w:r>
              <w:rPr>
                <w:rFonts w:ascii="calibri" w:hAnsi="calibri" w:cs="calibri" w:eastAsia="calibri"/>
              </w:rPr>
              <w:t>s</w:t>
            </w:r>
            <w:r>
              <w:rPr>
                <w:rFonts w:ascii="宋体" w:hAnsi="宋体" w:cs="宋体" w:eastAsia="宋体"/>
              </w:rPr>
              <w:t>±</w:t>
            </w:r>
            <w:r>
              <w:rPr>
                <w:rFonts w:ascii="calibri" w:hAnsi="calibri" w:cs="calibri" w:eastAsia="calibri"/>
              </w:rPr>
              <w:t>10</w:t>
            </w:r>
            <w:r>
              <w:rPr>
                <w:rFonts w:ascii="宋体" w:hAnsi="宋体" w:cs="宋体" w:eastAsia="宋体"/>
              </w:rPr>
              <w:t>μ</w:t>
            </w:r>
            <w:r>
              <w:rPr>
                <w:rFonts w:ascii="calibri" w:hAnsi="calibri" w:cs="calibri" w:eastAsia="calibri"/>
              </w:rPr>
              <w:t>s</w:t>
            </w:r>
          </w:p>
          <w:p>
            <w:pPr>
              <w:pStyle w:val="null3"/>
              <w:jc w:val="both"/>
            </w:pPr>
            <w:r>
              <w:rPr>
                <w:rFonts w:ascii="calibri" w:hAnsi="calibri" w:cs="calibri" w:eastAsia="calibri"/>
              </w:rPr>
              <w:t>2.9</w:t>
            </w:r>
            <w:r>
              <w:rPr>
                <w:rFonts w:ascii="宋体" w:hAnsi="宋体" w:cs="宋体" w:eastAsia="宋体"/>
              </w:rPr>
              <w:t>输出脉冲宽度：</w:t>
            </w:r>
            <w:r>
              <w:rPr>
                <w:rFonts w:ascii="calibri" w:hAnsi="calibri" w:cs="calibri" w:eastAsia="calibri"/>
              </w:rPr>
              <w:t>340</w:t>
            </w:r>
            <w:r>
              <w:rPr>
                <w:rFonts w:ascii="宋体" w:hAnsi="宋体" w:cs="宋体" w:eastAsia="宋体"/>
              </w:rPr>
              <w:t>μ</w:t>
            </w:r>
            <w:r>
              <w:rPr>
                <w:rFonts w:ascii="calibri" w:hAnsi="calibri" w:cs="calibri" w:eastAsia="calibri"/>
              </w:rPr>
              <w:t>s</w:t>
            </w:r>
            <w:r>
              <w:rPr>
                <w:rFonts w:ascii="宋体" w:hAnsi="宋体" w:cs="宋体" w:eastAsia="宋体"/>
              </w:rPr>
              <w:t>±</w:t>
            </w:r>
            <w:r>
              <w:rPr>
                <w:rFonts w:ascii="calibri" w:hAnsi="calibri" w:cs="calibri" w:eastAsia="calibri"/>
              </w:rPr>
              <w:t>20</w:t>
            </w:r>
            <w:r>
              <w:rPr>
                <w:rFonts w:ascii="宋体" w:hAnsi="宋体" w:cs="宋体" w:eastAsia="宋体"/>
              </w:rPr>
              <w:t>μ</w:t>
            </w:r>
            <w:r>
              <w:rPr>
                <w:rFonts w:ascii="calibri" w:hAnsi="calibri" w:cs="calibri" w:eastAsia="calibri"/>
              </w:rPr>
              <w:t>s</w:t>
            </w:r>
          </w:p>
          <w:p>
            <w:pPr>
              <w:pStyle w:val="null3"/>
              <w:jc w:val="both"/>
            </w:pPr>
            <w:r>
              <w:rPr>
                <w:rFonts w:ascii="calibri" w:hAnsi="calibri" w:cs="calibri" w:eastAsia="calibri"/>
              </w:rPr>
              <w:t>2.10</w:t>
            </w:r>
            <w:r>
              <w:rPr>
                <w:rFonts w:ascii="宋体" w:hAnsi="宋体" w:cs="宋体" w:eastAsia="宋体"/>
              </w:rPr>
              <w:t>输出脉冲频率：</w:t>
            </w:r>
            <w:r>
              <w:rPr>
                <w:rFonts w:ascii="宋体" w:hAnsi="宋体" w:cs="宋体" w:eastAsia="宋体"/>
              </w:rPr>
              <w:t>≥</w:t>
            </w:r>
            <w:r>
              <w:rPr>
                <w:rFonts w:ascii="calibri" w:hAnsi="calibri" w:cs="calibri" w:eastAsia="calibri"/>
              </w:rPr>
              <w:t>100</w:t>
            </w:r>
            <w:r>
              <w:rPr>
                <w:rFonts w:ascii="calibri" w:hAnsi="calibri" w:cs="calibri" w:eastAsia="calibri"/>
              </w:rPr>
              <w:t>Hz</w:t>
            </w:r>
            <w:r>
              <w:rPr>
                <w:rFonts w:ascii="宋体" w:hAnsi="宋体" w:cs="宋体" w:eastAsia="宋体"/>
              </w:rPr>
              <w:t>，</w:t>
            </w:r>
            <w:r>
              <w:rPr>
                <w:rFonts w:ascii="宋体" w:hAnsi="宋体" w:cs="宋体" w:eastAsia="宋体"/>
              </w:rPr>
              <w:t>可调</w:t>
            </w:r>
          </w:p>
          <w:p>
            <w:pPr>
              <w:pStyle w:val="null3"/>
              <w:jc w:val="both"/>
            </w:pPr>
            <w:r>
              <w:rPr>
                <w:rFonts w:ascii="calibri" w:hAnsi="calibri" w:cs="calibri" w:eastAsia="calibri"/>
              </w:rPr>
              <w:t xml:space="preserve">2.11 </w:t>
            </w:r>
            <w:r>
              <w:rPr>
                <w:rFonts w:ascii="宋体" w:hAnsi="宋体" w:cs="宋体" w:eastAsia="宋体"/>
              </w:rPr>
              <w:t>▲脉冲频率允差值：≤</w:t>
            </w:r>
            <w:r>
              <w:rPr>
                <w:rFonts w:ascii="宋体" w:hAnsi="宋体" w:cs="宋体" w:eastAsia="宋体"/>
              </w:rPr>
              <w:t>±</w:t>
            </w:r>
            <w:r>
              <w:rPr>
                <w:rFonts w:ascii="calibri" w:hAnsi="calibri" w:cs="calibri" w:eastAsia="calibri"/>
              </w:rPr>
              <w:t>2%</w:t>
            </w:r>
            <w:r>
              <w:rPr>
                <w:rFonts w:ascii="宋体" w:hAnsi="宋体" w:cs="宋体" w:eastAsia="宋体"/>
              </w:rPr>
              <w:t>（</w:t>
            </w:r>
            <w:r>
              <w:rPr>
                <w:rFonts w:ascii="宋体" w:hAnsi="宋体" w:cs="宋体" w:eastAsia="宋体"/>
              </w:rPr>
              <w:t>提供证明材料</w:t>
            </w:r>
            <w:r>
              <w:rPr>
                <w:rFonts w:ascii="宋体" w:hAnsi="宋体" w:cs="宋体" w:eastAsia="宋体"/>
              </w:rPr>
              <w:t>）</w:t>
            </w:r>
          </w:p>
          <w:p>
            <w:pPr>
              <w:pStyle w:val="null3"/>
              <w:jc w:val="both"/>
            </w:pPr>
            <w:r>
              <w:rPr>
                <w:rFonts w:ascii="calibri" w:hAnsi="calibri" w:cs="calibri" w:eastAsia="calibri"/>
                <w:sz w:val="21"/>
              </w:rPr>
              <w:t xml:space="preserve">2.12 </w:t>
            </w:r>
            <w:r>
              <w:rPr>
                <w:rFonts w:ascii="宋体" w:hAnsi="宋体" w:cs="宋体" w:eastAsia="宋体"/>
                <w:sz w:val="21"/>
              </w:rPr>
              <w:t>电介质强度：</w:t>
            </w:r>
            <w:r>
              <w:rPr>
                <w:rFonts w:ascii="宋体" w:hAnsi="宋体" w:cs="宋体" w:eastAsia="宋体"/>
                <w:sz w:val="21"/>
              </w:rPr>
              <w:t>电介质强度</w:t>
            </w:r>
            <w:r>
              <w:rPr>
                <w:rFonts w:ascii="宋体" w:hAnsi="宋体" w:cs="宋体" w:eastAsia="宋体"/>
                <w:sz w:val="21"/>
              </w:rPr>
              <w:t>≥</w:t>
            </w:r>
            <w:r>
              <w:rPr>
                <w:rFonts w:ascii="calibri" w:hAnsi="calibri" w:cs="calibri" w:eastAsia="calibri"/>
                <w:sz w:val="21"/>
              </w:rPr>
              <w:t>4000VAC</w:t>
            </w:r>
            <w:r>
              <w:rPr>
                <w:rFonts w:ascii="宋体" w:hAnsi="宋体" w:cs="宋体" w:eastAsia="宋体"/>
                <w:sz w:val="21"/>
              </w:rPr>
              <w:t>（提供证明材料）</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安全保护功能：</w:t>
            </w:r>
          </w:p>
          <w:p>
            <w:pPr>
              <w:pStyle w:val="null3"/>
              <w:jc w:val="both"/>
            </w:pPr>
            <w:r>
              <w:rPr>
                <w:rFonts w:ascii="calibri" w:hAnsi="calibri" w:cs="calibri" w:eastAsia="calibri"/>
              </w:rPr>
              <w:t xml:space="preserve">3.1 </w:t>
            </w:r>
            <w:r>
              <w:rPr>
                <w:rFonts w:ascii="宋体" w:hAnsi="宋体" w:cs="宋体" w:eastAsia="宋体"/>
              </w:rPr>
              <w:t>当冷却系统发生故障时，有提示或停止磁场输出。</w:t>
            </w:r>
          </w:p>
          <w:p>
            <w:pPr>
              <w:pStyle w:val="null3"/>
              <w:jc w:val="both"/>
            </w:pPr>
            <w:r>
              <w:rPr>
                <w:rFonts w:ascii="calibri" w:hAnsi="calibri" w:cs="calibri" w:eastAsia="calibri"/>
              </w:rPr>
              <w:t>3.2</w:t>
            </w:r>
            <w:r>
              <w:rPr>
                <w:rFonts w:ascii="宋体" w:hAnsi="宋体" w:cs="宋体" w:eastAsia="宋体"/>
              </w:rPr>
              <w:t>在设备连续工作中，</w:t>
            </w:r>
            <w:r>
              <w:rPr>
                <w:rFonts w:ascii="宋体" w:hAnsi="宋体" w:cs="宋体" w:eastAsia="宋体"/>
              </w:rPr>
              <w:t>具有手动停止磁场输出的功能。</w:t>
            </w:r>
          </w:p>
          <w:p>
            <w:pPr>
              <w:pStyle w:val="null3"/>
              <w:jc w:val="both"/>
            </w:pPr>
            <w:r>
              <w:rPr>
                <w:rFonts w:ascii="calibri" w:hAnsi="calibri" w:cs="calibri" w:eastAsia="calibri"/>
                <w:sz w:val="21"/>
              </w:rPr>
              <w:t>3.3</w:t>
            </w:r>
            <w:r>
              <w:rPr>
                <w:rFonts w:ascii="宋体" w:hAnsi="宋体" w:cs="宋体" w:eastAsia="宋体"/>
                <w:sz w:val="21"/>
              </w:rPr>
              <w:t>可记录电容放电次数，当电容放电次数达到上限时具有提示功能</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刺激线圈：</w:t>
            </w:r>
          </w:p>
          <w:p>
            <w:pPr>
              <w:pStyle w:val="null3"/>
              <w:jc w:val="both"/>
            </w:pPr>
            <w:r>
              <w:rPr>
                <w:rFonts w:ascii="calibri" w:hAnsi="calibri" w:cs="calibri" w:eastAsia="calibri"/>
              </w:rPr>
              <w:t xml:space="preserve">4.1 </w:t>
            </w:r>
            <w:r>
              <w:rPr>
                <w:rFonts w:ascii="宋体" w:hAnsi="宋体" w:cs="宋体" w:eastAsia="宋体"/>
              </w:rPr>
              <w:t>标配圆形</w:t>
            </w:r>
            <w:r>
              <w:rPr>
                <w:rFonts w:ascii="宋体" w:hAnsi="宋体" w:cs="宋体" w:eastAsia="宋体"/>
              </w:rPr>
              <w:t>或</w:t>
            </w:r>
            <w:r>
              <w:rPr>
                <w:rFonts w:ascii="宋体" w:hAnsi="宋体" w:cs="宋体" w:eastAsia="宋体"/>
              </w:rPr>
              <w:t>锥</w:t>
            </w:r>
            <w:r>
              <w:rPr>
                <w:rFonts w:ascii="宋体" w:hAnsi="宋体" w:cs="宋体" w:eastAsia="宋体"/>
              </w:rPr>
              <w:t>字形线圈，能实现双面双向刺激</w:t>
            </w:r>
            <w:r>
              <w:rPr>
                <w:rFonts w:ascii="宋体" w:hAnsi="宋体" w:cs="宋体" w:eastAsia="宋体"/>
              </w:rPr>
              <w:t>；</w:t>
            </w:r>
          </w:p>
          <w:p>
            <w:pPr>
              <w:pStyle w:val="null3"/>
              <w:jc w:val="both"/>
            </w:pPr>
            <w:r>
              <w:rPr>
                <w:rFonts w:ascii="calibri" w:hAnsi="calibri" w:cs="calibri" w:eastAsia="calibri"/>
              </w:rPr>
              <w:t xml:space="preserve">4.2 </w:t>
            </w:r>
            <w:r>
              <w:rPr>
                <w:rFonts w:ascii="宋体" w:hAnsi="宋体" w:cs="宋体" w:eastAsia="宋体"/>
              </w:rPr>
              <w:t>线圈全封闭一体式工艺，无孔设计，加工一次成型；（提供证明材料）</w:t>
            </w:r>
          </w:p>
          <w:p>
            <w:pPr>
              <w:pStyle w:val="null3"/>
              <w:jc w:val="both"/>
            </w:pPr>
            <w:r>
              <w:rPr>
                <w:rFonts w:ascii="calibri" w:hAnsi="calibri" w:cs="calibri" w:eastAsia="calibri"/>
              </w:rPr>
              <w:t xml:space="preserve">4.3 </w:t>
            </w:r>
            <w:r>
              <w:rPr>
                <w:rFonts w:ascii="宋体" w:hAnsi="宋体" w:cs="宋体" w:eastAsia="宋体"/>
              </w:rPr>
              <w:t>可扩展临床用线圈拍包括：圆形，</w:t>
            </w:r>
            <w:r>
              <w:rPr>
                <w:rFonts w:ascii="calibri" w:hAnsi="calibri" w:cs="calibri" w:eastAsia="calibri"/>
              </w:rPr>
              <w:t>8</w:t>
            </w:r>
            <w:r>
              <w:rPr>
                <w:rFonts w:ascii="宋体" w:hAnsi="宋体" w:cs="宋体" w:eastAsia="宋体"/>
              </w:rPr>
              <w:t>字形、双锥（蝶）形、儿童型；</w:t>
            </w:r>
          </w:p>
          <w:p>
            <w:pPr>
              <w:pStyle w:val="null3"/>
              <w:jc w:val="both"/>
            </w:pPr>
            <w:r>
              <w:rPr>
                <w:rFonts w:ascii="calibri" w:hAnsi="calibri" w:cs="calibri" w:eastAsia="calibri"/>
              </w:rPr>
              <w:t xml:space="preserve">4.4 </w:t>
            </w:r>
            <w:r>
              <w:rPr>
                <w:rFonts w:ascii="宋体" w:hAnsi="宋体" w:cs="宋体" w:eastAsia="宋体"/>
              </w:rPr>
              <w:t>可扩展科研用线圈拍包括：凹面型、动物型、盔式深部型、红光功能型；</w:t>
            </w:r>
            <w:r>
              <w:rPr>
                <w:rFonts w:ascii="宋体" w:hAnsi="宋体" w:cs="宋体" w:eastAsia="宋体"/>
              </w:rPr>
              <w:t>（提供实物图片）</w:t>
            </w:r>
          </w:p>
          <w:p>
            <w:pPr>
              <w:pStyle w:val="null3"/>
              <w:jc w:val="both"/>
            </w:pPr>
            <w:r>
              <w:rPr>
                <w:rFonts w:ascii="calibri" w:hAnsi="calibri" w:cs="calibri" w:eastAsia="calibri"/>
                <w:sz w:val="21"/>
              </w:rPr>
              <w:t>4.5</w:t>
            </w:r>
            <w:r>
              <w:rPr>
                <w:rFonts w:ascii="宋体" w:hAnsi="宋体" w:cs="宋体" w:eastAsia="宋体"/>
                <w:sz w:val="21"/>
              </w:rPr>
              <w:t>具有电动吸液和电动排液功能。</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rPr>
              <w:t>软件功能</w:t>
            </w:r>
            <w:r>
              <w:rPr>
                <w:rFonts w:ascii="宋体" w:hAnsi="宋体" w:cs="宋体" w:eastAsia="宋体"/>
              </w:rPr>
              <w:t>：</w:t>
            </w:r>
          </w:p>
          <w:p>
            <w:pPr>
              <w:pStyle w:val="null3"/>
              <w:jc w:val="both"/>
            </w:pPr>
            <w:r>
              <w:rPr>
                <w:rFonts w:ascii="calibri" w:hAnsi="calibri" w:cs="calibri" w:eastAsia="calibri"/>
              </w:rPr>
              <w:t>5.1</w:t>
            </w:r>
            <w:r>
              <w:rPr>
                <w:rFonts w:ascii="宋体" w:hAnsi="宋体" w:cs="宋体" w:eastAsia="宋体"/>
              </w:rPr>
              <w:t>可建立和储存患者的一般信息</w:t>
            </w:r>
            <w:r>
              <w:rPr>
                <w:rFonts w:ascii="宋体" w:hAnsi="宋体" w:cs="宋体" w:eastAsia="宋体"/>
              </w:rPr>
              <w:t>。</w:t>
            </w:r>
            <w:r>
              <w:rPr>
                <w:rFonts w:ascii="宋体" w:hAnsi="宋体" w:cs="宋体" w:eastAsia="宋体"/>
              </w:rPr>
              <w:t>包括：姓名、性别、出生年月日</w:t>
            </w:r>
            <w:r>
              <w:rPr>
                <w:rFonts w:ascii="宋体" w:hAnsi="宋体" w:cs="宋体" w:eastAsia="宋体"/>
              </w:rPr>
              <w:t>、检查日期、门诊号或住院号、就诊科室等。</w:t>
            </w:r>
          </w:p>
          <w:p>
            <w:pPr>
              <w:pStyle w:val="null3"/>
              <w:jc w:val="both"/>
            </w:pPr>
            <w:r>
              <w:rPr>
                <w:rFonts w:ascii="calibri" w:hAnsi="calibri" w:cs="calibri" w:eastAsia="calibri"/>
              </w:rPr>
              <w:t>5.2</w:t>
            </w:r>
            <w:r>
              <w:rPr>
                <w:rFonts w:ascii="宋体" w:hAnsi="宋体" w:cs="宋体" w:eastAsia="宋体"/>
              </w:rPr>
              <w:t>可实现互联网功能，病人档案管理，专家方案，自定义治疗方案，海量储存。</w:t>
            </w:r>
          </w:p>
          <w:p>
            <w:pPr>
              <w:pStyle w:val="null3"/>
              <w:jc w:val="both"/>
            </w:pPr>
            <w:r>
              <w:rPr>
                <w:rFonts w:ascii="calibri" w:hAnsi="calibri" w:cs="calibri" w:eastAsia="calibri"/>
              </w:rPr>
              <w:t>5.3</w:t>
            </w:r>
            <w:r>
              <w:rPr>
                <w:rFonts w:ascii="宋体" w:hAnsi="宋体" w:cs="宋体" w:eastAsia="宋体"/>
              </w:rPr>
              <w:t>实时线圈温度显示。</w:t>
            </w:r>
          </w:p>
          <w:p>
            <w:pPr>
              <w:pStyle w:val="null3"/>
              <w:jc w:val="both"/>
            </w:pPr>
            <w:r>
              <w:rPr>
                <w:rFonts w:ascii="calibri" w:hAnsi="calibri" w:cs="calibri" w:eastAsia="calibri"/>
              </w:rPr>
              <w:t>5.4</w:t>
            </w:r>
            <w:r>
              <w:rPr>
                <w:rFonts w:ascii="宋体" w:hAnsi="宋体" w:cs="宋体" w:eastAsia="宋体"/>
              </w:rPr>
              <w:t>可根据病人姓名查找相关储存资料调出回放。</w:t>
            </w:r>
          </w:p>
          <w:p>
            <w:pPr>
              <w:pStyle w:val="null3"/>
              <w:jc w:val="both"/>
            </w:pPr>
            <w:r>
              <w:rPr>
                <w:rFonts w:ascii="calibri" w:hAnsi="calibri" w:cs="calibri" w:eastAsia="calibri"/>
                <w:sz w:val="21"/>
              </w:rPr>
              <w:t>5.5</w:t>
            </w:r>
            <w:r>
              <w:rPr>
                <w:rFonts w:ascii="宋体" w:hAnsi="宋体" w:cs="宋体" w:eastAsia="宋体"/>
                <w:sz w:val="21"/>
              </w:rPr>
              <w:t>可统计呈现每个患者的治疗记录，可以将记录存为</w:t>
            </w:r>
            <w:r>
              <w:rPr>
                <w:rFonts w:ascii="calibri" w:hAnsi="calibri" w:cs="calibri" w:eastAsia="calibri"/>
                <w:sz w:val="21"/>
              </w:rPr>
              <w:t>.docx</w:t>
            </w:r>
            <w:r>
              <w:rPr>
                <w:rFonts w:ascii="宋体" w:hAnsi="宋体" w:cs="宋体" w:eastAsia="宋体"/>
                <w:sz w:val="21"/>
              </w:rPr>
              <w:t>文档，方便复制和粘贴到硬盘、</w:t>
            </w:r>
            <w:r>
              <w:rPr>
                <w:rFonts w:ascii="calibri" w:hAnsi="calibri" w:cs="calibri" w:eastAsia="calibri"/>
                <w:sz w:val="21"/>
              </w:rPr>
              <w:t>U</w:t>
            </w:r>
            <w:r>
              <w:rPr>
                <w:rFonts w:ascii="宋体" w:hAnsi="宋体" w:cs="宋体" w:eastAsia="宋体"/>
                <w:sz w:val="21"/>
              </w:rPr>
              <w:t>盘等其他存储设备。</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rPr>
              <w:t>检测模式：</w:t>
            </w:r>
          </w:p>
          <w:p>
            <w:pPr>
              <w:pStyle w:val="null3"/>
              <w:jc w:val="both"/>
            </w:pPr>
            <w:r>
              <w:rPr>
                <w:rFonts w:ascii="calibri" w:hAnsi="calibri" w:cs="calibri" w:eastAsia="calibri"/>
              </w:rPr>
              <w:t>6.1</w:t>
            </w:r>
            <w:r>
              <w:rPr>
                <w:rFonts w:ascii="宋体" w:hAnsi="宋体" w:cs="宋体" w:eastAsia="宋体"/>
              </w:rPr>
              <w:t>检测项目：支持运动阈值（</w:t>
            </w:r>
            <w:r>
              <w:rPr>
                <w:rFonts w:ascii="calibri" w:hAnsi="calibri" w:cs="calibri" w:eastAsia="calibri"/>
              </w:rPr>
              <w:t>MT</w:t>
            </w:r>
            <w:r>
              <w:rPr>
                <w:rFonts w:ascii="宋体" w:hAnsi="宋体" w:cs="宋体" w:eastAsia="宋体"/>
              </w:rPr>
              <w:t>）、运动诱发电位（</w:t>
            </w:r>
            <w:r>
              <w:rPr>
                <w:rFonts w:ascii="calibri" w:hAnsi="calibri" w:cs="calibri" w:eastAsia="calibri"/>
              </w:rPr>
              <w:t>MEP</w:t>
            </w:r>
            <w:r>
              <w:rPr>
                <w:rFonts w:ascii="宋体" w:hAnsi="宋体" w:cs="宋体" w:eastAsia="宋体"/>
              </w:rPr>
              <w:t>）、中枢神经传导时间（</w:t>
            </w:r>
            <w:r>
              <w:rPr>
                <w:rFonts w:ascii="calibri" w:hAnsi="calibri" w:cs="calibri" w:eastAsia="calibri"/>
              </w:rPr>
              <w:t>CMCT</w:t>
            </w:r>
            <w:r>
              <w:rPr>
                <w:rFonts w:ascii="宋体" w:hAnsi="宋体" w:cs="宋体" w:eastAsia="宋体"/>
              </w:rPr>
              <w:t>）、</w:t>
            </w:r>
            <w:r>
              <w:rPr>
                <w:rFonts w:ascii="calibri" w:hAnsi="calibri" w:cs="calibri" w:eastAsia="calibri"/>
              </w:rPr>
              <w:t>ICI/ICF</w:t>
            </w:r>
            <w:r>
              <w:rPr>
                <w:rFonts w:ascii="宋体" w:hAnsi="宋体" w:cs="宋体" w:eastAsia="宋体"/>
              </w:rPr>
              <w:t>检测、静息期检测等检测功能。</w:t>
            </w:r>
          </w:p>
          <w:p>
            <w:pPr>
              <w:pStyle w:val="null3"/>
              <w:jc w:val="both"/>
            </w:pPr>
            <w:r>
              <w:rPr>
                <w:rFonts w:ascii="calibri" w:hAnsi="calibri" w:cs="calibri" w:eastAsia="calibri"/>
              </w:rPr>
              <w:t>6.2</w:t>
            </w:r>
            <w:r>
              <w:rPr>
                <w:rFonts w:ascii="宋体" w:hAnsi="宋体" w:cs="宋体" w:eastAsia="宋体"/>
              </w:rPr>
              <w:t>检测记录：运动阈值与治疗方案自动记忆功能，可对保存文档中波形与数据进行复现。</w:t>
            </w:r>
          </w:p>
          <w:p>
            <w:pPr>
              <w:pStyle w:val="null3"/>
              <w:jc w:val="both"/>
            </w:pPr>
            <w:r>
              <w:rPr>
                <w:rFonts w:ascii="calibri" w:hAnsi="calibri" w:cs="calibri" w:eastAsia="calibri"/>
              </w:rPr>
              <w:t>6.3</w:t>
            </w:r>
            <w:r>
              <w:rPr>
                <w:rFonts w:ascii="宋体" w:hAnsi="宋体" w:cs="宋体" w:eastAsia="宋体"/>
              </w:rPr>
              <w:t>具备自动计算神经传导时间功能。</w:t>
            </w:r>
          </w:p>
          <w:p>
            <w:pPr>
              <w:pStyle w:val="null3"/>
              <w:jc w:val="both"/>
            </w:pPr>
            <w:r>
              <w:rPr>
                <w:rFonts w:ascii="calibri" w:hAnsi="calibri" w:cs="calibri" w:eastAsia="calibri"/>
              </w:rPr>
              <w:t>6.4</w:t>
            </w:r>
            <w:r>
              <w:rPr>
                <w:rFonts w:ascii="宋体" w:hAnsi="宋体" w:cs="宋体" w:eastAsia="宋体"/>
              </w:rPr>
              <w:t>具备</w:t>
            </w:r>
            <w:r>
              <w:rPr>
                <w:rFonts w:ascii="宋体" w:hAnsi="宋体" w:cs="宋体" w:eastAsia="宋体"/>
              </w:rPr>
              <w:t>运动诱发电位（</w:t>
            </w:r>
            <w:r>
              <w:rPr>
                <w:rFonts w:ascii="calibri" w:hAnsi="calibri" w:cs="calibri" w:eastAsia="calibri"/>
              </w:rPr>
              <w:t>MEP</w:t>
            </w:r>
            <w:r>
              <w:rPr>
                <w:rFonts w:ascii="宋体" w:hAnsi="宋体" w:cs="宋体" w:eastAsia="宋体"/>
              </w:rPr>
              <w:t>），用于捕捉肌电信号（</w:t>
            </w:r>
            <w:r>
              <w:rPr>
                <w:rFonts w:ascii="calibri" w:hAnsi="calibri" w:cs="calibri" w:eastAsia="calibri"/>
              </w:rPr>
              <w:t>EMG</w:t>
            </w:r>
            <w:r>
              <w:rPr>
                <w:rFonts w:ascii="宋体" w:hAnsi="宋体" w:cs="宋体" w:eastAsia="宋体"/>
              </w:rPr>
              <w:t>），</w:t>
            </w:r>
            <w:r>
              <w:rPr>
                <w:rFonts w:ascii="宋体" w:hAnsi="宋体" w:cs="宋体" w:eastAsia="宋体"/>
              </w:rPr>
              <w:t>并可以在显示器上显示波形。</w:t>
            </w:r>
          </w:p>
          <w:p>
            <w:pPr>
              <w:pStyle w:val="null3"/>
              <w:jc w:val="both"/>
            </w:pPr>
            <w:r>
              <w:rPr>
                <w:rFonts w:ascii="calibri" w:hAnsi="calibri" w:cs="calibri" w:eastAsia="calibri"/>
              </w:rPr>
              <w:t xml:space="preserve">6.4.1 </w:t>
            </w:r>
            <w:r>
              <w:rPr>
                <w:rFonts w:ascii="宋体" w:hAnsi="宋体" w:cs="宋体" w:eastAsia="宋体"/>
              </w:rPr>
              <w:t>通道数：</w:t>
            </w:r>
            <w:r>
              <w:rPr>
                <w:rFonts w:ascii="calibri" w:hAnsi="calibri" w:cs="calibri" w:eastAsia="calibri"/>
              </w:rPr>
              <w:t>2</w:t>
            </w:r>
            <w:r>
              <w:rPr>
                <w:rFonts w:ascii="宋体" w:hAnsi="宋体" w:cs="宋体" w:eastAsia="宋体"/>
              </w:rPr>
              <w:t>通道</w:t>
            </w:r>
          </w:p>
          <w:p>
            <w:pPr>
              <w:pStyle w:val="null3"/>
              <w:jc w:val="both"/>
            </w:pPr>
            <w:r>
              <w:rPr>
                <w:rFonts w:ascii="calibri" w:hAnsi="calibri" w:cs="calibri" w:eastAsia="calibri"/>
              </w:rPr>
              <w:t xml:space="preserve">6.4.2 </w:t>
            </w:r>
            <w:r>
              <w:rPr>
                <w:rFonts w:ascii="宋体" w:hAnsi="宋体" w:cs="宋体" w:eastAsia="宋体"/>
              </w:rPr>
              <w:t>▲</w:t>
            </w:r>
            <w:r>
              <w:rPr>
                <w:rFonts w:ascii="宋体" w:hAnsi="宋体" w:cs="宋体" w:eastAsia="宋体"/>
              </w:rPr>
              <w:t>采样率：</w:t>
            </w:r>
            <w:r>
              <w:rPr>
                <w:rFonts w:ascii="calibri" w:hAnsi="calibri" w:cs="calibri" w:eastAsia="calibri"/>
              </w:rPr>
              <w:t>100KHz</w:t>
            </w:r>
            <w:r>
              <w:rPr>
                <w:rFonts w:ascii="宋体" w:hAnsi="宋体" w:cs="宋体" w:eastAsia="宋体"/>
              </w:rPr>
              <w:t>（</w:t>
            </w:r>
            <w:r>
              <w:rPr>
                <w:rFonts w:ascii="宋体" w:hAnsi="宋体" w:cs="宋体" w:eastAsia="宋体"/>
              </w:rPr>
              <w:t>提供证明材料</w:t>
            </w:r>
            <w:r>
              <w:rPr>
                <w:rFonts w:ascii="宋体" w:hAnsi="宋体" w:cs="宋体" w:eastAsia="宋体"/>
              </w:rPr>
              <w:t>）</w:t>
            </w:r>
          </w:p>
          <w:p>
            <w:pPr>
              <w:pStyle w:val="null3"/>
              <w:jc w:val="both"/>
            </w:pPr>
            <w:r>
              <w:rPr>
                <w:rFonts w:ascii="calibri" w:hAnsi="calibri" w:cs="calibri" w:eastAsia="calibri"/>
              </w:rPr>
              <w:t xml:space="preserve">6.4.3 </w:t>
            </w:r>
            <w:r>
              <w:rPr>
                <w:rFonts w:ascii="宋体" w:hAnsi="宋体" w:cs="宋体" w:eastAsia="宋体"/>
              </w:rPr>
              <w:t>传输方式：有线传输。</w:t>
            </w:r>
          </w:p>
          <w:p>
            <w:pPr>
              <w:pStyle w:val="null3"/>
              <w:jc w:val="both"/>
            </w:pPr>
            <w:r>
              <w:rPr>
                <w:rFonts w:ascii="calibri" w:hAnsi="calibri" w:cs="calibri" w:eastAsia="calibri"/>
                <w:sz w:val="21"/>
              </w:rPr>
              <w:t xml:space="preserve">6.4.4 </w:t>
            </w:r>
            <w:r>
              <w:rPr>
                <w:rFonts w:ascii="宋体" w:hAnsi="宋体" w:cs="宋体" w:eastAsia="宋体"/>
                <w:sz w:val="21"/>
              </w:rPr>
              <w:t>▲</w:t>
            </w:r>
            <w:r>
              <w:rPr>
                <w:rFonts w:ascii="宋体" w:hAnsi="宋体" w:cs="宋体" w:eastAsia="宋体"/>
                <w:sz w:val="21"/>
              </w:rPr>
              <w:t>最小分辨率：</w:t>
            </w:r>
            <w:r>
              <w:rPr>
                <w:rFonts w:ascii="宋体" w:hAnsi="宋体" w:cs="宋体" w:eastAsia="宋体"/>
                <w:sz w:val="21"/>
              </w:rPr>
              <w:t>≤</w:t>
            </w:r>
            <w:r>
              <w:rPr>
                <w:rFonts w:ascii="calibri" w:hAnsi="calibri" w:cs="calibri" w:eastAsia="calibri"/>
                <w:sz w:val="21"/>
              </w:rPr>
              <w:t>0.1</w:t>
            </w:r>
            <w:r>
              <w:rPr>
                <w:rFonts w:ascii="宋体" w:hAnsi="宋体" w:cs="宋体" w:eastAsia="宋体"/>
                <w:sz w:val="21"/>
              </w:rPr>
              <w:t>μ</w:t>
            </w:r>
            <w:r>
              <w:rPr>
                <w:rFonts w:ascii="calibri" w:hAnsi="calibri" w:cs="calibri" w:eastAsia="calibri"/>
                <w:sz w:val="21"/>
              </w:rPr>
              <w:t>V</w:t>
            </w:r>
            <w:r>
              <w:rPr>
                <w:rFonts w:ascii="宋体" w:hAnsi="宋体" w:cs="宋体" w:eastAsia="宋体"/>
                <w:sz w:val="21"/>
              </w:rPr>
              <w:t>，</w:t>
            </w:r>
            <w:r>
              <w:rPr>
                <w:rFonts w:ascii="宋体" w:hAnsi="宋体" w:cs="宋体" w:eastAsia="宋体"/>
                <w:sz w:val="21"/>
              </w:rPr>
              <w:t>频率测量范围</w:t>
            </w:r>
            <w:r>
              <w:rPr>
                <w:rFonts w:ascii="宋体" w:hAnsi="宋体" w:cs="宋体" w:eastAsia="宋体"/>
                <w:sz w:val="21"/>
              </w:rPr>
              <w:t>：</w:t>
            </w:r>
            <w:r>
              <w:rPr>
                <w:rFonts w:ascii="calibri" w:hAnsi="calibri" w:cs="calibri" w:eastAsia="calibri"/>
                <w:sz w:val="21"/>
              </w:rPr>
              <w:t>1Hz~</w:t>
            </w:r>
            <w:r>
              <w:rPr>
                <w:rFonts w:ascii="calibri" w:hAnsi="calibri" w:cs="calibri" w:eastAsia="calibri"/>
                <w:sz w:val="21"/>
              </w:rPr>
              <w:t>2</w:t>
            </w:r>
            <w:r>
              <w:rPr>
                <w:rFonts w:ascii="calibri" w:hAnsi="calibri" w:cs="calibri" w:eastAsia="calibri"/>
                <w:sz w:val="21"/>
              </w:rPr>
              <w:t>5KHz</w:t>
            </w:r>
            <w:r>
              <w:rPr>
                <w:rFonts w:ascii="宋体" w:hAnsi="宋体" w:cs="宋体" w:eastAsia="宋体"/>
                <w:sz w:val="21"/>
              </w:rPr>
              <w:t>。</w:t>
            </w:r>
            <w:r>
              <w:rPr>
                <w:rFonts w:ascii="宋体" w:hAnsi="宋体" w:cs="宋体" w:eastAsia="宋体"/>
                <w:sz w:val="21"/>
              </w:rPr>
              <w:t>（提供第三方检测报告）</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rPr>
              <w:t>刺激模式</w:t>
            </w:r>
          </w:p>
          <w:p>
            <w:pPr>
              <w:pStyle w:val="null3"/>
              <w:jc w:val="both"/>
            </w:pPr>
            <w:r>
              <w:rPr>
                <w:rFonts w:ascii="calibri" w:hAnsi="calibri" w:cs="calibri" w:eastAsia="calibri"/>
              </w:rPr>
              <w:t>7.1</w:t>
            </w:r>
            <w:r>
              <w:rPr>
                <w:rFonts w:ascii="宋体" w:hAnsi="宋体" w:cs="宋体" w:eastAsia="宋体"/>
              </w:rPr>
              <w:t>单脉冲、重复脉冲、复合刺激</w:t>
            </w:r>
            <w:r>
              <w:rPr>
                <w:rFonts w:ascii="宋体" w:hAnsi="宋体" w:cs="宋体" w:eastAsia="宋体"/>
              </w:rPr>
              <w:t>、</w:t>
            </w:r>
            <w:r>
              <w:rPr>
                <w:rFonts w:ascii="宋体" w:hAnsi="宋体" w:cs="宋体" w:eastAsia="宋体"/>
              </w:rPr>
              <w:t>成对脉冲输出等</w:t>
            </w:r>
            <w:r>
              <w:rPr>
                <w:rFonts w:ascii="宋体" w:hAnsi="宋体" w:cs="宋体" w:eastAsia="宋体"/>
              </w:rPr>
              <w:t>多种刺激模式自由调整。</w:t>
            </w:r>
          </w:p>
          <w:p>
            <w:pPr>
              <w:pStyle w:val="null3"/>
              <w:jc w:val="both"/>
            </w:pPr>
            <w:r>
              <w:rPr>
                <w:rFonts w:ascii="calibri" w:hAnsi="calibri" w:cs="calibri" w:eastAsia="calibri"/>
              </w:rPr>
              <w:t xml:space="preserve">7.2 </w:t>
            </w:r>
            <w:r>
              <w:rPr>
                <w:rFonts w:ascii="宋体" w:hAnsi="宋体" w:cs="宋体" w:eastAsia="宋体"/>
              </w:rPr>
              <w:t>定时时间可设置，在预定时间到达后设备自动终止磁场输出。</w:t>
            </w:r>
          </w:p>
          <w:p>
            <w:pPr>
              <w:pStyle w:val="null3"/>
              <w:jc w:val="both"/>
            </w:pPr>
            <w:r>
              <w:rPr>
                <w:rFonts w:ascii="calibri" w:hAnsi="calibri" w:cs="calibri" w:eastAsia="calibri"/>
              </w:rPr>
              <w:t>7.3</w:t>
            </w:r>
            <w:r>
              <w:rPr>
                <w:rFonts w:ascii="宋体" w:hAnsi="宋体" w:cs="宋体" w:eastAsia="宋体"/>
              </w:rPr>
              <w:t>内置多种专家方案，可供临床选择，支持</w:t>
            </w:r>
            <w:r>
              <w:rPr>
                <w:rFonts w:ascii="宋体" w:hAnsi="宋体" w:cs="宋体" w:eastAsia="宋体"/>
              </w:rPr>
              <w:t>刺激方案</w:t>
            </w:r>
            <w:r>
              <w:rPr>
                <w:rFonts w:ascii="宋体" w:hAnsi="宋体" w:cs="宋体" w:eastAsia="宋体"/>
              </w:rPr>
              <w:t>自定义</w:t>
            </w:r>
            <w:r>
              <w:rPr>
                <w:rFonts w:ascii="宋体" w:hAnsi="宋体" w:cs="宋体" w:eastAsia="宋体"/>
              </w:rPr>
              <w:t>，</w:t>
            </w:r>
            <w:r>
              <w:rPr>
                <w:rFonts w:ascii="宋体" w:hAnsi="宋体" w:cs="宋体" w:eastAsia="宋体"/>
              </w:rPr>
              <w:t>设置刺激时间、输出频率、刺激间歇、刺激强度、刺激数量</w:t>
            </w:r>
            <w:r>
              <w:rPr>
                <w:rFonts w:ascii="宋体" w:hAnsi="宋体" w:cs="宋体" w:eastAsia="宋体"/>
              </w:rPr>
              <w:t>等</w:t>
            </w:r>
            <w:r>
              <w:rPr>
                <w:rFonts w:ascii="宋体" w:hAnsi="宋体" w:cs="宋体" w:eastAsia="宋体"/>
              </w:rPr>
              <w:t>。</w:t>
            </w:r>
          </w:p>
          <w:p>
            <w:pPr>
              <w:pStyle w:val="null3"/>
              <w:jc w:val="both"/>
            </w:pPr>
            <w:r>
              <w:rPr>
                <w:rFonts w:ascii="calibri" w:hAnsi="calibri" w:cs="calibri" w:eastAsia="calibri"/>
              </w:rPr>
              <w:t>7.4</w:t>
            </w:r>
            <w:r>
              <w:rPr>
                <w:rFonts w:ascii="宋体" w:hAnsi="宋体" w:cs="宋体" w:eastAsia="宋体"/>
              </w:rPr>
              <w:t>能显示阈值强度、以百分比表示相对输出强度，显示刺激序列、刺激时间、刺激数量。</w:t>
            </w:r>
          </w:p>
          <w:p>
            <w:pPr>
              <w:pStyle w:val="null3"/>
              <w:jc w:val="both"/>
            </w:pPr>
            <w:r>
              <w:rPr>
                <w:rFonts w:ascii="calibri" w:hAnsi="calibri" w:cs="calibri" w:eastAsia="calibri"/>
                <w:sz w:val="21"/>
              </w:rPr>
              <w:t>7.5</w:t>
            </w:r>
            <w:r>
              <w:rPr>
                <w:rFonts w:ascii="宋体" w:hAnsi="宋体" w:cs="宋体" w:eastAsia="宋体"/>
                <w:sz w:val="21"/>
              </w:rPr>
              <w:t>治疗方案提供详细图文描述，配合定位帽标识，刺激部位</w:t>
            </w:r>
            <w:r>
              <w:rPr>
                <w:rFonts w:ascii="calibri" w:hAnsi="calibri" w:cs="calibri" w:eastAsia="calibri"/>
                <w:sz w:val="21"/>
              </w:rPr>
              <w:t>360</w:t>
            </w:r>
            <w:r>
              <w:rPr>
                <w:rFonts w:ascii="宋体" w:hAnsi="宋体" w:cs="宋体" w:eastAsia="宋体"/>
                <w:sz w:val="21"/>
              </w:rPr>
              <w:t>°呈现。</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rPr>
              <w:t>触发输出：触发脉冲波宽</w:t>
            </w:r>
            <w:r>
              <w:rPr>
                <w:rFonts w:ascii="calibri" w:hAnsi="calibri" w:cs="calibri" w:eastAsia="calibri"/>
                <w:sz w:val="21"/>
              </w:rPr>
              <w:t>350</w:t>
            </w:r>
            <w:r>
              <w:rPr>
                <w:rFonts w:ascii="宋体" w:hAnsi="宋体" w:cs="宋体" w:eastAsia="宋体"/>
                <w:sz w:val="21"/>
              </w:rPr>
              <w:t>μ</w:t>
            </w:r>
            <w:r>
              <w:rPr>
                <w:rFonts w:ascii="calibri" w:hAnsi="calibri" w:cs="calibri" w:eastAsia="calibri"/>
                <w:sz w:val="21"/>
              </w:rPr>
              <w:t>s</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μ</w:t>
            </w:r>
            <w:r>
              <w:rPr>
                <w:rFonts w:ascii="calibri" w:hAnsi="calibri" w:cs="calibri" w:eastAsia="calibri"/>
                <w:sz w:val="21"/>
              </w:rPr>
              <w:t>s</w:t>
            </w:r>
            <w:r>
              <w:rPr>
                <w:rFonts w:ascii="宋体" w:hAnsi="宋体" w:cs="宋体" w:eastAsia="宋体"/>
                <w:sz w:val="21"/>
              </w:rPr>
              <w:t>，幅度</w:t>
            </w:r>
            <w:r>
              <w:rPr>
                <w:rFonts w:ascii="calibri" w:hAnsi="calibri" w:cs="calibri" w:eastAsia="calibri"/>
                <w:sz w:val="21"/>
              </w:rPr>
              <w:t>5V</w:t>
            </w:r>
            <w:r>
              <w:rPr>
                <w:rFonts w:ascii="宋体" w:hAnsi="宋体" w:cs="宋体" w:eastAsia="宋体"/>
                <w:sz w:val="21"/>
              </w:rPr>
              <w:t>±</w:t>
            </w:r>
            <w:r>
              <w:rPr>
                <w:rFonts w:ascii="calibri" w:hAnsi="calibri" w:cs="calibri" w:eastAsia="calibri"/>
                <w:sz w:val="21"/>
              </w:rPr>
              <w:t>0.5V</w:t>
            </w:r>
            <w:r>
              <w:rPr>
                <w:rFonts w:ascii="宋体" w:hAnsi="宋体" w:cs="宋体" w:eastAsia="宋体"/>
                <w:sz w:val="21"/>
              </w:rPr>
              <w:t>。</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rPr>
              <w:t>触发输入：输入脉冲波宽</w:t>
            </w:r>
            <w:r>
              <w:rPr>
                <w:rFonts w:ascii="宋体" w:hAnsi="宋体" w:cs="宋体" w:eastAsia="宋体"/>
                <w:sz w:val="21"/>
              </w:rPr>
              <w:t>≥</w:t>
            </w:r>
            <w:r>
              <w:rPr>
                <w:rFonts w:ascii="calibri" w:hAnsi="calibri" w:cs="calibri" w:eastAsia="calibri"/>
                <w:sz w:val="21"/>
              </w:rPr>
              <w:t>16</w:t>
            </w:r>
            <w:r>
              <w:rPr>
                <w:rFonts w:ascii="宋体" w:hAnsi="宋体" w:cs="宋体" w:eastAsia="宋体"/>
                <w:sz w:val="21"/>
              </w:rPr>
              <w:t>μ</w:t>
            </w:r>
            <w:r>
              <w:rPr>
                <w:rFonts w:ascii="calibri" w:hAnsi="calibri" w:cs="calibri" w:eastAsia="calibri"/>
                <w:sz w:val="21"/>
              </w:rPr>
              <w:t>s</w:t>
            </w:r>
            <w:r>
              <w:rPr>
                <w:rFonts w:ascii="宋体" w:hAnsi="宋体" w:cs="宋体" w:eastAsia="宋体"/>
                <w:sz w:val="21"/>
              </w:rPr>
              <w:t>，幅度</w:t>
            </w:r>
            <w:r>
              <w:rPr>
                <w:rFonts w:ascii="calibri" w:hAnsi="calibri" w:cs="calibri" w:eastAsia="calibri"/>
                <w:sz w:val="21"/>
              </w:rPr>
              <w:t>5V</w:t>
            </w:r>
            <w:r>
              <w:rPr>
                <w:rFonts w:ascii="宋体" w:hAnsi="宋体" w:cs="宋体" w:eastAsia="宋体"/>
                <w:sz w:val="21"/>
              </w:rPr>
              <w:t>±</w:t>
            </w:r>
            <w:r>
              <w:rPr>
                <w:rFonts w:ascii="calibri" w:hAnsi="calibri" w:cs="calibri" w:eastAsia="calibri"/>
                <w:sz w:val="21"/>
              </w:rPr>
              <w:t>0.5V</w:t>
            </w:r>
            <w:r>
              <w:rPr>
                <w:rFonts w:ascii="宋体" w:hAnsi="宋体" w:cs="宋体" w:eastAsia="宋体"/>
                <w:sz w:val="21"/>
              </w:rPr>
              <w:t>的信号</w:t>
            </w:r>
            <w:r>
              <w:rPr>
                <w:rFonts w:ascii="宋体" w:hAnsi="宋体" w:cs="宋体" w:eastAsia="宋体"/>
                <w:sz w:val="21"/>
              </w:rPr>
              <w:t>。</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rPr>
              <w:t>在</w:t>
            </w:r>
            <w:r>
              <w:rPr>
                <w:rFonts w:ascii="宋体" w:hAnsi="宋体" w:cs="宋体" w:eastAsia="宋体"/>
                <w:sz w:val="21"/>
              </w:rPr>
              <w:t>操作软件上</w:t>
            </w:r>
            <w:r>
              <w:rPr>
                <w:rFonts w:ascii="宋体" w:hAnsi="宋体" w:cs="宋体" w:eastAsia="宋体"/>
                <w:sz w:val="21"/>
              </w:rPr>
              <w:t>可</w:t>
            </w:r>
            <w:r>
              <w:rPr>
                <w:rFonts w:ascii="宋体" w:hAnsi="宋体" w:cs="宋体" w:eastAsia="宋体"/>
                <w:sz w:val="21"/>
              </w:rPr>
              <w:t>调节触发输入延时时间，</w:t>
            </w:r>
            <w:r>
              <w:rPr>
                <w:rFonts w:ascii="宋体" w:hAnsi="宋体" w:cs="宋体" w:eastAsia="宋体"/>
                <w:sz w:val="21"/>
              </w:rPr>
              <w:t>延时时间</w:t>
            </w:r>
            <w:r>
              <w:rPr>
                <w:rFonts w:ascii="宋体" w:hAnsi="宋体" w:cs="宋体" w:eastAsia="宋体"/>
                <w:sz w:val="21"/>
              </w:rPr>
              <w:t>在</w:t>
            </w:r>
            <w:r>
              <w:rPr>
                <w:rFonts w:ascii="calibri" w:hAnsi="calibri" w:cs="calibri" w:eastAsia="calibri"/>
                <w:sz w:val="21"/>
              </w:rPr>
              <w:t>0~</w:t>
            </w:r>
            <w:r>
              <w:rPr>
                <w:rFonts w:ascii="calibri" w:hAnsi="calibri" w:cs="calibri" w:eastAsia="calibri"/>
                <w:sz w:val="21"/>
              </w:rPr>
              <w:t>5</w:t>
            </w:r>
            <w:r>
              <w:rPr>
                <w:rFonts w:ascii="calibri" w:hAnsi="calibri" w:cs="calibri" w:eastAsia="calibri"/>
                <w:sz w:val="21"/>
              </w:rPr>
              <w:t>00ms</w:t>
            </w:r>
            <w:r>
              <w:rPr>
                <w:rFonts w:ascii="宋体" w:hAnsi="宋体" w:cs="宋体" w:eastAsia="宋体"/>
                <w:sz w:val="21"/>
              </w:rPr>
              <w:t>范围可调，步长</w:t>
            </w:r>
            <w:r>
              <w:rPr>
                <w:rFonts w:ascii="calibri" w:hAnsi="calibri" w:cs="calibri" w:eastAsia="calibri"/>
                <w:sz w:val="21"/>
              </w:rPr>
              <w:t>0.</w:t>
            </w:r>
            <w:r>
              <w:rPr>
                <w:rFonts w:ascii="calibri" w:hAnsi="calibri" w:cs="calibri" w:eastAsia="calibri"/>
                <w:sz w:val="21"/>
              </w:rPr>
              <w:t>1</w:t>
            </w:r>
            <w:r>
              <w:rPr>
                <w:rFonts w:ascii="calibri" w:hAnsi="calibri" w:cs="calibri" w:eastAsia="calibri"/>
                <w:sz w:val="21"/>
              </w:rPr>
              <w:t>ms</w:t>
            </w:r>
            <w:r>
              <w:rPr>
                <w:rFonts w:ascii="宋体" w:hAnsi="宋体" w:cs="宋体" w:eastAsia="宋体"/>
                <w:sz w:val="21"/>
              </w:rPr>
              <w:t>。</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rPr>
              <w:t>在</w:t>
            </w:r>
            <w:r>
              <w:rPr>
                <w:rFonts w:ascii="宋体" w:hAnsi="宋体" w:cs="宋体" w:eastAsia="宋体"/>
                <w:sz w:val="21"/>
              </w:rPr>
              <w:t>操作软件上</w:t>
            </w:r>
            <w:r>
              <w:rPr>
                <w:rFonts w:ascii="宋体" w:hAnsi="宋体" w:cs="宋体" w:eastAsia="宋体"/>
                <w:sz w:val="21"/>
              </w:rPr>
              <w:t>可</w:t>
            </w:r>
            <w:r>
              <w:rPr>
                <w:rFonts w:ascii="宋体" w:hAnsi="宋体" w:cs="宋体" w:eastAsia="宋体"/>
                <w:sz w:val="21"/>
              </w:rPr>
              <w:t>调节触发输出延时时间，</w:t>
            </w:r>
            <w:r>
              <w:rPr>
                <w:rFonts w:ascii="宋体" w:hAnsi="宋体" w:cs="宋体" w:eastAsia="宋体"/>
                <w:sz w:val="21"/>
              </w:rPr>
              <w:t>延时时间</w:t>
            </w:r>
            <w:r>
              <w:rPr>
                <w:rFonts w:ascii="宋体" w:hAnsi="宋体" w:cs="宋体" w:eastAsia="宋体"/>
                <w:sz w:val="21"/>
              </w:rPr>
              <w:t>在</w:t>
            </w:r>
            <w:r>
              <w:rPr>
                <w:rFonts w:ascii="calibri" w:hAnsi="calibri" w:cs="calibri" w:eastAsia="calibri"/>
                <w:sz w:val="21"/>
              </w:rPr>
              <w:t>-</w:t>
            </w:r>
            <w:r>
              <w:rPr>
                <w:rFonts w:ascii="calibri" w:hAnsi="calibri" w:cs="calibri" w:eastAsia="calibri"/>
                <w:sz w:val="21"/>
              </w:rPr>
              <w:t>5</w:t>
            </w:r>
            <w:r>
              <w:rPr>
                <w:rFonts w:ascii="calibri" w:hAnsi="calibri" w:cs="calibri" w:eastAsia="calibri"/>
                <w:sz w:val="21"/>
              </w:rPr>
              <w:t>00~</w:t>
            </w:r>
            <w:r>
              <w:rPr>
                <w:rFonts w:ascii="calibri" w:hAnsi="calibri" w:cs="calibri" w:eastAsia="calibri"/>
                <w:sz w:val="21"/>
              </w:rPr>
              <w:t>5</w:t>
            </w:r>
            <w:r>
              <w:rPr>
                <w:rFonts w:ascii="calibri" w:hAnsi="calibri" w:cs="calibri" w:eastAsia="calibri"/>
                <w:sz w:val="21"/>
              </w:rPr>
              <w:t>00ms</w:t>
            </w:r>
            <w:r>
              <w:rPr>
                <w:rFonts w:ascii="宋体" w:hAnsi="宋体" w:cs="宋体" w:eastAsia="宋体"/>
                <w:sz w:val="21"/>
              </w:rPr>
              <w:t>范围可调，步长</w:t>
            </w:r>
            <w:r>
              <w:rPr>
                <w:rFonts w:ascii="calibri" w:hAnsi="calibri" w:cs="calibri" w:eastAsia="calibri"/>
                <w:sz w:val="21"/>
              </w:rPr>
              <w:t>0.</w:t>
            </w:r>
            <w:r>
              <w:rPr>
                <w:rFonts w:ascii="calibri" w:hAnsi="calibri" w:cs="calibri" w:eastAsia="calibri"/>
                <w:sz w:val="21"/>
              </w:rPr>
              <w:t>1</w:t>
            </w:r>
            <w:r>
              <w:rPr>
                <w:rFonts w:ascii="calibri" w:hAnsi="calibri" w:cs="calibri" w:eastAsia="calibri"/>
                <w:sz w:val="21"/>
              </w:rPr>
              <w:t>ms</w:t>
            </w:r>
            <w:r>
              <w:rPr>
                <w:rFonts w:ascii="宋体" w:hAnsi="宋体" w:cs="宋体" w:eastAsia="宋体"/>
                <w:sz w:val="21"/>
              </w:rPr>
              <w:t>。</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rPr>
              <w:t>支持</w:t>
            </w:r>
            <w:r>
              <w:rPr>
                <w:rFonts w:ascii="宋体" w:hAnsi="宋体" w:cs="宋体" w:eastAsia="宋体"/>
                <w:sz w:val="21"/>
              </w:rPr>
              <w:t>扩展经颅磁刺激</w:t>
            </w:r>
            <w:r>
              <w:rPr>
                <w:rFonts w:ascii="宋体" w:hAnsi="宋体" w:cs="宋体" w:eastAsia="宋体"/>
                <w:sz w:val="21"/>
              </w:rPr>
              <w:t>随动</w:t>
            </w:r>
            <w:r>
              <w:rPr>
                <w:rFonts w:ascii="宋体" w:hAnsi="宋体" w:cs="宋体" w:eastAsia="宋体"/>
                <w:sz w:val="21"/>
              </w:rPr>
              <w:t>导航系统。</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1"/>
              </w:rPr>
              <w:t>开放式的技术平台，可与电刺激、近红外、导航等设备兼容</w:t>
            </w:r>
            <w:r>
              <w:rPr>
                <w:rFonts w:ascii="宋体" w:hAnsi="宋体" w:cs="宋体" w:eastAsia="宋体"/>
                <w:sz w:val="21"/>
              </w:rPr>
              <w:t>。</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rPr>
              <w:t>配置要求</w:t>
            </w:r>
          </w:p>
          <w:p>
            <w:pPr>
              <w:pStyle w:val="null3"/>
              <w:jc w:val="both"/>
            </w:pPr>
            <w:r>
              <w:rPr>
                <w:rFonts w:ascii="calibri" w:hAnsi="calibri" w:cs="calibri" w:eastAsia="calibri"/>
              </w:rPr>
              <w:t>14.1</w:t>
            </w:r>
            <w:r>
              <w:rPr>
                <w:rFonts w:ascii="宋体" w:hAnsi="宋体" w:cs="宋体" w:eastAsia="宋体"/>
              </w:rPr>
              <w:t>主机系统一台；</w:t>
            </w:r>
          </w:p>
          <w:p>
            <w:pPr>
              <w:pStyle w:val="null3"/>
              <w:jc w:val="both"/>
            </w:pPr>
            <w:r>
              <w:rPr>
                <w:rFonts w:ascii="calibri" w:hAnsi="calibri" w:cs="calibri" w:eastAsia="calibri"/>
              </w:rPr>
              <w:t xml:space="preserve">14.2 </w:t>
            </w:r>
            <w:r>
              <w:rPr>
                <w:rFonts w:ascii="宋体" w:hAnsi="宋体" w:cs="宋体" w:eastAsia="宋体"/>
              </w:rPr>
              <w:t>圆形刺激线圈、锥形线圈各一副；</w:t>
            </w:r>
          </w:p>
          <w:p>
            <w:pPr>
              <w:pStyle w:val="null3"/>
              <w:jc w:val="both"/>
            </w:pPr>
            <w:r>
              <w:rPr>
                <w:rFonts w:ascii="calibri" w:hAnsi="calibri" w:cs="calibri" w:eastAsia="calibri"/>
              </w:rPr>
              <w:t>14.3</w:t>
            </w:r>
            <w:r>
              <w:rPr>
                <w:rFonts w:ascii="宋体" w:hAnsi="宋体" w:cs="宋体" w:eastAsia="宋体"/>
              </w:rPr>
              <w:t>液态循环冷却系统一套；</w:t>
            </w:r>
          </w:p>
          <w:p>
            <w:pPr>
              <w:pStyle w:val="null3"/>
              <w:jc w:val="both"/>
            </w:pPr>
            <w:r>
              <w:rPr>
                <w:rFonts w:ascii="calibri" w:hAnsi="calibri" w:cs="calibri" w:eastAsia="calibri"/>
              </w:rPr>
              <w:t>14.4</w:t>
            </w:r>
            <w:r>
              <w:rPr>
                <w:rFonts w:ascii="宋体" w:hAnsi="宋体" w:cs="宋体" w:eastAsia="宋体"/>
              </w:rPr>
              <w:t>两通道</w:t>
            </w:r>
            <w:r>
              <w:rPr>
                <w:rFonts w:ascii="calibri" w:hAnsi="calibri" w:cs="calibri" w:eastAsia="calibri"/>
              </w:rPr>
              <w:t>MEP</w:t>
            </w:r>
            <w:r>
              <w:rPr>
                <w:rFonts w:ascii="宋体" w:hAnsi="宋体" w:cs="宋体" w:eastAsia="宋体"/>
              </w:rPr>
              <w:t>模块；</w:t>
            </w:r>
          </w:p>
          <w:p>
            <w:pPr>
              <w:pStyle w:val="null3"/>
              <w:jc w:val="both"/>
            </w:pPr>
            <w:r>
              <w:rPr>
                <w:rFonts w:ascii="calibri" w:hAnsi="calibri" w:cs="calibri" w:eastAsia="calibri"/>
              </w:rPr>
              <w:t>14.5</w:t>
            </w:r>
            <w:r>
              <w:rPr>
                <w:rFonts w:ascii="宋体" w:hAnsi="宋体" w:cs="宋体" w:eastAsia="宋体"/>
              </w:rPr>
              <w:t>人机交互系统一套；</w:t>
            </w:r>
          </w:p>
          <w:p>
            <w:pPr>
              <w:pStyle w:val="null3"/>
              <w:jc w:val="both"/>
            </w:pPr>
            <w:r>
              <w:rPr>
                <w:rFonts w:ascii="calibri" w:hAnsi="calibri" w:cs="calibri" w:eastAsia="calibri"/>
              </w:rPr>
              <w:t>14.6</w:t>
            </w:r>
            <w:r>
              <w:rPr>
                <w:rFonts w:ascii="宋体" w:hAnsi="宋体" w:cs="宋体" w:eastAsia="宋体"/>
              </w:rPr>
              <w:t>一体式线圈支架</w:t>
            </w:r>
            <w:r>
              <w:rPr>
                <w:rFonts w:ascii="calibri" w:hAnsi="calibri" w:cs="calibri" w:eastAsia="calibri"/>
              </w:rPr>
              <w:t>1</w:t>
            </w:r>
            <w:r>
              <w:rPr>
                <w:rFonts w:ascii="宋体" w:hAnsi="宋体" w:cs="宋体" w:eastAsia="宋体"/>
              </w:rPr>
              <w:t>副；</w:t>
            </w:r>
          </w:p>
          <w:p>
            <w:pPr>
              <w:pStyle w:val="null3"/>
              <w:jc w:val="both"/>
            </w:pPr>
            <w:r>
              <w:rPr>
                <w:rFonts w:ascii="calibri" w:hAnsi="calibri" w:cs="calibri" w:eastAsia="calibri"/>
                <w:sz w:val="21"/>
              </w:rPr>
              <w:t xml:space="preserve">14.7 </w:t>
            </w:r>
            <w:r>
              <w:rPr>
                <w:rFonts w:ascii="宋体" w:hAnsi="宋体" w:cs="宋体" w:eastAsia="宋体"/>
                <w:sz w:val="21"/>
              </w:rPr>
              <w:t>刺激定位帽按需提供。</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自合同签订之日起30日历天</w:t>
      </w:r>
    </w:p>
    <w:p>
      <w:pPr>
        <w:pStyle w:val="null3"/>
        <w:outlineLvl w:val="3"/>
      </w:pPr>
      <w:r>
        <w:rPr>
          <w:sz w:val="24"/>
          <w:b/>
        </w:rPr>
        <w:t>3.4.2交货地点</w:t>
      </w:r>
    </w:p>
    <w:p>
      <w:pPr>
        <w:pStyle w:val="null3"/>
      </w:pPr>
      <w:r>
        <w:rPr/>
        <w:t>采购包1：</w:t>
      </w:r>
    </w:p>
    <w:p>
      <w:pPr>
        <w:pStyle w:val="null3"/>
      </w:pPr>
      <w:r>
        <w:rPr/>
        <w:t>汉中市中医医院指定地点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合同签订后 </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安装调试验收合格后</w:t>
      </w:r>
      <w:r>
        <w:rPr/>
        <w:t xml:space="preserve"> ，达到付款条件起 </w:t>
      </w:r>
      <w:r>
        <w:rPr/>
        <w:t>5</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1.项目实施完毕后，投标人应向采购人提交项目验收报告，申请项目验收，并将项目实施过程中相关资料提交采购人。 采购人收到项目验收报告后，组织相关人员进行验收。 验收标准按照国家、行业有关规范和要求执行。 投标人承诺完全达到国家有关部门验收标准，并全部通过验收为交付使用的基本条件，验收过程中的一切费用由投标人承担。 2.验收依据：招标文件、投标文件、（如有）澄清表/函；合同及附件文本；国家相应的标准及规范。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1.质保期为终验合格后2年。（中标人承诺的质保时间超过招标文件要求的，按其承诺时间质保） 2.中标人承诺的质保期起始时间为终验合格之日。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因执行本合同所发生的或与本合同有关的一切争议,双方应通过友好协商解决。如果协商开始后六十（60）天还不能解决，双方可向采购人所在地有管辖权的人民法院起诉。</w:t>
      </w:r>
    </w:p>
    <w:p>
      <w:pPr>
        <w:pStyle w:val="null3"/>
        <w:jc w:val="left"/>
        <w:outlineLvl w:val="2"/>
      </w:pPr>
      <w:r>
        <w:rPr>
          <w:sz w:val="28"/>
          <w:b/>
        </w:rPr>
        <w:t>3.5其他要求</w:t>
      </w:r>
    </w:p>
    <w:p>
      <w:pPr>
        <w:pStyle w:val="null3"/>
      </w:pPr>
      <w:r>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西安市雁塔区科技二路71号竹园·天寰国际1107室。 3.如投标文件中融资相关内容与新政策要求有出入，按照最新要求执行。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一般资格要求及特殊资格要求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投标人应授权合法的人员参加投标全过程</w:t>
            </w:r>
          </w:p>
        </w:tc>
        <w:tc>
          <w:tcPr>
            <w:tcW w:type="dxa" w:w="3322"/>
          </w:tcPr>
          <w:p>
            <w:pPr>
              <w:pStyle w:val="null3"/>
            </w:pPr>
            <w:r>
              <w:rPr/>
              <w:t>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信用证明</w:t>
            </w:r>
          </w:p>
        </w:tc>
        <w:tc>
          <w:tcPr>
            <w:tcW w:type="dxa" w:w="3322"/>
          </w:tcPr>
          <w:p>
            <w:pPr>
              <w:pStyle w:val="null3"/>
            </w:pPr>
            <w:r>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投标人须为具有独立承担民事责任能力的法人、其他组织或自然人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提供自2023年10月1日以来已缴存的任意1个月的社会保障资金缴存单据或社保机构开具的社会保险参保缴费情况证明；依法不需要缴纳社会保障资金的投标人应提供相关证明文件。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提供自2023年10月1日以来已缴纳的任意1个月的依法缴纳税收的相关凭据(时间以税款所属日期为准)，凭据应有税务机关或代收机关的公章或业务专用章；依法免税或无须缴纳税收的投标人，应提供相应证明文件。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提供具有履行合同所必需的设备和专业技术能力的书面承诺</w:t>
            </w:r>
          </w:p>
        </w:tc>
        <w:tc>
          <w:tcPr>
            <w:tcW w:type="dxa" w:w="3322"/>
          </w:tcPr>
          <w:p>
            <w:pPr>
              <w:pStyle w:val="null3"/>
            </w:pPr>
            <w:r>
              <w:rPr/>
              <w:t>提供具有履行合同所必需的设备和专业技术能力的书面承诺，加盖投标人公章。</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提供参加政府采购活动前三年内在经营活动中没有重大违法记录的书面声明，加盖投标人公章。</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t>投标函</w:t>
            </w:r>
          </w:p>
        </w:tc>
      </w:tr>
      <w:tr>
        <w:tc>
          <w:tcPr>
            <w:tcW w:type="dxa" w:w="831"/>
          </w:tcPr>
          <w:p>
            <w:pPr>
              <w:pStyle w:val="null3"/>
            </w:pPr>
            <w:r>
              <w:rPr/>
              <w:t>10</w:t>
            </w:r>
          </w:p>
        </w:tc>
        <w:tc>
          <w:tcPr>
            <w:tcW w:type="dxa" w:w="2492"/>
          </w:tcPr>
          <w:p>
            <w:pPr>
              <w:pStyle w:val="null3"/>
            </w:pPr>
            <w:r>
              <w:rPr/>
              <w:t>投标人的经营资格要求</w:t>
            </w:r>
          </w:p>
        </w:tc>
        <w:tc>
          <w:tcPr>
            <w:tcW w:type="dxa" w:w="3322"/>
          </w:tcPr>
          <w:p>
            <w:pPr>
              <w:pStyle w:val="null3"/>
            </w:pPr>
            <w:r>
              <w:rPr/>
              <w:t>（1）投标人为经销商的应具备医疗器械经营许可证或医疗器械经营备案凭证（投标产品须在其经营范围内）；投标人为生产厂家的应具备医疗器械经营许可证或医疗器械经营备案凭证（投标产品须在其经营范围内），并具备医疗器械生产许可证（投标产品须在其生产范围内）。（2）投标产品属于医疗器械管理的提供医疗器械注册证。</w:t>
            </w:r>
          </w:p>
        </w:tc>
        <w:tc>
          <w:tcPr>
            <w:tcW w:type="dxa" w:w="1661"/>
          </w:tcPr>
          <w:p>
            <w:pPr>
              <w:pStyle w:val="null3"/>
            </w:pPr>
            <w:r>
              <w:rPr/>
              <w:t>一般资格要求及特殊资格要求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符合招标文件要求</w:t>
            </w:r>
          </w:p>
        </w:tc>
        <w:tc>
          <w:tcPr>
            <w:tcW w:type="dxa" w:w="1661"/>
          </w:tcPr>
          <w:p>
            <w:pPr>
              <w:pStyle w:val="null3"/>
            </w:pPr>
            <w:r>
              <w:rPr/>
              <w:t>投标方案 分项报价表 中小企业声明函 一般资格要求及特殊资格要求 商务应答表 投标人认为有必要说明、阐述的事项或其他材料 业绩一览表 投标函 残疾人福利性单位声明函 标的清单 投标文件封面 监狱企业的证明文件 技术参数与性能指标偏离表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分项报价表 投标函 标的清单</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符合招标文件要求</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t>投标方案 分项报价表 中小企业声明函 一般资格要求及特殊资格要求 商务应答表 投标人认为有必要说明、阐述的事项或其他材料 业绩一览表 投标函 残疾人福利性单位声明函 标的清单 投标文件封面 监狱企业的证明文件 技术参数与性能指标偏离表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技术参数的响应程度</w:t>
            </w:r>
          </w:p>
        </w:tc>
        <w:tc>
          <w:tcPr>
            <w:tcW w:type="dxa" w:w="2492"/>
          </w:tcPr>
          <w:p>
            <w:pPr>
              <w:pStyle w:val="null3"/>
            </w:pPr>
            <w:r>
              <w:rPr/>
              <w:t>投标设备或产品技术参数清楚、明确，满足或优于招标文件要求，技术资料齐全（供应商需提供包括但不限于实物照片或说明书或产品彩页或技术白皮书或检测报告等技术证明材料作为评审依据，未提供不得分），完全满足技术参数要求，得22分。 若任意一项标注“▲”号的技术参数不满足招标文件要求，每负偏离一项扣2分（未提供与参数相对应的证明材料视为该项负偏离，按负偏离扣除相应分值）； 其他未标注的技术参数每负偏离一项扣1分，扣完为止（未提供与参数相对应的证明材料视为该项负偏离，按负偏离扣除相应分值）。</w:t>
            </w:r>
          </w:p>
        </w:tc>
        <w:tc>
          <w:tcPr>
            <w:tcW w:type="dxa" w:w="831"/>
          </w:tcPr>
          <w:p>
            <w:pPr>
              <w:pStyle w:val="null3"/>
              <w:jc w:val="right"/>
            </w:pPr>
            <w:r>
              <w:rPr/>
              <w:t>22.0000</w:t>
            </w:r>
          </w:p>
        </w:tc>
        <w:tc>
          <w:tcPr>
            <w:tcW w:type="dxa" w:w="831"/>
          </w:tcPr>
          <w:p>
            <w:pPr>
              <w:pStyle w:val="null3"/>
            </w:pPr>
            <w:r>
              <w:rPr/>
              <w:t>客观</w:t>
            </w:r>
          </w:p>
        </w:tc>
        <w:tc>
          <w:tcPr>
            <w:tcW w:type="dxa" w:w="1661"/>
          </w:tcPr>
          <w:p>
            <w:pPr>
              <w:pStyle w:val="null3"/>
            </w:pPr>
            <w:r>
              <w:rPr/>
              <w:t>技术参数与性能指标偏离表</w:t>
            </w:r>
          </w:p>
        </w:tc>
      </w:tr>
      <w:tr>
        <w:tc>
          <w:tcPr>
            <w:tcW w:type="dxa" w:w="831"/>
            <w:vMerge/>
          </w:tcPr>
          <w:p/>
        </w:tc>
        <w:tc>
          <w:tcPr>
            <w:tcW w:type="dxa" w:w="1661"/>
          </w:tcPr>
          <w:p>
            <w:pPr>
              <w:pStyle w:val="null3"/>
            </w:pPr>
            <w:r>
              <w:rPr/>
              <w:t>产品功能配置</w:t>
            </w:r>
          </w:p>
        </w:tc>
        <w:tc>
          <w:tcPr>
            <w:tcW w:type="dxa" w:w="2492"/>
          </w:tcPr>
          <w:p>
            <w:pPr>
              <w:pStyle w:val="null3"/>
            </w:pPr>
            <w:r>
              <w:rPr/>
              <w:t>1.所投设备或产品配置齐全，整体功能完备且满足使用要求、尽可能多的提供了所投设备或产品技术支持文件（提供生产厂家确认的、相应的功能证明材料），根据响应情况得7-10分。 2.所投设备或产品配置较齐全，整体功能基本满足使用要求、提供了部分设备或产品技术支持文件（提供生产厂家确认的、相应的功能证明材料），根据响应情况得3-7分。 3.所投设备或产品配置、功能较难满足使用要求，无证明材料的根据响应情况得0-3分。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产品来源渠道</w:t>
            </w:r>
          </w:p>
        </w:tc>
        <w:tc>
          <w:tcPr>
            <w:tcW w:type="dxa" w:w="2492"/>
          </w:tcPr>
          <w:p>
            <w:pPr>
              <w:pStyle w:val="null3"/>
            </w:pPr>
            <w:r>
              <w:rPr/>
              <w:t>所投设备或产品进货渠道正常，提供招标内容中所要求设备或产品的来源渠道合法证明文件（包括但不限于原厂授权或销售协议或代理协议等）。</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项目整体实施方案</w:t>
            </w:r>
          </w:p>
        </w:tc>
        <w:tc>
          <w:tcPr>
            <w:tcW w:type="dxa" w:w="2492"/>
          </w:tcPr>
          <w:p>
            <w:pPr>
              <w:pStyle w:val="null3"/>
            </w:pPr>
            <w:r>
              <w:rPr/>
              <w:t>根据采购内容及项目实际情况设计合理的项目整体实施方案。包括但不限于：供货组织安排、运输及派送安排、安装调试进度计划及措施方案、质量保证措施、安全保证措施、人员配备等。 1.方案与措施设计合理，架构完整，层次清晰，满足采购人实际需求，根据响应情况得7-10分。 2.方案与措施设计基本合理，架构基本完整，层次基本清晰，基本满足采购人实际需求，根据响应情况得3-7分。 3.方案与措施设计不利于项目实施，根据响应情况得0-3分。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应急预案</w:t>
            </w:r>
          </w:p>
        </w:tc>
        <w:tc>
          <w:tcPr>
            <w:tcW w:type="dxa" w:w="2492"/>
          </w:tcPr>
          <w:p>
            <w:pPr>
              <w:pStyle w:val="null3"/>
            </w:pPr>
            <w:r>
              <w:rPr/>
              <w:t>根据本项目采购内容及项目实际情况，在项目实施过程中可能出现的突发事件，提供详细的应急预案措施和解决方案。包括但不限于：处理流程、受理方法、响应时间等。 1.方案完整、全面细致、科学合理得2-4分； 2.方案基本完整、全面细致、科学合理得0-2分。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售后服务1</w:t>
            </w:r>
          </w:p>
        </w:tc>
        <w:tc>
          <w:tcPr>
            <w:tcW w:type="dxa" w:w="2492"/>
          </w:tcPr>
          <w:p>
            <w:pPr>
              <w:pStyle w:val="null3"/>
            </w:pPr>
            <w:r>
              <w:rPr/>
              <w:t>针对本项目提供科学、有效的售后服务承诺和措施，供应商或厂家售后服务机构运行正常，能够在报修后24小时内派技术人员到场提供技术支持和售后服务（提供证明材料，如项目所在地的售后服务机构或项目所在地分公司或办事处应用技术人员联系方式、厂家维修授权证书等证明材料）1.服务承诺和措施具体、可行，保障措施详细，得4-7分； 2.服务承诺和措施较具体、可行，保障措施较详细，得2-4分； 3.服务承诺和措施基本具体、可行，保障措施基本详细，得0-2分；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售后服务2</w:t>
            </w:r>
          </w:p>
        </w:tc>
        <w:tc>
          <w:tcPr>
            <w:tcW w:type="dxa" w:w="2492"/>
          </w:tcPr>
          <w:p>
            <w:pPr>
              <w:pStyle w:val="null3"/>
            </w:pPr>
            <w:r>
              <w:rPr/>
              <w:t>对采购方技术人员的操作、保养等方面进行专业培训，须列出具体培训工作的响应方案并编制详细的响应说明（响应说明需包含培训具体内容、时长、地点等内容，保证使用人员正常操作设备的各种功能）。 1.方案内容具体、完整、详细、全面，完全符合项目要求，计3-6分； 2.方案内容基本具体、完整、详细、全面，基本符合项目要求，计0-3分。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售后服务3</w:t>
            </w:r>
          </w:p>
        </w:tc>
        <w:tc>
          <w:tcPr>
            <w:tcW w:type="dxa" w:w="2492"/>
          </w:tcPr>
          <w:p>
            <w:pPr>
              <w:pStyle w:val="null3"/>
            </w:pPr>
            <w:r>
              <w:rPr/>
              <w:t>提供所投设备或产品原厂售后服务承诺函。</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提供2021年1月1日至今类似项目业绩（以合同签订日期为准），每提供一份有效业绩得1.5分，最高得3分。 注：业绩证明材料以加盖投标人公章的合同扫描件为准。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详见附件：一般资格要求及特殊资格要求</w:t>
      </w:r>
    </w:p>
    <w:p>
      <w:pPr>
        <w:pStyle w:val="null3"/>
        <w:ind w:firstLine="960"/>
      </w:pPr>
      <w:r>
        <w:rPr/>
        <w:t>详见附件：技术参数与性能指标偏离表</w:t>
      </w:r>
    </w:p>
    <w:p>
      <w:pPr>
        <w:pStyle w:val="null3"/>
        <w:ind w:firstLine="960"/>
      </w:pPr>
      <w:r>
        <w:rPr/>
        <w:t>详见附件：商务应答表</w:t>
      </w:r>
    </w:p>
    <w:p>
      <w:pPr>
        <w:pStyle w:val="null3"/>
        <w:ind w:firstLine="960"/>
      </w:pPr>
      <w:r>
        <w:rPr/>
        <w:t>详见附件：业绩一览表</w:t>
      </w:r>
    </w:p>
    <w:p>
      <w:pPr>
        <w:pStyle w:val="null3"/>
        <w:ind w:firstLine="960"/>
      </w:pPr>
      <w:r>
        <w:rPr/>
        <w:t>详见附件：投标方案</w:t>
      </w:r>
    </w:p>
    <w:p>
      <w:pPr>
        <w:pStyle w:val="null3"/>
        <w:ind w:firstLine="960"/>
      </w:pPr>
      <w:r>
        <w:rPr/>
        <w:t>详见附件：投标人认为有必要说明、阐述的事项或其他材料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