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网络安全系统采购</w:t>
      </w:r>
    </w:p>
    <w:p>
      <w:pPr>
        <w:pStyle w:val="null3"/>
        <w:jc w:val="center"/>
        <w:outlineLvl w:val="2"/>
      </w:pPr>
      <w:r>
        <w:rPr>
          <w:sz w:val="28"/>
          <w:b/>
        </w:rPr>
        <w:t>采购项目编号：</w:t>
      </w:r>
      <w:r>
        <w:rPr>
          <w:sz w:val="28"/>
          <w:b/>
        </w:rPr>
        <w:t>ZCBN-汉中市-2024-00399</w:t>
      </w:r>
      <w:r>
        <w:br/>
      </w:r>
      <w:r>
        <w:br/>
      </w:r>
      <w:r>
        <w:br/>
      </w:r>
    </w:p>
    <w:p>
      <w:pPr>
        <w:pStyle w:val="null3"/>
        <w:jc w:val="center"/>
        <w:outlineLvl w:val="2"/>
      </w:pPr>
      <w:r>
        <w:rPr>
          <w:sz w:val="28"/>
          <w:b/>
        </w:rPr>
        <w:t>陕西省汉中市中级人民法院</w:t>
      </w:r>
    </w:p>
    <w:p>
      <w:pPr>
        <w:pStyle w:val="null3"/>
        <w:jc w:val="center"/>
        <w:outlineLvl w:val="2"/>
      </w:pPr>
      <w:r>
        <w:rPr>
          <w:sz w:val="28"/>
          <w:b/>
        </w:rPr>
        <w:t>陕西明珠建设工程有限公司</w:t>
      </w:r>
      <w:r>
        <w:rPr>
          <w:sz w:val="28"/>
          <w:b/>
        </w:rPr>
        <w:t>共同编制</w:t>
      </w:r>
    </w:p>
    <w:p>
      <w:pPr>
        <w:pStyle w:val="null3"/>
        <w:jc w:val="center"/>
        <w:outlineLvl w:val="2"/>
      </w:pPr>
      <w:r>
        <w:rPr>
          <w:sz w:val="28"/>
          <w:b/>
        </w:rPr>
        <w:t>2024年11月18日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陕西明珠建设工程有限公司</w:t>
      </w:r>
      <w:r>
        <w:rPr/>
        <w:t>（以下简称“代理机构”）受</w:t>
      </w:r>
      <w:r>
        <w:rPr/>
        <w:t>陕西省汉中市中级人民法院</w:t>
      </w:r>
      <w:r>
        <w:rPr/>
        <w:t>委托，拟对</w:t>
      </w:r>
      <w:r>
        <w:rPr/>
        <w:t>网络安全系统采购</w:t>
      </w:r>
      <w:r>
        <w:rPr/>
        <w:t>采用竞争性磋商采购方式进行采购，兹邀请供应商参加本项目的竞争性磋商。</w:t>
      </w:r>
    </w:p>
    <w:p>
      <w:pPr>
        <w:pStyle w:val="null3"/>
        <w:outlineLvl w:val="2"/>
      </w:pPr>
      <w:r>
        <w:rPr>
          <w:sz w:val="28"/>
          <w:b/>
        </w:rPr>
        <w:t>一、项目编号：</w:t>
      </w:r>
      <w:r>
        <w:rPr>
          <w:sz w:val="28"/>
          <w:b/>
        </w:rPr>
        <w:t>ZCBN-汉中市-2024-00399</w:t>
      </w:r>
    </w:p>
    <w:p>
      <w:pPr>
        <w:pStyle w:val="null3"/>
        <w:outlineLvl w:val="2"/>
      </w:pPr>
      <w:r>
        <w:rPr>
          <w:sz w:val="28"/>
          <w:b/>
        </w:rPr>
        <w:t>二、项目名称：</w:t>
      </w:r>
      <w:r>
        <w:rPr>
          <w:sz w:val="28"/>
          <w:b/>
        </w:rPr>
        <w:t>网络安全系统采购</w:t>
      </w:r>
    </w:p>
    <w:p>
      <w:pPr>
        <w:pStyle w:val="null3"/>
        <w:outlineLvl w:val="2"/>
      </w:pPr>
      <w:r>
        <w:rPr>
          <w:sz w:val="28"/>
          <w:b/>
        </w:rPr>
        <w:t>三、磋商项目简介</w:t>
      </w:r>
    </w:p>
    <w:p>
      <w:pPr>
        <w:pStyle w:val="null3"/>
        <w:ind w:firstLine="480"/>
      </w:pPr>
      <w:r>
        <w:rPr/>
        <w:t>采购内容:汉中法院司法数据中台优化升级暨重点工作指挥调度管理数据应用服务；主要功能或目标:司法数据中台优化升级；需满足的要求:满足重点工作指挥调度管理。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供应商需在项目电子化交易系统中按要求上传相应证明文件并进行电子签章。：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供应商需在项目电子化交易系统中按要求上传相应证明文件并进行电子签章。</w:t>
      </w:r>
    </w:p>
    <w:p>
      <w:pPr>
        <w:pStyle w:val="null3"/>
      </w:pPr>
      <w:r>
        <w:rPr/>
        <w:t>2、税收缴纳证明：提供投标文件截止时间前一年内至少一个月的纳税证明或完税证明；其他组织和自然人提供投标文件截止时间前一年内至少一个月缴纳税收的凭据；或自拟格式内容出具的税收缴纳情况良好的书面承诺，依法免税的投标人应提供相关文件证明；供应商需在项目电子化交易系统中按要求上传相应证明文件并进行电子签章。：税收缴纳证明：提供投标文件截止时间前一年内至少一个月的纳税证明或完税证明；其他组织和自然人提供投标文件截止时间前一年内至少一个月缴纳税收的凭据；或自拟格式内容出具的税收缴纳情况良好的书面承诺，依法免税的投标人应提供相关文件证明；供应商需在项目电子化交易系统中按要求上传相应证明文件并进行电子签章。</w:t>
      </w:r>
    </w:p>
    <w:p>
      <w:pPr>
        <w:pStyle w:val="null3"/>
      </w:pPr>
      <w:r>
        <w:rPr/>
        <w:t>3、社会保障资金缴纳证明：提供投标文件截止时间前一年内至少一个月已缴纳的社会保障资金的凭据（专用收据或社会保险缴纳清单）或自拟格式内容出具的社会保障资金缴纳情况良好的书面承诺；依法不需要缴纳社会保障资金的投标人应提供相关文件证明；供应商需在项目电子化交易系统中按要求上传相应证明文件并进行电子签章。：社会保障资金缴纳证明：提供投标文件截止时间前一年内至少一个月已缴纳的社会保障资金的凭据（专用收据或社会保险缴纳清单）或自拟格式内容出具的社会保障资金缴纳情况良好的书面承诺；依法不需要缴纳社会保障资金的投标人应提供相关文件证明；供应商需在项目电子化交易系统中按要求上传相应证明文件并进行电子签章。</w:t>
      </w:r>
    </w:p>
    <w:p>
      <w:pPr>
        <w:pStyle w:val="null3"/>
      </w:pPr>
      <w:r>
        <w:rPr/>
        <w:t>4、出具具有履行合同所必需的设备和专业技术能力的声明；供应商需在项目电子化交易系统中按要求上传相应证明文件并进行电子签章。：出具具有履行合同所必需的设备和专业技术能力的声明；供应商需在项目电子化交易系统中按要求上传相应证明文件并进行电子签章。</w:t>
      </w:r>
    </w:p>
    <w:p>
      <w:pPr>
        <w:pStyle w:val="null3"/>
      </w:pPr>
      <w:r>
        <w:rPr/>
        <w:t>5、参加政府采购活动前 3 年内在经营活动中没有重大违法记录的书面声明；供应商需在项目电子化交易系统中按要求上传相应证明文件并进行电子签章。：参加政府采购活动前 3 年内在经营活动中没有重大违法记录的书面声明；供应商需在项目电子化交易系统中按要求上传相应证明文件并进行电子签章。</w:t>
      </w:r>
    </w:p>
    <w:p>
      <w:pPr>
        <w:pStyle w:val="null3"/>
      </w:pPr>
      <w:r>
        <w:rPr/>
        <w:t>6、供应商应授权合法的人员参加磋商全过程，其中法定代表人直接参加磋商时须出具法定代表人身份证明及法定代表人身份证；法定代表人授权委托代理人参加磋商时须出具法定代表人授权委托书及委托代理人身份证；供应商需在项目电子化交易系统中按要求上传相应证明文件并进行电子签章。：供应商应授权合法的人员参加磋商全过程，其中法定代表人直接参加磋商时须出具法定代表人身份证明及法定代表人身份证；法定代表人授权委托代理人参加磋商时须出具法定代表人授权委托书及委托代理人身份证；供应商需在项目电子化交易系统中按要求上传相应证明文件并进行电子签章。</w:t>
      </w:r>
    </w:p>
    <w:p>
      <w:pPr>
        <w:pStyle w:val="null3"/>
      </w:pPr>
      <w:r>
        <w:rPr/>
        <w:t>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t>8、本项目不接受联合体磋商。供应商需在项目电子化交易系统中按要求上传相应证明文件并进行电子签章。：本项目不接受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陕西省汉中市中级人民法院</w:t>
      </w:r>
    </w:p>
    <w:p>
      <w:pPr>
        <w:pStyle w:val="null3"/>
      </w:pPr>
      <w:r>
        <w:rPr/>
        <w:t xml:space="preserve"> 地址： </w:t>
      </w:r>
      <w:r>
        <w:rPr/>
        <w:t>汉中市汉台区荔枝路332号</w:t>
      </w:r>
    </w:p>
    <w:p>
      <w:pPr>
        <w:pStyle w:val="null3"/>
      </w:pPr>
      <w:r>
        <w:rPr/>
        <w:t xml:space="preserve"> 邮编： </w:t>
      </w:r>
      <w:r>
        <w:rPr/>
        <w:t>723000</w:t>
      </w:r>
    </w:p>
    <w:p>
      <w:pPr>
        <w:pStyle w:val="null3"/>
      </w:pPr>
      <w:r>
        <w:rPr/>
        <w:t xml:space="preserve"> 联系人： </w:t>
      </w:r>
      <w:r>
        <w:rPr/>
        <w:t>高超</w:t>
      </w:r>
    </w:p>
    <w:p>
      <w:pPr>
        <w:pStyle w:val="null3"/>
      </w:pPr>
      <w:r>
        <w:rPr/>
        <w:t xml:space="preserve"> 联系电话： </w:t>
      </w:r>
      <w:r>
        <w:rPr/>
        <w:t>18992636109</w:t>
      </w:r>
    </w:p>
    <w:p>
      <w:pPr>
        <w:pStyle w:val="null3"/>
        <w:outlineLvl w:val="3"/>
      </w:pPr>
      <w:r>
        <w:rPr>
          <w:sz w:val="24"/>
          <w:b/>
        </w:rPr>
        <w:t>代理机构：</w:t>
      </w:r>
      <w:r>
        <w:rPr>
          <w:sz w:val="24"/>
          <w:b/>
        </w:rPr>
        <w:t>陕西明珠建设工程有限公司</w:t>
      </w:r>
    </w:p>
    <w:p>
      <w:pPr>
        <w:pStyle w:val="null3"/>
      </w:pPr>
      <w:r>
        <w:rPr/>
        <w:t xml:space="preserve"> 地址： </w:t>
      </w:r>
      <w:r>
        <w:rPr/>
        <w:t>陕西省西安市未央区太华北路甲字88号锦园国际广场21层2102Y17号</w:t>
      </w:r>
    </w:p>
    <w:p>
      <w:pPr>
        <w:pStyle w:val="null3"/>
      </w:pPr>
      <w:r>
        <w:rPr/>
        <w:t xml:space="preserve"> 邮编： </w:t>
      </w:r>
      <w:r>
        <w:rPr/>
        <w:t>710016</w:t>
      </w:r>
    </w:p>
    <w:p>
      <w:pPr>
        <w:pStyle w:val="null3"/>
      </w:pPr>
      <w:r>
        <w:rPr/>
        <w:t xml:space="preserve"> 联系人： </w:t>
      </w:r>
      <w:r>
        <w:rPr/>
        <w:t>田欣悦</w:t>
      </w:r>
    </w:p>
    <w:p>
      <w:pPr>
        <w:pStyle w:val="null3"/>
      </w:pPr>
      <w:r>
        <w:rPr/>
        <w:t xml:space="preserve"> 联系电话： </w:t>
      </w:r>
      <w:r>
        <w:rPr/>
        <w:t>15555756209</w:t>
      </w:r>
    </w:p>
    <w:p>
      <w:pPr>
        <w:pStyle w:val="null3"/>
        <w:outlineLvl w:val="3"/>
      </w:pPr>
      <w:r>
        <w:rPr>
          <w:sz w:val="24"/>
          <w:b/>
        </w:rPr>
        <w:t>采购监督机构：</w:t>
      </w:r>
      <w:r>
        <w:rPr>
          <w:sz w:val="24"/>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无产品</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无产品</w:t>
            </w:r>
            <w:r>
              <w:rPr/>
              <w:t>产品属于节能产品政府采购品目清单中应优先采购的产品范围，本项目采购的</w:t>
            </w:r>
            <w:r>
              <w:rPr/>
              <w:t>无产品</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采购代理机构参照国家计委关于印发《招标代理服务收费管理暂行办法》的通知（计价格〔2002〕1980号）、《国家发展和改革委员会办公厅关于招标代理服务收费有关问题的通知》（发改办价格〔2003〕857号）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陕西省汉中市中级人民法院</w:t>
      </w:r>
      <w:r>
        <w:rPr/>
        <w:t>和</w:t>
      </w:r>
      <w:r>
        <w:rPr/>
        <w:t>陕西明珠建设工程有限公司</w:t>
      </w:r>
      <w:r>
        <w:rPr/>
        <w:t>享有。对磋商文件中供应商参加本次政府采购活动应当具备的条件，磋商项目技术、服务、商务及其他要求，评审细则及标准由</w:t>
      </w:r>
      <w:r>
        <w:rPr/>
        <w:t>陕西省汉中市中级人民法院</w:t>
      </w:r>
      <w:r>
        <w:rPr/>
        <w:t>负责解释。除上述磋商文件内容，其他内容由</w:t>
      </w:r>
      <w:r>
        <w:rPr/>
        <w:t>陕西明珠建设工程有限公司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陕西省汉中市中级人民法院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陕西明珠建设工程有限公司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合格标准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陕西明珠建设工程有限公司</w:t>
      </w:r>
      <w:r>
        <w:rPr/>
        <w:t xml:space="preserve"> 负责答复；供应商对除采购需求外的采购文件的询问、质疑由</w:t>
      </w:r>
      <w:r>
        <w:rPr/>
        <w:t>陕西明珠建设工程有限公司</w:t>
      </w:r>
      <w:r>
        <w:rPr/>
        <w:t xml:space="preserve"> 负责答复；供应商对采购过程、采购结果的询问、质疑由 </w:t>
      </w:r>
      <w:r>
        <w:rPr/>
        <w:t>陕西明珠建设工程有限公司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联系人：田欣悦</w:t>
      </w:r>
    </w:p>
    <w:p>
      <w:pPr>
        <w:pStyle w:val="null3"/>
      </w:pPr>
      <w:r>
        <w:rPr/>
        <w:t>联系电话：15555756209</w:t>
      </w:r>
    </w:p>
    <w:p>
      <w:pPr>
        <w:pStyle w:val="null3"/>
      </w:pPr>
      <w:r>
        <w:rPr/>
        <w:t>地址：陕西省西安市未央区太华北路甲字88号锦园国际广场21层2102Y17号</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采购内容:汉中法院司法数据中台优化升级暨重点工作指挥调度管理数据应用服务；主要功能或目标:司法数据中台优化升级；需满足的要求:满足重点工作指挥调度管理。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830,000.00</w:t>
      </w:r>
    </w:p>
    <w:p>
      <w:pPr>
        <w:pStyle w:val="null3"/>
      </w:pPr>
      <w:r>
        <w:rPr/>
        <w:t>采购包最高限价（元）: 830,000.00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830000</w:t>
            </w:r>
          </w:p>
        </w:tc>
        <w:tc>
          <w:tcPr>
            <w:tcW w:type="dxa" w:w="831"/>
          </w:tcPr>
          <w:p>
            <w:pPr>
              <w:pStyle w:val="null3"/>
              <w:jc w:val="right"/>
            </w:pPr>
            <w:r>
              <w:rPr/>
              <w:t>1.00</w:t>
            </w:r>
          </w:p>
        </w:tc>
        <w:tc>
          <w:tcPr>
            <w:tcW w:type="dxa" w:w="831"/>
          </w:tcPr>
          <w:p>
            <w:pPr>
              <w:pStyle w:val="null3"/>
              <w:jc w:val="right"/>
            </w:pPr>
            <w:r>
              <w:rPr/>
              <w:t>830,000.00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标的名称：830000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司法数据融合处理中心</w:t>
            </w:r>
            <w:r>
              <w:rPr>
                <w:rFonts w:ascii="宋体" w:hAnsi="宋体" w:cs="宋体" w:eastAsia="宋体"/>
                <w:sz w:val="21"/>
              </w:rPr>
              <w:t>：</w:t>
            </w:r>
            <w:r>
              <w:rPr>
                <w:rFonts w:ascii="宋体" w:hAnsi="宋体" w:cs="宋体" w:eastAsia="宋体"/>
                <w:sz w:val="21"/>
              </w:rPr>
              <w:t>以汉中法院司法数据中台的能力为基础，以汉中法院智慧决策和重点工作之业务场景为出发点，全面整合治理涉及重点工作相关事项的数据，并与现有的汉中法院司法数据中台数据进行关联、融合处理，形成审判质效指标分析主题库、执行质效指标分析主题库、诉源治理指标主题库、案由聚类主题库等，打造支撑汉中法院司法数据资源底座。</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rPr>
              <w:t>构建业务模型及数据模型中心</w:t>
            </w:r>
            <w:r>
              <w:rPr>
                <w:rFonts w:ascii="宋体" w:hAnsi="宋体" w:cs="宋体" w:eastAsia="宋体"/>
                <w:sz w:val="21"/>
              </w:rPr>
              <w:t>：</w:t>
            </w:r>
            <w:r>
              <w:rPr>
                <w:rFonts w:ascii="宋体" w:hAnsi="宋体" w:cs="宋体" w:eastAsia="宋体"/>
                <w:sz w:val="21"/>
              </w:rPr>
              <w:t>依托汉中法院司法数据中台，基于业务场景化设计，构建智慧决策支持“专家”业务模型，形成汉中法院的决策模型库。智慧决策支持“专家”业务模型包括：审判质量态势分析模型、执行质效分析模型、区域维度诊断模型、新收案件态势分析及诉源治理模型。</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1"/>
              </w:rPr>
              <w:t>可视化工具</w:t>
            </w:r>
            <w:r>
              <w:rPr>
                <w:rFonts w:ascii="宋体" w:hAnsi="宋体" w:cs="宋体" w:eastAsia="宋体"/>
                <w:sz w:val="21"/>
              </w:rPr>
              <w:t>：</w:t>
            </w:r>
            <w:r>
              <w:rPr>
                <w:rFonts w:ascii="宋体" w:hAnsi="宋体" w:cs="宋体" w:eastAsia="宋体"/>
                <w:sz w:val="21"/>
              </w:rPr>
              <w:t>本期项目提供两种可视化工具，即：分析可视化和可视化大屏首页。分析可视化工具将通过可视化图形处理技术实现数据分析应用平台界面灵活配置，支持拖拉拽等灵活管理，提供图形透视展示，展示方式可以是图表、图线、柱状图、饼图等，并提供下钻展示等。可视化大屏展示工具，能够支持多种终端配置，包括大屏、PC，根据屏幕尺寸进行展现，动态调整分辨率。</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1"/>
              </w:rPr>
              <w:t>每日关注内容管理</w:t>
            </w:r>
            <w:r>
              <w:rPr>
                <w:rFonts w:ascii="宋体" w:hAnsi="宋体" w:cs="宋体" w:eastAsia="宋体"/>
                <w:sz w:val="21"/>
              </w:rPr>
              <w:t>：</w:t>
            </w:r>
            <w:r>
              <w:rPr>
                <w:rFonts w:ascii="宋体" w:hAnsi="宋体" w:cs="宋体" w:eastAsia="宋体"/>
                <w:sz w:val="21"/>
              </w:rPr>
              <w:t>构建内容丰富的审判管理指标池。根据最高法院和省高院审判管理工作要求，将会陆续出台评价法院工作高质量发展的指标，因此，基于全域审理过程数据、诉前调解过程数据、诉讼服务各类数据，以及实时态势等，利用数字卡片构建审判管理全域指标池，才能实现快速动态更新审判管理指标、服务审判管理工作。审判管理全域指标池包括：审判按条线质量指标体系，以及新收案件及其多维度态势、未结案件及其多维度分析，执行质效等，指标池需要尽可能丰富，并实行动态更新。同时，结合院庭长对审判管理的业务经验，对指标池进行分类管理，为每日关注数据的全面推送打好基础。</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1"/>
              </w:rPr>
              <w:t>预警管理可视化</w:t>
            </w:r>
            <w:r>
              <w:rPr>
                <w:rFonts w:ascii="宋体" w:hAnsi="宋体" w:cs="宋体" w:eastAsia="宋体"/>
                <w:sz w:val="21"/>
              </w:rPr>
              <w:t>：</w:t>
            </w:r>
            <w:r>
              <w:rPr>
                <w:rFonts w:ascii="宋体" w:hAnsi="宋体" w:cs="宋体" w:eastAsia="宋体"/>
                <w:sz w:val="21"/>
              </w:rPr>
              <w:t>基于汉中法院各项业务指标实时变化情况，分为：横向对标，对汉中辖区、汉中中院以及辖区内基层院的态势变化情况进行预警管理；纵向对比，各项业务指标与往年同期对比变化情况进行预警管理；阶段性重点工作关注，对新收案件情景，进行预警管理；每日上诉案件、新收案件的案由</w:t>
            </w:r>
            <w:r>
              <w:rPr>
                <w:rFonts w:ascii="&quot;calibri&quot;, &quot;sans-serif&quot;" w:hAnsi="&quot;calibri&quot;, &quot;sans-serif&quot;" w:cs="&quot;calibri&quot;, &quot;sans-serif&quot;" w:eastAsia="&quot;calibri&quot;, &quot;sans-serif&quot;"/>
                <w:sz w:val="21"/>
              </w:rPr>
              <w:t>TOP10</w:t>
            </w:r>
            <w:r>
              <w:rPr>
                <w:rFonts w:ascii="宋体" w:hAnsi="宋体" w:cs="宋体" w:eastAsia="宋体"/>
                <w:sz w:val="21"/>
              </w:rPr>
              <w:t>情况，进行预警可视化。</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1"/>
              </w:rPr>
              <w:t>重点指标展示</w:t>
            </w:r>
            <w:r>
              <w:rPr>
                <w:rFonts w:ascii="宋体" w:hAnsi="宋体" w:cs="宋体" w:eastAsia="宋体"/>
                <w:sz w:val="21"/>
              </w:rPr>
              <w:t>：</w:t>
            </w:r>
            <w:r>
              <w:rPr>
                <w:rFonts w:ascii="宋体" w:hAnsi="宋体" w:cs="宋体" w:eastAsia="宋体"/>
                <w:sz w:val="21"/>
              </w:rPr>
              <w:t>基于汉中法院业务管理要求，定制化设计大屏展示内容及风格，展示内容包括：根据省高院综合考核和阶段性数据会商关注的重点情形，结合汉中法院审判执行管理及重点工作，系统提供三大类展示内容，包括：绩效考核、指标体系、风险预警。</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1"/>
              </w:rPr>
              <w:t>新版审判质效管理</w:t>
            </w:r>
            <w:r>
              <w:rPr>
                <w:rFonts w:ascii="宋体" w:hAnsi="宋体" w:cs="宋体" w:eastAsia="宋体"/>
                <w:sz w:val="21"/>
              </w:rPr>
              <w:t>：</w:t>
            </w:r>
            <w:r>
              <w:rPr>
                <w:rFonts w:ascii="宋体" w:hAnsi="宋体" w:cs="宋体" w:eastAsia="宋体"/>
                <w:sz w:val="21"/>
              </w:rPr>
              <w:t>根据省高院审判质量指标计算口径，计算汉中法院的审判质效指标。从维度上分为，法院层级：审判质效指标包括汉中辖区、汉中中院、汉中辖区内各基层法院；中院部门个人层级：汉中中院、汉中中院各部门、法官个人。审判质效指标为：按照刑民行及总体条线的审判质量指标体系，提供下钻至案件清单，并提供省级、辖区及本院、部门位次，支持指标的同比分析，数据按日更新，从而实现了“横向到边、纵向到底”的审判质效分析。另外，可根据汉中中院的个性化要求提供定制性开发。</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1"/>
              </w:rPr>
              <w:t>新版执行质效管理</w:t>
            </w:r>
            <w:r>
              <w:rPr>
                <w:rFonts w:ascii="宋体" w:hAnsi="宋体" w:cs="宋体" w:eastAsia="宋体"/>
                <w:sz w:val="21"/>
              </w:rPr>
              <w:t>：</w:t>
            </w:r>
            <w:r>
              <w:rPr>
                <w:rFonts w:ascii="宋体" w:hAnsi="宋体" w:cs="宋体" w:eastAsia="宋体"/>
                <w:sz w:val="21"/>
              </w:rPr>
              <w:t>基于汉中法院司法数据中台能力，根据省高院执行质效考核口径，计算汉中法院执行质效指标及全省位次，指标包括：执行完毕率、执行到位率、首执案件终本率、审限内结案率、延长审限率、平均结案时间、超12月未接案件比，支持按法院、执行团队、法官等维度进行分别统计，数据按日更新。同时，根据汉中中院的个性化要求提供定制性开发。</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21"/>
              </w:rPr>
              <w:t>新版绩效考核模块</w:t>
            </w:r>
            <w:r>
              <w:rPr>
                <w:rFonts w:ascii="宋体" w:hAnsi="宋体" w:cs="宋体" w:eastAsia="宋体"/>
                <w:sz w:val="21"/>
              </w:rPr>
              <w:t>：</w:t>
            </w:r>
            <w:r>
              <w:rPr>
                <w:rFonts w:ascii="宋体" w:hAnsi="宋体" w:cs="宋体" w:eastAsia="宋体"/>
                <w:sz w:val="21"/>
              </w:rPr>
              <w:t>根据省高院审判、执行管理指标业务口径，基于省高院执法办案及重点任务综合考核办法，计算汉中辖区、汉中中院在全省的执法办案综合考核得分、排名，及其位次变化情况等。基于汉中中院执法办案考核规则，计算汉中辖区各基层院的执法办案考核得分，以及在辖区的排名、在全省的排名。根据汉中中院对部门、法官的考核办法，计算各业务庭室、各位法官的绩效考核得分，以及排名。以上数据按日更新。同时，根据汉中中院的个性化要求提供定制性开发。</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21"/>
              </w:rPr>
              <w:t>新版法官画像</w:t>
            </w:r>
            <w:r>
              <w:rPr>
                <w:rFonts w:ascii="宋体" w:hAnsi="宋体" w:cs="宋体" w:eastAsia="宋体"/>
                <w:sz w:val="21"/>
              </w:rPr>
              <w:t>：</w:t>
            </w:r>
            <w:r>
              <w:rPr>
                <w:rFonts w:ascii="宋体" w:hAnsi="宋体" w:cs="宋体" w:eastAsia="宋体"/>
                <w:sz w:val="21"/>
              </w:rPr>
              <w:t>根据省高院审判、执行管理指标业务口径，基于省高院执法办案及重点任务综合考核办法，对员额法官从办案数量、办案质量、办案效率、办案效果四个方面进行综合评价，法官画像模块包括：法官基本信息展示，综合评分、排名及变化情况，并对临期、超期、审限变更案件进行预警。</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sz w:val="21"/>
              </w:rPr>
              <w:t>案件折算优化升级</w:t>
            </w:r>
            <w:r>
              <w:rPr>
                <w:rFonts w:ascii="宋体" w:hAnsi="宋体" w:cs="宋体" w:eastAsia="宋体"/>
                <w:sz w:val="21"/>
              </w:rPr>
              <w:t>：</w:t>
            </w:r>
            <w:r>
              <w:rPr>
                <w:rFonts w:ascii="宋体" w:hAnsi="宋体" w:cs="宋体" w:eastAsia="宋体"/>
                <w:sz w:val="21"/>
              </w:rPr>
              <w:t>按照折算规则对自然案件进行计算得到折算后的案件数量，界面需展示每个自然案件适用的各级折算规则及折算值，支持对主观性的判断规则提供手工填报的功能，最终系统自动合计折算总分。</w:t>
            </w:r>
          </w:p>
        </w:tc>
      </w:tr>
      <w:tr>
        <w:tc>
          <w:tcPr>
            <w:tcW w:type="dxa" w:w="2769"/>
          </w:tcPr>
          <w:p/>
        </w:tc>
        <w:tc>
          <w:tcPr>
            <w:tcW w:type="dxa" w:w="2769"/>
          </w:tcPr>
          <w:p>
            <w:pPr>
              <w:pStyle w:val="null3"/>
            </w:pPr>
            <w:r>
              <w:rPr/>
              <w:t>12</w:t>
            </w:r>
          </w:p>
        </w:tc>
        <w:tc>
          <w:tcPr>
            <w:tcW w:type="dxa" w:w="2769"/>
          </w:tcPr>
          <w:p>
            <w:pPr>
              <w:pStyle w:val="null3"/>
            </w:pPr>
            <w:r>
              <w:rPr>
                <w:rFonts w:ascii="宋体" w:hAnsi="宋体" w:cs="宋体" w:eastAsia="宋体"/>
                <w:sz w:val="21"/>
              </w:rPr>
              <w:t>新增本地个性化报表模块</w:t>
            </w:r>
            <w:r>
              <w:rPr>
                <w:rFonts w:ascii="宋体" w:hAnsi="宋体" w:cs="宋体" w:eastAsia="宋体"/>
                <w:sz w:val="21"/>
              </w:rPr>
              <w:t>：</w:t>
            </w:r>
            <w:r>
              <w:rPr>
                <w:rFonts w:ascii="宋体" w:hAnsi="宋体" w:cs="宋体" w:eastAsia="宋体"/>
                <w:sz w:val="21"/>
              </w:rPr>
              <w:t>根据汉中中院上报省高院业务统计口径及本院业务管理需要，系统提供个性化的数据支撑服务，如：本院审判部门质效分析报表、上诉案件移送时间清单、上诉案件案由</w:t>
            </w:r>
            <w:r>
              <w:rPr>
                <w:rFonts w:ascii="&quot;calibri&quot;, &quot;sans-serif&quot;" w:hAnsi="&quot;calibri&quot;, &quot;sans-serif&quot;" w:cs="&quot;calibri&quot;, &quot;sans-serif&quot;" w:eastAsia="&quot;calibri&quot;, &quot;sans-serif&quot;"/>
                <w:sz w:val="21"/>
              </w:rPr>
              <w:t>TOP20</w:t>
            </w:r>
            <w:r>
              <w:rPr>
                <w:rFonts w:ascii="宋体" w:hAnsi="宋体" w:cs="宋体" w:eastAsia="宋体"/>
                <w:sz w:val="21"/>
              </w:rPr>
              <w:t>分析、发改案件详情分析、长期未结案清单、院庭长收结案情况、上诉案件情况等。可根据汉中中院的个性化要求提供定制性开发。本期支持本地个性化报表不超过</w:t>
            </w:r>
            <w:r>
              <w:rPr>
                <w:rFonts w:ascii="&quot;calibri&quot;, &quot;sans-serif&quot;" w:hAnsi="&quot;calibri&quot;, &quot;sans-serif&quot;" w:cs="&quot;calibri&quot;, &quot;sans-serif&quot;" w:eastAsia="&quot;calibri&quot;, &quot;sans-serif&quot;"/>
                <w:sz w:val="21"/>
              </w:rPr>
              <w:t>10</w:t>
            </w:r>
            <w:r>
              <w:rPr>
                <w:rFonts w:ascii="宋体" w:hAnsi="宋体" w:cs="宋体" w:eastAsia="宋体"/>
                <w:sz w:val="21"/>
              </w:rPr>
              <w:t>个。</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0"/>
              </w:rPr>
              <w:t>案件智能检索升级改造</w:t>
            </w:r>
            <w:r>
              <w:rPr>
                <w:rFonts w:ascii="宋体" w:hAnsi="宋体" w:cs="宋体" w:eastAsia="宋体"/>
                <w:sz w:val="20"/>
              </w:rPr>
              <w:t>：</w:t>
            </w:r>
            <w:r>
              <w:rPr>
                <w:rFonts w:ascii="宋体" w:hAnsi="宋体" w:cs="宋体" w:eastAsia="宋体"/>
                <w:sz w:val="20"/>
              </w:rPr>
              <w:t>案件智能检索系统提供基于裁判文书的智能检索和基于案件的多维度检索。</w:t>
            </w:r>
          </w:p>
          <w:p>
            <w:pPr>
              <w:pStyle w:val="null3"/>
            </w:pPr>
            <w:r>
              <w:rPr>
                <w:rFonts w:ascii="宋体" w:hAnsi="宋体" w:cs="宋体" w:eastAsia="宋体"/>
                <w:sz w:val="20"/>
              </w:rPr>
              <w:t>裁判文书智能检索是基于全省法院丰富的案件标签及自然语言语义分析能力，实现案件的综合检索功能，提供高级检索、文书关键词、案件标签及其条件组合检索等能力，提供从法院维度、案件类型、案由、当事人、承办人、关键词、标签等条件检索，提供文书信息的关联展示，提供检索文书的特征标签自动标注，提供标签的自定义、编辑等功能，支持检索结果的统计分析功能，提供文书基本信息统计等功能。</w:t>
            </w:r>
          </w:p>
          <w:p>
            <w:pPr>
              <w:pStyle w:val="null3"/>
            </w:pPr>
            <w:r>
              <w:rPr>
                <w:rFonts w:ascii="宋体" w:hAnsi="宋体" w:cs="宋体" w:eastAsia="宋体"/>
                <w:sz w:val="21"/>
              </w:rPr>
              <w:t>案件多维度智能检索是基于汉中法院辖区全量案件进行多维度组合检索，包括：案号、承办人、法院、承办部门、案件类型、立案日期、结案日期、当事人、案由查询等。</w:t>
            </w:r>
          </w:p>
        </w:tc>
      </w:tr>
      <w:tr>
        <w:tc>
          <w:tcPr>
            <w:tcW w:type="dxa" w:w="2769"/>
          </w:tcPr>
          <w:p/>
        </w:tc>
        <w:tc>
          <w:tcPr>
            <w:tcW w:type="dxa" w:w="2769"/>
          </w:tcPr>
          <w:p>
            <w:pPr>
              <w:pStyle w:val="null3"/>
            </w:pPr>
            <w:r>
              <w:rPr/>
              <w:t>14</w:t>
            </w:r>
          </w:p>
        </w:tc>
        <w:tc>
          <w:tcPr>
            <w:tcW w:type="dxa" w:w="2769"/>
          </w:tcPr>
          <w:p>
            <w:pPr>
              <w:pStyle w:val="null3"/>
            </w:pPr>
            <w:r>
              <w:rPr>
                <w:rFonts w:ascii="宋体" w:hAnsi="宋体" w:cs="宋体" w:eastAsia="宋体"/>
                <w:sz w:val="21"/>
              </w:rPr>
              <w:t>审判管理工作通报自动生成：</w:t>
            </w:r>
            <w:r>
              <w:rPr>
                <w:rFonts w:ascii="宋体" w:hAnsi="宋体" w:cs="宋体" w:eastAsia="宋体"/>
                <w:sz w:val="21"/>
              </w:rPr>
              <w:t>根据汉中中院审判管理工作通报模板，系统提供审管通报自动生成功能。模板一旦确定，系统提供按时间维度实现“一键生成报告”，支持通报下载、编辑，因此可节省业务管理人员每月手工编辑通报、人工统计数据的繁重工作。</w:t>
            </w:r>
          </w:p>
        </w:tc>
      </w:tr>
      <w:tr>
        <w:tc>
          <w:tcPr>
            <w:tcW w:type="dxa" w:w="2769"/>
          </w:tcPr>
          <w:p/>
        </w:tc>
        <w:tc>
          <w:tcPr>
            <w:tcW w:type="dxa" w:w="2769"/>
          </w:tcPr>
          <w:p>
            <w:pPr>
              <w:pStyle w:val="null3"/>
            </w:pPr>
            <w:r>
              <w:rPr/>
              <w:t>15</w:t>
            </w:r>
          </w:p>
        </w:tc>
        <w:tc>
          <w:tcPr>
            <w:tcW w:type="dxa" w:w="2769"/>
          </w:tcPr>
          <w:p>
            <w:pPr>
              <w:pStyle w:val="null3"/>
            </w:pPr>
            <w:r>
              <w:rPr>
                <w:rFonts w:ascii="宋体" w:hAnsi="宋体" w:cs="宋体" w:eastAsia="宋体"/>
                <w:sz w:val="21"/>
              </w:rPr>
              <w:t>审判质量指标预警监视模块</w:t>
            </w:r>
            <w:r>
              <w:rPr>
                <w:rFonts w:ascii="宋体" w:hAnsi="宋体" w:cs="宋体" w:eastAsia="宋体"/>
                <w:sz w:val="21"/>
              </w:rPr>
              <w:t>：</w:t>
            </w:r>
            <w:r>
              <w:rPr>
                <w:rFonts w:ascii="宋体" w:hAnsi="宋体" w:cs="宋体" w:eastAsia="宋体"/>
                <w:sz w:val="21"/>
              </w:rPr>
              <w:t>根据省高院审判质量管理各项指标区间参考值，实时监视汉中法院的审判质量指标体系，当汉中法院指标值劣于区间参考值时，系统输出提示信息；当汉中法院指标值位次落于后三名时，系统也输出提示信息。</w:t>
            </w:r>
          </w:p>
        </w:tc>
      </w:tr>
      <w:tr>
        <w:tc>
          <w:tcPr>
            <w:tcW w:type="dxa" w:w="2769"/>
          </w:tcPr>
          <w:p/>
        </w:tc>
        <w:tc>
          <w:tcPr>
            <w:tcW w:type="dxa" w:w="2769"/>
          </w:tcPr>
          <w:p>
            <w:pPr>
              <w:pStyle w:val="null3"/>
            </w:pPr>
            <w:r>
              <w:rPr/>
              <w:t>16</w:t>
            </w:r>
          </w:p>
        </w:tc>
        <w:tc>
          <w:tcPr>
            <w:tcW w:type="dxa" w:w="2769"/>
          </w:tcPr>
          <w:p>
            <w:pPr>
              <w:pStyle w:val="null3"/>
            </w:pPr>
            <w:r>
              <w:rPr>
                <w:rFonts w:ascii="宋体" w:hAnsi="宋体" w:cs="宋体" w:eastAsia="宋体"/>
                <w:sz w:val="21"/>
              </w:rPr>
              <w:t>重点工作管理模块</w:t>
            </w:r>
            <w:r>
              <w:rPr>
                <w:rFonts w:ascii="宋体" w:hAnsi="宋体" w:cs="宋体" w:eastAsia="宋体"/>
                <w:sz w:val="21"/>
              </w:rPr>
              <w:t>：</w:t>
            </w:r>
            <w:r>
              <w:rPr>
                <w:rFonts w:ascii="宋体" w:hAnsi="宋体" w:cs="宋体" w:eastAsia="宋体"/>
                <w:sz w:val="21"/>
              </w:rPr>
              <w:t>利用可视化展现工具，基于重点工作、重点任务管控要求，设计重点工作“挂图作战”可视化功能，直观呈现各项重点工作实时进展状态的“三色灯”，平台提供重点工作下钻至重点任务、各项重点任务进展实例清单，并同步展示实时进展状态的“三色灯”。此模块还具备各基层院、地图联动展示，就某项重点工作的进展状态，可查询：重点工作-基层院-各项重点任务-进展实例；基层院-重点工作-重点任务-进展实例；重点工作-重点任务-基层院-进展实例等多种路径的下钻方式。</w:t>
            </w:r>
          </w:p>
        </w:tc>
      </w:tr>
      <w:tr>
        <w:tc>
          <w:tcPr>
            <w:tcW w:type="dxa" w:w="2769"/>
          </w:tcPr>
          <w:p/>
        </w:tc>
        <w:tc>
          <w:tcPr>
            <w:tcW w:type="dxa" w:w="2769"/>
          </w:tcPr>
          <w:p>
            <w:pPr>
              <w:pStyle w:val="null3"/>
            </w:pPr>
            <w:r>
              <w:rPr/>
              <w:t>17</w:t>
            </w:r>
          </w:p>
        </w:tc>
        <w:tc>
          <w:tcPr>
            <w:tcW w:type="dxa" w:w="2769"/>
          </w:tcPr>
          <w:p>
            <w:pPr>
              <w:pStyle w:val="null3"/>
            </w:pPr>
            <w:r>
              <w:rPr>
                <w:rFonts w:ascii="宋体" w:hAnsi="宋体" w:cs="宋体" w:eastAsia="宋体"/>
                <w:sz w:val="21"/>
              </w:rPr>
              <w:t>重点任务交互服务</w:t>
            </w:r>
            <w:r>
              <w:rPr>
                <w:rFonts w:ascii="宋体" w:hAnsi="宋体" w:cs="宋体" w:eastAsia="宋体"/>
                <w:sz w:val="21"/>
              </w:rPr>
              <w:t>：</w:t>
            </w:r>
            <w:r>
              <w:rPr>
                <w:rFonts w:ascii="宋体" w:hAnsi="宋体" w:cs="宋体" w:eastAsia="宋体"/>
                <w:sz w:val="21"/>
              </w:rPr>
              <w:t>为方便重点工作管理，平台提供重点工作、重点任务完成情况的点对点填报界面。</w:t>
            </w:r>
          </w:p>
        </w:tc>
      </w:tr>
      <w:tr>
        <w:tc>
          <w:tcPr>
            <w:tcW w:type="dxa" w:w="2769"/>
          </w:tcPr>
          <w:p/>
        </w:tc>
        <w:tc>
          <w:tcPr>
            <w:tcW w:type="dxa" w:w="2769"/>
          </w:tcPr>
          <w:p>
            <w:pPr>
              <w:pStyle w:val="null3"/>
            </w:pPr>
            <w:r>
              <w:rPr/>
              <w:t>18</w:t>
            </w:r>
          </w:p>
        </w:tc>
        <w:tc>
          <w:tcPr>
            <w:tcW w:type="dxa" w:w="2769"/>
          </w:tcPr>
          <w:p>
            <w:pPr>
              <w:pStyle w:val="null3"/>
            </w:pPr>
            <w:r>
              <w:rPr>
                <w:rFonts w:ascii="宋体" w:hAnsi="宋体" w:cs="宋体" w:eastAsia="宋体"/>
                <w:sz w:val="21"/>
              </w:rPr>
              <w:t>重点任务量化分析</w:t>
            </w:r>
            <w:r>
              <w:rPr>
                <w:rFonts w:ascii="宋体" w:hAnsi="宋体" w:cs="宋体" w:eastAsia="宋体"/>
                <w:sz w:val="21"/>
              </w:rPr>
              <w:t>：</w:t>
            </w:r>
            <w:r>
              <w:rPr>
                <w:rFonts w:ascii="宋体" w:hAnsi="宋体" w:cs="宋体" w:eastAsia="宋体"/>
                <w:sz w:val="21"/>
              </w:rPr>
              <w:t>根据汉中法院2024年重点工作评价任务分解表，针对“万人起诉率”、一审新收案件量同步、诉前调解成功案件等指标，具备量化条件的，平台提供量化分析，量化指标值按日进行更新。</w:t>
            </w:r>
          </w:p>
        </w:tc>
      </w:tr>
      <w:tr>
        <w:tc>
          <w:tcPr>
            <w:tcW w:type="dxa" w:w="2769"/>
          </w:tcPr>
          <w:p/>
        </w:tc>
        <w:tc>
          <w:tcPr>
            <w:tcW w:type="dxa" w:w="2769"/>
          </w:tcPr>
          <w:p>
            <w:pPr>
              <w:pStyle w:val="null3"/>
            </w:pPr>
            <w:r>
              <w:rPr/>
              <w:t>19</w:t>
            </w:r>
          </w:p>
        </w:tc>
        <w:tc>
          <w:tcPr>
            <w:tcW w:type="dxa" w:w="2769"/>
          </w:tcPr>
          <w:p>
            <w:pPr>
              <w:pStyle w:val="null3"/>
            </w:pPr>
            <w:r>
              <w:rPr>
                <w:rFonts w:ascii="宋体" w:hAnsi="宋体" w:cs="宋体" w:eastAsia="宋体"/>
                <w:sz w:val="21"/>
              </w:rPr>
              <w:t>重点任务统计分析</w:t>
            </w:r>
            <w:r>
              <w:rPr>
                <w:rFonts w:ascii="宋体" w:hAnsi="宋体" w:cs="宋体" w:eastAsia="宋体"/>
                <w:sz w:val="21"/>
              </w:rPr>
              <w:t>：</w:t>
            </w:r>
            <w:r>
              <w:rPr>
                <w:rFonts w:ascii="宋体" w:hAnsi="宋体" w:cs="宋体" w:eastAsia="宋体"/>
                <w:sz w:val="21"/>
              </w:rPr>
              <w:t>基于重点工作完成进度、重点任务推进时序、成果输出、落实成效、量化指标等维度，平台提供多维度统计分析功能，服务于重点工作的实时管控。</w:t>
            </w:r>
          </w:p>
        </w:tc>
      </w:tr>
      <w:tr>
        <w:tc>
          <w:tcPr>
            <w:tcW w:type="dxa" w:w="2769"/>
          </w:tcPr>
          <w:p/>
        </w:tc>
        <w:tc>
          <w:tcPr>
            <w:tcW w:type="dxa" w:w="2769"/>
          </w:tcPr>
          <w:p>
            <w:pPr>
              <w:pStyle w:val="null3"/>
            </w:pPr>
            <w:r>
              <w:rPr/>
              <w:t>20</w:t>
            </w:r>
          </w:p>
        </w:tc>
        <w:tc>
          <w:tcPr>
            <w:tcW w:type="dxa" w:w="2769"/>
          </w:tcPr>
          <w:p>
            <w:pPr>
              <w:pStyle w:val="null3"/>
              <w:jc w:val="both"/>
            </w:pPr>
            <w:r>
              <w:rPr>
                <w:rFonts w:ascii="宋体" w:hAnsi="宋体" w:cs="宋体" w:eastAsia="宋体"/>
                <w:sz w:val="21"/>
              </w:rPr>
              <w:t>用户权限管理及安全机制管理</w:t>
            </w:r>
            <w:r>
              <w:rPr>
                <w:rFonts w:ascii="宋体" w:hAnsi="宋体" w:cs="宋体" w:eastAsia="宋体"/>
                <w:sz w:val="21"/>
              </w:rPr>
              <w:t>：</w:t>
            </w:r>
            <w:r>
              <w:rPr>
                <w:rFonts w:ascii="宋体" w:hAnsi="宋体" w:cs="宋体" w:eastAsia="宋体"/>
                <w:sz w:val="21"/>
              </w:rPr>
              <w:t>基于汉中中院人事主数据，用户权限管理按三层架构进行设计：法院，角色，用户，实现平台各功能模块权限的分层分域分岗位授权和管理，同时，用户权限管理支持数据表上行级的权限控制，即同一张报表不同的用户看到的数据范围将会不同。支持每个法院设置管理员，由管理员对本法院的权限进行个性化控制和调配，同时为用户提供单点登录、统一身份认证、统一授权认证等功能。</w:t>
            </w:r>
          </w:p>
        </w:tc>
      </w:tr>
    </w:tbl>
    <w:p>
      <w:pPr>
        <w:pStyle w:val="null3"/>
        <w:outlineLvl w:val="2"/>
      </w:pPr>
      <w:r>
        <w:rPr>
          <w:sz w:val="28"/>
          <w:b/>
        </w:rPr>
        <w:t>3.2.3人员配置要求</w:t>
      </w:r>
    </w:p>
    <w:p>
      <w:pPr>
        <w:pStyle w:val="null3"/>
      </w:pPr>
      <w:r>
        <w:rPr/>
        <w:t>采购包1：</w:t>
      </w:r>
    </w:p>
    <w:p>
      <w:pPr>
        <w:pStyle w:val="null3"/>
      </w:pPr>
      <w:r>
        <w:rPr/>
        <w:t>详见评分办法</w:t>
      </w:r>
    </w:p>
    <w:p>
      <w:pPr>
        <w:pStyle w:val="null3"/>
        <w:outlineLvl w:val="2"/>
      </w:pPr>
      <w:r>
        <w:rPr>
          <w:sz w:val="28"/>
          <w:b/>
        </w:rPr>
        <w:t>3.2.4设施设备要求</w:t>
      </w:r>
    </w:p>
    <w:p>
      <w:pPr>
        <w:pStyle w:val="null3"/>
      </w:pPr>
      <w:r>
        <w:rPr/>
        <w:t>采购包1：</w:t>
      </w:r>
    </w:p>
    <w:p>
      <w:pPr>
        <w:pStyle w:val="null3"/>
      </w:pPr>
      <w:r>
        <w:rPr/>
        <w:t>采购包1： 1. 系统支持用户数不低于500人，系统需满足200个以上并发用户数同时在线使用； 2. 在满足并发访问的前提下，系统的响应时间应符合下表要求。 3.数据维护：数据增删改查的操作，响应速度&lt;2秒。 4.查询统计分析：①按关键字检索数据库单表时延＜1秒，②按关键字检索多表关联记录平均时延＜3秒，③一般简单查询和统计响应速度＜2秒，④复杂和组合查询、汇总统计，响应速度＜3秒。 5.数据加载：从文本文件导入数据单机性能不低于30MB/s；批量加载带宽大于 100MB/s, 节点加载性能每秒大于20万条记录。 6.整体应用：整个应用软件系统应能够连续7×24小时不间断工作，应用软件中的任一模块更新、加载时，在不更新与上下模块的接口的前提下，不影响其它模块的运行。</w:t>
      </w:r>
    </w:p>
    <w:p>
      <w:pPr>
        <w:pStyle w:val="null3"/>
        <w:outlineLvl w:val="2"/>
      </w:pPr>
      <w:r>
        <w:rPr>
          <w:sz w:val="28"/>
          <w:b/>
        </w:rPr>
        <w:t>3.2.5其他要求</w:t>
      </w:r>
    </w:p>
    <w:p>
      <w:pPr>
        <w:pStyle w:val="null3"/>
      </w:pPr>
      <w:r>
        <w:rPr/>
        <w:t>采购包1：</w:t>
      </w:r>
    </w:p>
    <w:p>
      <w:pPr>
        <w:pStyle w:val="null3"/>
      </w:pPr>
      <w:r>
        <w:rPr/>
        <w:t>采购包1： 技术要求 1．系统开发应采用主流技术路线，系统整体架构须采用基于面向服务架构SOA架构方式，系统开发须采用基于B/S（Browser/Server）的架构，以J2EE为核心的技术路线。 2．系统须采用三层（表现层、应用层和数据层）或多层架构，各层之间应具有很强的独立性，各层间的服务、接口和协议应为标准的和透明的。 3．系统应支持主流的浏览器、操作系统；投标人应保证针对采购人所提供的操作系统、中间件、数据库及浏览器版本与其他分项系统版本集成具备兼容性，后续实施过程中因兼容性导致的问题投标人应给予解决。 安全要求 本项目应遵循国家信息安全等级保护相关规定和技术要求，本次招标项目的信息安全要求如下： 1. 严格遵循国家信息安全等级保护相关管理规定和技术要求，系统平台应符合国家信息安全等级保护第三级相关要求； 2. 为保证本项目的安全稳定运行，确保信息的保密性、可用性、完整性，数据安全得到保障。投标人需按照等级保护三级进行设计。 部署要求 汉中市中级人民法院网络安全系统采用通用网络浏览器进行访问，系统安装部署在汉中市中级人民法院指定的环境中。 接口要求 设计要充分考虑与现有软硬件系统（包括集中部署和分散部署的系统、不同网络上部署的系统等）的对接工作，并做好各种预案，保障对接工作的顺利进行。 应充分提供和预留相应接口，以满足各业务系统的认证、二次开发、各系统间无缝衔接、以及法院内部数据交换的需求。投标方需提供开发接口及详细说明文档，具有二次开发能力以及与第三方应用系统的集成能力。 培训要求 投标人必须提供完整、可行的培训方案。中标人完成系统开发、调试和运行测试后，应负责为软件的使用人员和技术人员通过集中课堂培训、客户集中培训（包含全省各级法院）、远程培训，提供免费的系统使用、维护方法、安装调测、排除故障及升级等各个方面的培训，直至使用人员和技术人员理解掌握系统使用及运维方法，以满足本软件系统建成后，系统正常运行、维护和技术支持的需要。 技术支持及售后服务 中标人免费维保期自通过最终验收，采购方签署验收报告起开始计算。保修期1年。 1、免费维保期内，中标人应为采购人提供免费维保服务，包括对软件非结构化的小工作量的需求变更（不超过本次项目系统开发量的20%）提供免费的开发和维护服务、后台数据维护与提取、数据备份等。 2、免费维保期外，在维保期外中标人如果根据采购人的要求继续承担项目的维保工作，维保费用由双方协商确定。</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合同签订后5日内完成系统设计，10日内完成系统上线运行工作。 投标人需提供承诺书格式自拟，否则按无效处置。</w:t>
      </w:r>
    </w:p>
    <w:p>
      <w:pPr>
        <w:pStyle w:val="null3"/>
        <w:outlineLvl w:val="3"/>
      </w:pPr>
      <w:r>
        <w:rPr>
          <w:sz w:val="24"/>
          <w:b/>
        </w:rPr>
        <w:t>3.3.2服务地点</w:t>
      </w:r>
    </w:p>
    <w:p>
      <w:pPr>
        <w:pStyle w:val="null3"/>
      </w:pPr>
      <w:r>
        <w:rPr/>
        <w:t>采购包1：</w:t>
      </w:r>
    </w:p>
    <w:p>
      <w:pPr>
        <w:pStyle w:val="null3"/>
      </w:pPr>
      <w:r>
        <w:rPr/>
        <w:t>采购人制定地点</w:t>
      </w:r>
    </w:p>
    <w:p>
      <w:pPr>
        <w:pStyle w:val="null3"/>
        <w:outlineLvl w:val="3"/>
      </w:pPr>
      <w:r>
        <w:rPr>
          <w:sz w:val="24"/>
          <w:b/>
        </w:rPr>
        <w:t>3.3.3考核（验收）标准和方法</w:t>
      </w:r>
    </w:p>
    <w:p>
      <w:pPr>
        <w:pStyle w:val="null3"/>
      </w:pPr>
      <w:r>
        <w:rPr/>
        <w:t>采购包1：</w:t>
      </w:r>
    </w:p>
    <w:p>
      <w:pPr>
        <w:pStyle w:val="null3"/>
      </w:pPr>
      <w:r>
        <w:rPr/>
        <w:t>合格</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 合同签订后 </w:t>
      </w:r>
      <w:r>
        <w:rPr/>
        <w:t xml:space="preserve"> ，达到付款条件起 </w:t>
      </w:r>
      <w:r>
        <w:rPr/>
        <w:t>3</w:t>
      </w:r>
      <w:r>
        <w:rPr/>
        <w:t xml:space="preserve"> 日内，支付合同总金额的 </w:t>
      </w:r>
      <w:r>
        <w:rPr/>
        <w:t>50.00</w:t>
      </w:r>
      <w:r>
        <w:rPr/>
        <w:t>%。</w:t>
      </w:r>
    </w:p>
    <w:p>
      <w:pPr>
        <w:pStyle w:val="null3"/>
      </w:pPr>
      <w:r>
        <w:rPr/>
        <w:t>采购包1：</w:t>
      </w:r>
      <w:r>
        <w:rPr/>
        <w:t xml:space="preserve"> 付款条件说明： </w:t>
      </w:r>
      <w:r>
        <w:rPr/>
        <w:t xml:space="preserve"> 成果交付后</w:t>
      </w:r>
      <w:r>
        <w:rPr/>
        <w:t xml:space="preserve"> ，达到付款条件起 </w:t>
      </w:r>
      <w:r>
        <w:rPr/>
        <w:t>3</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按合同约定执行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本采购包不专门面向中小企业采购</w:t>
            </w:r>
          </w:p>
        </w:tc>
        <w:tc>
          <w:tcPr>
            <w:tcW w:type="dxa" w:w="3322"/>
          </w:tcPr>
          <w:p>
            <w:pPr>
              <w:pStyle w:val="null3"/>
            </w:pPr>
            <w:r>
              <w:rPr/>
              <w:t>本采购包不专门面向中小企业采购</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供应商需在项目电子化交易系统中按要求上传相应证明文件并进行电子签章。</w:t>
            </w:r>
          </w:p>
        </w:tc>
        <w:tc>
          <w:tcPr>
            <w:tcW w:type="dxa" w:w="3322"/>
          </w:tcPr>
          <w:p>
            <w:pPr>
              <w:pStyle w:val="null3"/>
            </w:pPr>
            <w:r>
              <w:rPr/>
              <w:t>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税收缴纳证明：提供投标文件截止时间前一年内至少一个月的纳税证明或完税证明；其他组织和自然人提供投标文件截止时间前一年内至少一个月缴纳税收的凭据；或自拟格式内容出具的税收缴纳情况良好的书面承诺，依法免税的投标人应提供相关文件证明；供应商需在项目电子化交易系统中按要求上传相应证明文件并进行电子签章。</w:t>
            </w:r>
          </w:p>
        </w:tc>
        <w:tc>
          <w:tcPr>
            <w:tcW w:type="dxa" w:w="3322"/>
          </w:tcPr>
          <w:p>
            <w:pPr>
              <w:pStyle w:val="null3"/>
            </w:pPr>
            <w:r>
              <w:rPr/>
              <w:t>税收缴纳证明：提供投标文件截止时间前一年内至少一个月的纳税证明或完税证明；其他组织和自然人提供投标文件截止时间前一年内至少一个月缴纳税收的凭据；或自拟格式内容出具的税收缴纳情况良好的书面承诺，依法免税的投标人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会保障资金缴纳证明：提供投标文件截止时间前一年内至少一个月已缴纳的社会保障资金的凭据（专用收据或社会保险缴纳清单）或自拟格式内容出具的社会保障资金缴纳情况良好的书面承诺；依法不需要缴纳社会保障资金的投标人应提供相关文件证明；供应商需在项目电子化交易系统中按要求上传相应证明文件并进行电子签章。</w:t>
            </w:r>
          </w:p>
        </w:tc>
        <w:tc>
          <w:tcPr>
            <w:tcW w:type="dxa" w:w="3322"/>
          </w:tcPr>
          <w:p>
            <w:pPr>
              <w:pStyle w:val="null3"/>
            </w:pPr>
            <w:r>
              <w:rPr/>
              <w:t>社会保障资金缴纳证明：提供投标文件截止时间前一年内至少一个月已缴纳的社会保障资金的凭据（专用收据或社会保险缴纳清单）或自拟格式内容出具的社会保障资金缴纳情况良好的书面承诺；依法不需要缴纳社会保障资金的投标人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出具具有履行合同所必需的设备和专业技术能力的声明；供应商需在项目电子化交易系统中按要求上传相应证明文件并进行电子签章。</w:t>
            </w:r>
          </w:p>
        </w:tc>
        <w:tc>
          <w:tcPr>
            <w:tcW w:type="dxa" w:w="3322"/>
          </w:tcPr>
          <w:p>
            <w:pPr>
              <w:pStyle w:val="null3"/>
            </w:pPr>
            <w:r>
              <w:rPr/>
              <w:t>出具具有履行合同所必需的设备和专业技术能力的声明；供应商需在项目电子化交易系统中按要求上传相应证明文件并进行电子签章。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 3 年内在经营活动中没有重大违法记录的书面声明；供应商需在项目电子化交易系统中按要求上传相应证明文件并进行电子签章。</w:t>
            </w:r>
          </w:p>
        </w:tc>
        <w:tc>
          <w:tcPr>
            <w:tcW w:type="dxa" w:w="3322"/>
          </w:tcPr>
          <w:p>
            <w:pPr>
              <w:pStyle w:val="null3"/>
            </w:pPr>
            <w:r>
              <w:rPr/>
              <w:t>参加政府采购活动前 3 年内在经营活动中没有重大违法记录的书面声明；供应商需在项目电子化交易系统中按要求上传相应证明文件并进行电子签章。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应授权合法的人员参加磋商全过程，其中法定代表人直接参加磋商时须出具法定代表人身份证明及法定代表人身份证；法定代表人授权委托代理人参加磋商时须出具法定代表人授权委托书及委托代理人身份证；供应商需在项目电子化交易系统中按要求上传相应证明文件并进行电子签章。</w:t>
            </w:r>
          </w:p>
        </w:tc>
        <w:tc>
          <w:tcPr>
            <w:tcW w:type="dxa" w:w="3322"/>
          </w:tcPr>
          <w:p>
            <w:pPr>
              <w:pStyle w:val="null3"/>
            </w:pPr>
            <w:r>
              <w:rPr/>
              <w:t>供应商应授权合法的人员参加磋商全过程，其中法定代表人直接参加磋商时须出具法定代表人身份证明及法定代表人身份证；法定代表人授权委托代理人参加磋商时须出具法定代表人授权委托书及委托代理人身份证；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本项目不接受联合体磋商。供应商需在项目电子化交易系统中按要求上传相应证明文件并进行电子签章。</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系统整体技术方案</w:t>
            </w:r>
          </w:p>
        </w:tc>
        <w:tc>
          <w:tcPr>
            <w:tcW w:type="dxa" w:w="2492"/>
          </w:tcPr>
          <w:p>
            <w:pPr>
              <w:pStyle w:val="null3"/>
            </w:pPr>
            <w:r>
              <w:rPr/>
              <w:t>根据投标人针对本项目提出的系统整体技术方案和20个应用模块，及对用户需求的理解程度等进行横向综合评审，以技术方案的业务模型、技术架构、数据架构、部署方案以及符合国家相关标准和规范、满足用户要求等情况，综合比较评分。①方案全面、提供的系统整体技术方案与本项目实际情况结合紧密易于实施的，得[5-6]分；②方案较为合理、提供的系统整体技术方案与本项目实际情况结合较为紧密可以实施的，得[3-4)分；③方案对需求理解较差、目标理解片面，不符合上述两种情形的，得(0-2)分；④未完全提供20项应用功能此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软件功能1</w:t>
            </w:r>
          </w:p>
        </w:tc>
        <w:tc>
          <w:tcPr>
            <w:tcW w:type="dxa" w:w="2492"/>
          </w:tcPr>
          <w:p>
            <w:pPr>
              <w:pStyle w:val="null3"/>
            </w:pPr>
            <w:r>
              <w:rPr/>
              <w:t>司法数据融合处理中心。投标人需针对本项目采购要求，在技术建议书中提供完整合理的设计方案。方案合理且符合技术要求，功能满足法院业务实际需求，需要提供司法数据融合血缘关系系统功能截图，根据响应情况综合比较评分。①设计方案内容全面详细，功能符合法院业务实际的，得[4-5]分；②设计方案措施内容完整，能基本满足项目需求的，得[3-4)分； ③不符合上述情形的得[0-2)分；④未提供司法数据融合血缘关系系统功能截图不得分。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软件功能2</w:t>
            </w:r>
          </w:p>
        </w:tc>
        <w:tc>
          <w:tcPr>
            <w:tcW w:type="dxa" w:w="2492"/>
          </w:tcPr>
          <w:p>
            <w:pPr>
              <w:pStyle w:val="null3"/>
            </w:pPr>
            <w:r>
              <w:rPr/>
              <w:t>可视化工具。投标人需针对本项目采购要求，在技术建议书中提供完整合理的可视化工具设计方案及可视化工具截图。方案合理且符合技术要求，功能满足法院业务实际，根据响应情况综合比较评分。①方案完整详细，符合法院业务实际的，得 [4-5]分；②方案较完整，方案可行性较强，大部分能够体现采购需求的，得[2-3)分；③方案一般，基本能体现采购需求的，计（0-1）分；④未提供可视化工具截图不得分。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软件功能3</w:t>
            </w:r>
          </w:p>
        </w:tc>
        <w:tc>
          <w:tcPr>
            <w:tcW w:type="dxa" w:w="2492"/>
          </w:tcPr>
          <w:p>
            <w:pPr>
              <w:pStyle w:val="null3"/>
            </w:pPr>
            <w:r>
              <w:rPr/>
              <w:t>预警管理可视化。投标人需针对本项目采购要求，在方案中提供预警管理可视化模块完整合理的设计方案。方案合理且功能符合预警管理可视化各项要素，根据响应情况综合比较评分。①方案完整详细，符合法院业务实际的，得 [2-3]分；②方案较完整，方案可行性较强，大部分能够体现采购需求的，得[1-2)分；③方案一般，基本能体现采购需求的，计（0-1）分；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软件功能4</w:t>
            </w:r>
          </w:p>
        </w:tc>
        <w:tc>
          <w:tcPr>
            <w:tcW w:type="dxa" w:w="2492"/>
          </w:tcPr>
          <w:p>
            <w:pPr>
              <w:pStyle w:val="null3"/>
            </w:pPr>
            <w:r>
              <w:rPr/>
              <w:t>新版审判质效管理。投标人需针对本项目采购要求，在技术建议书中提供完整合理的设计方案。方案合理且功能符合法院业务实际，根据响应情况综合比较评分。①方案完整详细，符合法院业务实际的，得 [2-3]分；②方案较完整，方案可行性较强，大部分能够体现采购需求的，得[1-2)分；③方案一般，基本能体现采购需求的，计（0-1）分；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软件功能5</w:t>
            </w:r>
          </w:p>
        </w:tc>
        <w:tc>
          <w:tcPr>
            <w:tcW w:type="dxa" w:w="2492"/>
          </w:tcPr>
          <w:p>
            <w:pPr>
              <w:pStyle w:val="null3"/>
            </w:pPr>
            <w:r>
              <w:rPr/>
              <w:t>新版执行质效管理。投标人需针对本项目采购要求，在技术建议书中提供完整合理的设计方案。方案合理且功能符合法院业务实际，根据响应情况综合比较评分。①方案完整详细，符合法院业务实际的，得 [2-3]分；②方案较完整，方案可行性较强，大部分能够体现采购需求的，得[1-2)分；③方案一般，基本能体现采购需求的，计（0-1）分；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软件功能6</w:t>
            </w:r>
          </w:p>
        </w:tc>
        <w:tc>
          <w:tcPr>
            <w:tcW w:type="dxa" w:w="2492"/>
          </w:tcPr>
          <w:p>
            <w:pPr>
              <w:pStyle w:val="null3"/>
            </w:pPr>
            <w:r>
              <w:rPr/>
              <w:t>新版绩效考核模块。投标人需针对本项目采购要求，在技术建议书中提供完整合理的设计方案。方案合理且功能符合法院绩效考核业务实际，需要提供法院业绩考核系统截图，根据响应情况综合比较评分。①方案完整详细，符合法院业务实际的，得 [4-5]分；②方案较完整，方案可行性较强，大部分能够体现采购需求的，得[2-4)分；③方案一般，基本能体现采购需求的，计（0-1）分；④未提供法院业绩考核系统截图不得分。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软件功能7</w:t>
            </w:r>
          </w:p>
        </w:tc>
        <w:tc>
          <w:tcPr>
            <w:tcW w:type="dxa" w:w="2492"/>
          </w:tcPr>
          <w:p>
            <w:pPr>
              <w:pStyle w:val="null3"/>
            </w:pPr>
            <w:r>
              <w:rPr/>
              <w:t>新版法官画像。投标人需针对本项目采购要求，在技术建议书中提供完整合理的设计方案。需要提供法官画像系统截图，方案合理且功能符合法官画像业务实际，根据响应情况综合比较评分。①方案完整详细，符合法院业务实际的，得 [4-5]分；②方案较完整，方案可行性较强，大部分能够体现采购需求的，得[2-4)分；③方案一般，基本能体现采购需求的，计（0-1）分；④未提供法院画像系统截图不得分。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软件功能8</w:t>
            </w:r>
          </w:p>
        </w:tc>
        <w:tc>
          <w:tcPr>
            <w:tcW w:type="dxa" w:w="2492"/>
          </w:tcPr>
          <w:p>
            <w:pPr>
              <w:pStyle w:val="null3"/>
            </w:pPr>
            <w:r>
              <w:rPr/>
              <w:t>案件折算优化升级。投标人需针对本项目采购要求，在技术建议书中提供完整合理的设计方案。需提供案件折算审批流程系统截图，方案合理且功能符合法院案件折算业务实际，根据响应情况综合比较评分。①方案完整详细，符合法院业务实际的，得 [4-5]分；②方案较完整，方案可行性较强，大部分能够体现采购需求的，得[2-4)分；③方案一般，基本能体现采购需求的，计（0-1）分；④未提供案件折算审批流程截图不得分。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软件功能9</w:t>
            </w:r>
          </w:p>
        </w:tc>
        <w:tc>
          <w:tcPr>
            <w:tcW w:type="dxa" w:w="2492"/>
          </w:tcPr>
          <w:p>
            <w:pPr>
              <w:pStyle w:val="null3"/>
            </w:pPr>
            <w:r>
              <w:rPr/>
              <w:t>本地个性化报表模块。投标人需针对本项目采购要求，在技术建议书中提供完整合理的设计方案。需要重点描述发改案件详情分析、长期未结案清单两个个性化报表的业务加工过程和系统截图，方案合理且功能符合法院业务实际，根据响应情况综合比较评分。①方案完整详细，符合法院业务实际的，得 [3-4]分；②方案较完整，方案可行性较强，大部分能够体现采购需求的，得[2-3)分；③方案一般，基本能体现采购需求的，计（0-1）分；④未提供发改案件详情分析、长期未结案清单两个个性化报表的业务加工过程和系统截图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软件功能10</w:t>
            </w:r>
          </w:p>
        </w:tc>
        <w:tc>
          <w:tcPr>
            <w:tcW w:type="dxa" w:w="2492"/>
          </w:tcPr>
          <w:p>
            <w:pPr>
              <w:pStyle w:val="null3"/>
            </w:pPr>
            <w:r>
              <w:rPr/>
              <w:t>案件智能检索升级改造。投标人需针对本项目采购要求，在技术建议书中提供完整合理的设计方案。方案合理且案件智能检索功能符合法院业务实际，根据响应情况综合比较评分。①方案完整详细，符合法院业务实际的，得 [3-4]分；②方案较完整，方案可行性较强，大部分能够体现采购需求的，得[2-3)分；③方案一般，基本能体现采购需求的，计（0-1）分；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软件功能11</w:t>
            </w:r>
          </w:p>
        </w:tc>
        <w:tc>
          <w:tcPr>
            <w:tcW w:type="dxa" w:w="2492"/>
          </w:tcPr>
          <w:p>
            <w:pPr>
              <w:pStyle w:val="null3"/>
            </w:pPr>
            <w:r>
              <w:rPr/>
              <w:t>审判管理工作通报自动生成。投标人需针对本项目采购要求，在技术建议书中提供完整合理的设计方案。方案合理且功能符合法院业务实际，根据响应情况综合比较评分。①方案完整详细，符合法院业务实际的，得 [3-4]分；②方案较完整，方案可行性较强，大部分能够体现采购需求的，得[2-3)分；③方案一般，基本能体现采购需求的，计（0-1）分；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软件功能12</w:t>
            </w:r>
          </w:p>
        </w:tc>
        <w:tc>
          <w:tcPr>
            <w:tcW w:type="dxa" w:w="2492"/>
          </w:tcPr>
          <w:p>
            <w:pPr>
              <w:pStyle w:val="null3"/>
            </w:pPr>
            <w:r>
              <w:rPr/>
              <w:t>重点工作管理模块。投标人需针对本项目采购要求，在技术建议书中提供完整合理的设计方案。需要提供工作实时进展状态的“三色灯”功能截图，方案合理且功能符合法院业务实际，根据响应情况综合比较评分。①方案完整详细，符合法院业务实际的，得 [4-5]分；②方案较完整，方案可行性较强，大部分能够体现采购需求的，得[2-3)分；③方案一般，基本能体现采购需求的，计（0-1）分；④未提供工作实时进展状态的“三色灯”功能截图不得分。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软件功能13</w:t>
            </w:r>
          </w:p>
        </w:tc>
        <w:tc>
          <w:tcPr>
            <w:tcW w:type="dxa" w:w="2492"/>
          </w:tcPr>
          <w:p>
            <w:pPr>
              <w:pStyle w:val="null3"/>
            </w:pPr>
            <w:r>
              <w:rPr/>
              <w:t>重点任务交互服务。投标人需针对本项目采购要求，在技术建议书中提供完整合理的设计方案。方案合理且功能符合法院业务实际，根据响应情况综合比较评分。①方案完整详细，符合法院业务实际的，得 [2-3]分；②方案较完整，方案可行性较强，大部分能够体现采购需求的，得[1-2)分；③方案一般，基本能体现采购需求的，计（0-1）分；④未提供不得分。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软件功能14</w:t>
            </w:r>
          </w:p>
        </w:tc>
        <w:tc>
          <w:tcPr>
            <w:tcW w:type="dxa" w:w="2492"/>
          </w:tcPr>
          <w:p>
            <w:pPr>
              <w:pStyle w:val="null3"/>
            </w:pPr>
            <w:r>
              <w:rPr/>
              <w:t>重点任务统计分析。投标人需针对本项目采购要求，在技术建议书中提供完整合理的设计方案。方案合理且功能符合法院业务实际，根据响应情况综合比较评分。①方案完整详细，符合法院业务实际的，得 [2-3]分；②方案较完整，方案可行性较强，大部分能够体现采购需求的，得[1-2)分；③方案一般，基本能体现采购需求的，计（0-1）分；④未提供不得分。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根据供应商提供的拟投入本项目人员，团队组成结构、工作分配，由评委进行综合评价。 ①人员配备充足，分工明确且合理，岗位职责清晰计[4-5]分；②人员配备较充足，分工明确较合理，岗位职责较清晰计[2-3)分；③人员配备不充足，分工不明确，岗位职责不清晰计（0-1）分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供应商应提交的相关资格证明材料</w:t>
            </w:r>
          </w:p>
        </w:tc>
      </w:tr>
      <w:tr>
        <w:tc>
          <w:tcPr>
            <w:tcW w:type="dxa" w:w="831"/>
            <w:vMerge/>
          </w:tcPr>
          <w:p/>
        </w:tc>
        <w:tc>
          <w:tcPr>
            <w:tcW w:type="dxa" w:w="1661"/>
          </w:tcPr>
          <w:p>
            <w:pPr>
              <w:pStyle w:val="null3"/>
            </w:pPr>
            <w:r>
              <w:rPr/>
              <w:t>售后服务</w:t>
            </w:r>
          </w:p>
        </w:tc>
        <w:tc>
          <w:tcPr>
            <w:tcW w:type="dxa" w:w="2492"/>
          </w:tcPr>
          <w:p>
            <w:pPr>
              <w:pStyle w:val="null3"/>
            </w:pPr>
            <w:r>
              <w:rPr/>
              <w:t>具有快速的售后服务响应及良好的问题解决能力。提供售后服务承诺书。①售后服务内容全面详细，确保为本项目提供完善的售后服务方案计[3-4]分; ②方案内容完整，能基本满足项目正常进行的计[1-2)分; ③不符合上述情形的计[0-1)分。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自 2020年1月1日起至投标截止日，每提供一份有效类似业绩合同得 5 分，最高得10分。(以提供的合同或中标（成交）通知书的复印件为准，时间以合同签订时间或中标（成交）通知书时间为准。)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供应商应提交的相关资格证明材料</w:t>
            </w:r>
          </w:p>
        </w:tc>
      </w:tr>
      <w:tr>
        <w:tc>
          <w:tcPr>
            <w:tcW w:type="dxa" w:w="831"/>
            <w:vMerge/>
          </w:tcPr>
          <w:p/>
        </w:tc>
        <w:tc>
          <w:tcPr>
            <w:tcW w:type="dxa" w:w="1661"/>
          </w:tcPr>
          <w:p>
            <w:pPr>
              <w:pStyle w:val="null3"/>
            </w:pPr>
            <w:r>
              <w:rPr/>
              <w:t>企业软件能力</w:t>
            </w:r>
          </w:p>
        </w:tc>
        <w:tc>
          <w:tcPr>
            <w:tcW w:type="dxa" w:w="2492"/>
          </w:tcPr>
          <w:p>
            <w:pPr>
              <w:pStyle w:val="null3"/>
            </w:pPr>
            <w:r>
              <w:rPr/>
              <w:t>（1）投标人具有CMMI5级认证证书，得2分，没有不得分； （2）投标人具备有效期内的质量管理体系认证证书（ISO9001），得2分，没有不得分； （3）投标人具有司法数据中台软件著作权，得2分，没有不得分； （4）投标人具有法院审判质效数据分析评估系统软件著作权，得2分，没有不得分。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满足磋商文件商务及技术要求且最后报价最低的供应商的价格为磋商基准价，其价格分为满分。 报价得分= (磋商基准价/最后磋商报价) *价格分值 注：若符合政策性扣减，用扣除后的价格参与评审。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