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DIP医保智能审核平台</w:t>
      </w:r>
    </w:p>
    <w:p>
      <w:pPr>
        <w:pStyle w:val="null3"/>
        <w:jc w:val="center"/>
        <w:outlineLvl w:val="2"/>
      </w:pPr>
      <w:r>
        <w:rPr>
          <w:sz w:val="28"/>
          <w:b/>
        </w:rPr>
        <w:t>采购项目编号：</w:t>
      </w:r>
      <w:r>
        <w:rPr>
          <w:sz w:val="28"/>
          <w:b/>
        </w:rPr>
        <w:t>SCZD2024-ZB-2694-001</w:t>
      </w:r>
      <w:r>
        <w:br/>
      </w:r>
      <w:r>
        <w:br/>
      </w:r>
      <w:r>
        <w:br/>
      </w:r>
    </w:p>
    <w:p>
      <w:pPr>
        <w:pStyle w:val="null3"/>
        <w:jc w:val="center"/>
        <w:outlineLvl w:val="2"/>
      </w:pPr>
      <w:r>
        <w:rPr>
          <w:sz w:val="28"/>
          <w:b/>
        </w:rPr>
        <w:t>汉中市中医医院</w:t>
      </w:r>
    </w:p>
    <w:p>
      <w:pPr>
        <w:pStyle w:val="null3"/>
        <w:jc w:val="center"/>
        <w:outlineLvl w:val="2"/>
      </w:pPr>
      <w:r>
        <w:rPr>
          <w:sz w:val="28"/>
          <w:b/>
        </w:rPr>
        <w:t>陕西省采购招标有限责任公司</w:t>
      </w:r>
      <w:r>
        <w:rPr>
          <w:sz w:val="28"/>
          <w:b/>
        </w:rPr>
        <w:t>共同编制</w:t>
      </w:r>
    </w:p>
    <w:p>
      <w:pPr>
        <w:pStyle w:val="null3"/>
        <w:jc w:val="center"/>
        <w:outlineLvl w:val="2"/>
      </w:pPr>
      <w:r>
        <w:rPr>
          <w:sz w:val="28"/>
          <w:b/>
        </w:rPr>
        <w:t>2024年11月26日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陕西省采购招标有限责任公司</w:t>
      </w:r>
      <w:r>
        <w:rPr/>
        <w:t>（以下简称“代理机构”）受</w:t>
      </w:r>
      <w:r>
        <w:rPr/>
        <w:t>汉中市中医医院</w:t>
      </w:r>
      <w:r>
        <w:rPr/>
        <w:t>委托，拟对</w:t>
      </w:r>
      <w:r>
        <w:rPr/>
        <w:t>DIP医保智能审核平台</w:t>
      </w:r>
      <w:r>
        <w:rPr/>
        <w:t>进行国内公开招标，兹邀请符合本次招标要求的供应商参加投标。</w:t>
      </w:r>
    </w:p>
    <w:p>
      <w:pPr>
        <w:pStyle w:val="null3"/>
        <w:outlineLvl w:val="2"/>
      </w:pPr>
      <w:r>
        <w:rPr>
          <w:sz w:val="28"/>
          <w:b/>
        </w:rPr>
        <w:t>一、采购项目编号：</w:t>
      </w:r>
      <w:r>
        <w:rPr>
          <w:sz w:val="28"/>
          <w:b/>
        </w:rPr>
        <w:t>SCZD2024-ZB-2694-001</w:t>
      </w:r>
    </w:p>
    <w:p>
      <w:pPr>
        <w:pStyle w:val="null3"/>
        <w:outlineLvl w:val="2"/>
      </w:pPr>
      <w:r>
        <w:rPr>
          <w:sz w:val="28"/>
          <w:b/>
        </w:rPr>
        <w:t>二、采购项目名称：</w:t>
      </w:r>
      <w:r>
        <w:rPr>
          <w:sz w:val="28"/>
          <w:b/>
        </w:rPr>
        <w:t>DIP医保智能审核平台</w:t>
      </w:r>
    </w:p>
    <w:p>
      <w:pPr>
        <w:pStyle w:val="null3"/>
        <w:outlineLvl w:val="2"/>
      </w:pPr>
      <w:r>
        <w:rPr>
          <w:sz w:val="28"/>
          <w:b/>
        </w:rPr>
        <w:t>三、招标项目简介</w:t>
      </w:r>
    </w:p>
    <w:p>
      <w:pPr>
        <w:pStyle w:val="null3"/>
        <w:ind w:firstLine="480"/>
      </w:pPr>
      <w:r>
        <w:rPr/>
        <w:t>汉中市中医医院DIP医保智能审核平台服务采购。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采购包1（DIP医保智能审核平台采购项目）：属于专门面向中小企业采购。</w:t>
      </w:r>
    </w:p>
    <w:p>
      <w:pPr>
        <w:pStyle w:val="null3"/>
        <w:ind w:firstLine="480"/>
      </w:pPr>
      <w:r>
        <w:rPr/>
        <w:t>（三）本项目的特定资格要求：</w:t>
      </w:r>
    </w:p>
    <w:p>
      <w:pPr>
        <w:pStyle w:val="null3"/>
      </w:pPr>
      <w:r>
        <w:rPr/>
        <w:t>采购包1：</w:t>
      </w:r>
    </w:p>
    <w:p>
      <w:pPr>
        <w:pStyle w:val="null3"/>
      </w:pPr>
      <w:r>
        <w:rPr/>
        <w:t>1、投标人在递交投标文件截止时间前被“信用中国”网站（www.creditchina.gov.cn）和中国政府采购网（www.ccgp.gov.cn）上被列入失信被执行人、重大税收违法失信主体、政府采购严重违法失信行为记录名单的，不得参加投标；：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t>2、投标人参加本项目的合法授权人授权委托书；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p>
      <w:pPr>
        <w:pStyle w:val="null3"/>
      </w:pPr>
      <w:r>
        <w:rPr/>
        <w:t>3、供应商不得存在下列情形之一：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汉中市中医医院</w:t>
      </w:r>
    </w:p>
    <w:p>
      <w:pPr>
        <w:pStyle w:val="null3"/>
      </w:pPr>
      <w:r>
        <w:rPr/>
        <w:t xml:space="preserve"> 地址： </w:t>
      </w:r>
      <w:r>
        <w:rPr/>
        <w:t>汉中市南郑区大河坎镇东昌街8号</w:t>
      </w:r>
    </w:p>
    <w:p>
      <w:pPr>
        <w:pStyle w:val="null3"/>
      </w:pPr>
      <w:r>
        <w:rPr/>
        <w:t xml:space="preserve"> 邮编： </w:t>
      </w:r>
      <w:r>
        <w:rPr/>
        <w:t>723102</w:t>
      </w:r>
    </w:p>
    <w:p>
      <w:pPr>
        <w:pStyle w:val="null3"/>
      </w:pPr>
      <w:r>
        <w:rPr/>
        <w:t xml:space="preserve"> 联系人： </w:t>
      </w:r>
      <w:r>
        <w:rPr/>
        <w:t>汉中市中医医院</w:t>
      </w:r>
    </w:p>
    <w:p>
      <w:pPr>
        <w:pStyle w:val="null3"/>
      </w:pPr>
      <w:r>
        <w:rPr/>
        <w:t xml:space="preserve"> 联系电话： </w:t>
      </w:r>
      <w:r>
        <w:rPr/>
        <w:t>0916--5300351</w:t>
      </w:r>
    </w:p>
    <w:p>
      <w:pPr>
        <w:pStyle w:val="null3"/>
        <w:outlineLvl w:val="2"/>
      </w:pPr>
      <w:r>
        <w:rPr>
          <w:sz w:val="28"/>
          <w:b/>
        </w:rPr>
        <w:t>代理机构：</w:t>
      </w:r>
      <w:r>
        <w:rPr>
          <w:sz w:val="28"/>
          <w:b/>
        </w:rPr>
        <w:t>陕西省采购招标有限责任公司</w:t>
      </w:r>
    </w:p>
    <w:p>
      <w:pPr>
        <w:pStyle w:val="null3"/>
      </w:pPr>
      <w:r>
        <w:rPr/>
        <w:t xml:space="preserve"> 地址： </w:t>
      </w:r>
      <w:r>
        <w:rPr/>
        <w:t>西安市高新二路2号山西证券大厦八层</w:t>
      </w:r>
    </w:p>
    <w:p>
      <w:pPr>
        <w:pStyle w:val="null3"/>
      </w:pPr>
      <w:r>
        <w:rPr/>
        <w:t xml:space="preserve"> 邮编： </w:t>
      </w:r>
      <w:r>
        <w:rPr/>
        <w:t>710075</w:t>
      </w:r>
    </w:p>
    <w:p>
      <w:pPr>
        <w:pStyle w:val="null3"/>
      </w:pPr>
      <w:r>
        <w:rPr/>
        <w:t xml:space="preserve"> 联系人： </w:t>
      </w:r>
      <w:r>
        <w:rPr/>
        <w:t>王一博、雷鹏</w:t>
      </w:r>
    </w:p>
    <w:p>
      <w:pPr>
        <w:pStyle w:val="null3"/>
      </w:pPr>
      <w:r>
        <w:rPr/>
        <w:t xml:space="preserve"> 联系电话： </w:t>
      </w:r>
      <w:r>
        <w:rPr/>
        <w:t>029-88497916</w:t>
      </w:r>
    </w:p>
    <w:p>
      <w:pPr>
        <w:pStyle w:val="null3"/>
        <w:outlineLvl w:val="2"/>
      </w:pPr>
      <w:r>
        <w:rPr>
          <w:sz w:val="28"/>
          <w:b/>
        </w:rPr>
        <w:t>采购监督机构：</w:t>
      </w:r>
      <w:r>
        <w:rPr>
          <w:sz w:val="28"/>
          <w:b/>
        </w:rPr>
        <w:t>汉中市财政局政府采购管理科</w:t>
      </w:r>
    </w:p>
    <w:p>
      <w:pPr>
        <w:pStyle w:val="null3"/>
        <w:ind w:firstLine="480"/>
      </w:pPr>
      <w:r>
        <w:rPr/>
        <w:t>联系人：</w:t>
      </w:r>
      <w:r>
        <w:rPr/>
        <w:t>陈明新</w:t>
      </w:r>
    </w:p>
    <w:p>
      <w:pPr>
        <w:pStyle w:val="null3"/>
        <w:ind w:firstLine="480"/>
      </w:pPr>
      <w:r>
        <w:rPr/>
        <w:t>联系电话：</w:t>
      </w:r>
      <w:r>
        <w:rPr/>
        <w:t>0916-2514015</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采购包1保证金金额：15,000.00元</w:t>
            </w:r>
          </w:p>
          <w:p>
            <w:pPr>
              <w:pStyle w:val="null3"/>
            </w:pPr>
            <w:r>
              <w:rPr/>
              <w:t>缴交渠道：转账、支票、汇票等（需通过实体账户、户名及开户行信息）,电子保函</w:t>
            </w:r>
          </w:p>
          <w:p>
            <w:pPr>
              <w:pStyle w:val="null3"/>
            </w:pPr>
            <w:r>
              <w:rPr/>
              <w:t>开户名称：陕西省采购招标有限责任公司</w:t>
            </w:r>
          </w:p>
          <w:p>
            <w:pPr>
              <w:pStyle w:val="null3"/>
            </w:pPr>
            <w:r>
              <w:rPr/>
              <w:t>开户银行：中国银行西安南郊支行营业部</w:t>
            </w:r>
          </w:p>
          <w:p>
            <w:pPr>
              <w:pStyle w:val="null3"/>
            </w:pPr>
            <w:r>
              <w:rPr/>
              <w:t>银行账号：102062457575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代理服务费收费标准：参照原国家计委计价格〔2002〕1980号文和国家发改委发改办价格〔2003〕857号文的计算方法按照标准计算收取。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汉中市中医医院</w:t>
      </w:r>
      <w:r>
        <w:rPr/>
        <w:t>和</w:t>
      </w:r>
      <w:r>
        <w:rPr/>
        <w:t>陕西省采购招标有限责任公司</w:t>
      </w:r>
      <w:r>
        <w:rPr/>
        <w:t>享有。对招标文件中供应商参加本次政府采购活动应当具备的条件，招标项目技术、服务、商务及其他要求，评标细则及标准由</w:t>
      </w:r>
      <w:r>
        <w:rPr/>
        <w:t>汉中市中医医院</w:t>
      </w:r>
      <w:r>
        <w:rPr/>
        <w:t>负责解释。除上述招标文件内容，其他内容由</w:t>
      </w:r>
      <w:r>
        <w:rPr/>
        <w:t>陕西省采购招标有限责任公司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汉中市中医医院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陕西省采购招标有限责任公司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详见拟签订的合同文本</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陕西省采购招标有限责任公司</w:t>
      </w:r>
      <w:r>
        <w:rPr/>
        <w:t xml:space="preserve"> 负责答复；供应商对除采购需求外的采购文件的询问、质疑由</w:t>
      </w:r>
      <w:r>
        <w:rPr/>
        <w:t>陕西省采购招标有限责任公司</w:t>
      </w:r>
      <w:r>
        <w:rPr/>
        <w:t xml:space="preserve"> 负责答复；供应商对采购过程、采购结果的询问、质疑由 </w:t>
      </w:r>
      <w:r>
        <w:rPr/>
        <w:t>陕西省采购招标有限责任公司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联系人：综合办公室</w:t>
      </w:r>
    </w:p>
    <w:p>
      <w:pPr>
        <w:pStyle w:val="null3"/>
      </w:pPr>
      <w:r>
        <w:rPr/>
        <w:t>联系电话：029-85235014</w:t>
      </w:r>
    </w:p>
    <w:p>
      <w:pPr>
        <w:pStyle w:val="null3"/>
      </w:pPr>
      <w:r>
        <w:rPr/>
        <w:t>地址：西安市高新二路2号山西证券大厦八层</w:t>
      </w:r>
    </w:p>
    <w:p>
      <w:pPr>
        <w:pStyle w:val="null3"/>
      </w:pPr>
      <w:r>
        <w:rPr/>
        <w:t>邮编：710075</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汉中市中医医院DIP医保智能审核平台服务采购。</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800,000.00</w:t>
      </w:r>
    </w:p>
    <w:p>
      <w:pPr>
        <w:pStyle w:val="null3"/>
      </w:pPr>
      <w:r>
        <w:rPr/>
        <w:t>采购包最高限价（元）: 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DIP医保智能审核平台</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集成及实施调试</w:t>
            </w:r>
          </w:p>
        </w:tc>
        <w:tc>
          <w:tcPr>
            <w:tcW w:type="dxa" w:w="831"/>
          </w:tcPr>
          <w:p>
            <w:pPr>
              <w:pStyle w:val="null3"/>
              <w:jc w:val="right"/>
            </w:pPr>
            <w:r>
              <w:rPr/>
              <w:t>1.00</w:t>
            </w:r>
          </w:p>
        </w:tc>
        <w:tc>
          <w:tcPr>
            <w:tcW w:type="dxa" w:w="831"/>
          </w:tcPr>
          <w:p>
            <w:pPr>
              <w:pStyle w:val="null3"/>
              <w:jc w:val="right"/>
            </w:pPr>
            <w:r>
              <w:rPr/>
              <w:t>200,000.00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标的名称：DIP医保智能审核平台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6"/>
              <w:gridCol w:w="417"/>
              <w:gridCol w:w="1919"/>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系统</w:t>
                  </w:r>
                </w:p>
              </w:tc>
              <w:tc>
                <w:tcPr>
                  <w:tcW w:type="dxa" w:w="4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功能模块</w:t>
                  </w:r>
                </w:p>
              </w:tc>
              <w:tc>
                <w:tcPr>
                  <w:tcW w:type="dxa" w:w="19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详细技术参数、性能要求</w:t>
                  </w:r>
                </w:p>
              </w:tc>
            </w:tr>
            <w:tr>
              <w:tc>
                <w:tcPr>
                  <w:tcW w:type="dxa" w:w="2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DIP医保智能审核平台</w:t>
                  </w:r>
                </w:p>
              </w:tc>
              <w:tc>
                <w:tcPr>
                  <w:tcW w:type="dxa" w:w="4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DIP管理</w:t>
                  </w:r>
                </w:p>
              </w:tc>
              <w:tc>
                <w:tcPr>
                  <w:tcW w:type="dxa" w:w="1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DIP分组：</w:t>
                  </w:r>
                </w:p>
                <w:p>
                  <w:pPr>
                    <w:pStyle w:val="null3"/>
                    <w:ind w:firstLine="482"/>
                    <w:jc w:val="left"/>
                  </w:pPr>
                  <w:r>
                    <w:rPr>
                      <w:rFonts w:ascii="times new roman, times, serif" w:hAnsi="times new roman, times, serif" w:cs="times new roman, times, serif" w:eastAsia="times new roman, times, serif"/>
                      <w:sz w:val="24"/>
                      <w:b/>
                    </w:rPr>
                    <w:t>▲</w:t>
                  </w:r>
                  <w:r>
                    <w:rPr>
                      <w:rFonts w:ascii="仿宋" w:hAnsi="仿宋" w:cs="仿宋" w:eastAsia="仿宋"/>
                      <w:sz w:val="24"/>
                    </w:rPr>
                    <w:t>1.系统按照按病种分值(DIP)付费病种库2.0版技术规范中的分组规则进行病例入组操作；系统支持与院内业务业务系统对接，直接实现住院医生在业务系统进行DIP分组相关操作，无须切换业务系统。</w:t>
                  </w:r>
                </w:p>
                <w:p>
                  <w:pPr>
                    <w:pStyle w:val="null3"/>
                    <w:ind w:firstLine="480"/>
                    <w:jc w:val="left"/>
                  </w:pPr>
                  <w:r>
                    <w:rPr>
                      <w:rFonts w:ascii="仿宋" w:hAnsi="仿宋" w:cs="仿宋" w:eastAsia="仿宋"/>
                      <w:sz w:val="24"/>
                    </w:rPr>
                    <w:t>2.</w:t>
                  </w:r>
                  <w:r>
                    <w:rPr>
                      <w:rFonts w:ascii="仿宋" w:hAnsi="仿宋" w:cs="仿宋" w:eastAsia="仿宋"/>
                      <w:sz w:val="24"/>
                    </w:rPr>
                    <w:t>系统实现对</w:t>
                  </w:r>
                  <w:r>
                    <w:rPr>
                      <w:rFonts w:ascii="仿宋" w:hAnsi="仿宋" w:cs="仿宋" w:eastAsia="仿宋"/>
                      <w:sz w:val="24"/>
                    </w:rPr>
                    <w:t>DIP相关核心指标进行测算，包括RW、CMI、点值（费率）、分值点值、病案质量指数、药品分值、耗材分值、CCI 指数(并发症/ 合并症指数）、病案质量指数、再次入院评分、低标入院评分、超长住院评分、死亡风险评分等一系列指标值，同时推送至DIP分组字典管理中，形成DIP指标标准数据库。</w:t>
                  </w:r>
                </w:p>
                <w:p>
                  <w:pPr>
                    <w:pStyle w:val="null3"/>
                    <w:ind w:firstLine="480"/>
                    <w:jc w:val="left"/>
                  </w:pPr>
                  <w:r>
                    <w:rPr>
                      <w:rFonts w:ascii="仿宋" w:hAnsi="仿宋" w:cs="仿宋" w:eastAsia="仿宋"/>
                      <w:sz w:val="24"/>
                    </w:rPr>
                    <w:t>3.</w:t>
                  </w:r>
                  <w:r>
                    <w:rPr>
                      <w:rFonts w:ascii="仿宋" w:hAnsi="仿宋" w:cs="仿宋" w:eastAsia="仿宋"/>
                      <w:sz w:val="24"/>
                    </w:rPr>
                    <w:t>支持提供预入组与归档后的医保入组的一致性分析，并提供当年的趋势图。</w:t>
                  </w:r>
                </w:p>
              </w:tc>
            </w:tr>
            <w:tr>
              <w:tc>
                <w:tcPr>
                  <w:tcW w:type="dxa" w:w="216"/>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b/>
                    </w:rPr>
                    <w:t>事前预警提醒：</w:t>
                  </w:r>
                </w:p>
                <w:p>
                  <w:pPr>
                    <w:pStyle w:val="null3"/>
                    <w:ind w:firstLine="482"/>
                    <w:jc w:val="both"/>
                  </w:pPr>
                  <w:r>
                    <w:rPr>
                      <w:rFonts w:ascii="times new roman, times, serif" w:hAnsi="times new roman, times, serif" w:cs="times new roman, times, serif" w:eastAsia="times new roman, times, serif"/>
                      <w:sz w:val="24"/>
                      <w:b/>
                    </w:rPr>
                    <w:t>▲</w:t>
                  </w:r>
                  <w:r>
                    <w:rPr>
                      <w:rFonts w:ascii="仿宋" w:hAnsi="仿宋" w:cs="仿宋" w:eastAsia="仿宋"/>
                      <w:sz w:val="24"/>
                    </w:rPr>
                    <w:t>1.系统实现在病人住院期间，根据当前病案首页信息的预入组展示具体对应分组的实际费用、费用构成等信息，并与标准指标值进行对比分析、展示；</w:t>
                  </w:r>
                </w:p>
                <w:p>
                  <w:pPr>
                    <w:pStyle w:val="null3"/>
                    <w:ind w:firstLine="480"/>
                    <w:jc w:val="both"/>
                  </w:pPr>
                  <w:r>
                    <w:rPr>
                      <w:rFonts w:ascii="仿宋" w:hAnsi="仿宋" w:cs="仿宋" w:eastAsia="仿宋"/>
                      <w:sz w:val="24"/>
                    </w:rPr>
                    <w:t>2.</w:t>
                  </w:r>
                  <w:r>
                    <w:rPr>
                      <w:rFonts w:ascii="仿宋" w:hAnsi="仿宋" w:cs="仿宋" w:eastAsia="仿宋"/>
                      <w:sz w:val="24"/>
                    </w:rPr>
                    <w:t>对入组异常或费用异常病例进行实时预警；</w:t>
                  </w:r>
                </w:p>
                <w:p>
                  <w:pPr>
                    <w:pStyle w:val="null3"/>
                    <w:ind w:firstLine="480"/>
                    <w:jc w:val="both"/>
                  </w:pPr>
                  <w:r>
                    <w:rPr>
                      <w:rFonts w:ascii="仿宋" w:hAnsi="仿宋" w:cs="仿宋" w:eastAsia="仿宋"/>
                      <w:sz w:val="24"/>
                    </w:rPr>
                    <w:t>3.</w:t>
                  </w:r>
                  <w:r>
                    <w:rPr>
                      <w:rFonts w:ascii="仿宋" w:hAnsi="仿宋" w:cs="仿宋" w:eastAsia="仿宋"/>
                      <w:sz w:val="24"/>
                    </w:rPr>
                    <w:t>支持个性化定制具体院内费用管控值，实时对标预警值，在业务系统进行提醒医生。</w:t>
                  </w:r>
                </w:p>
              </w:tc>
            </w:tr>
            <w:tr>
              <w:tc>
                <w:tcPr>
                  <w:tcW w:type="dxa" w:w="216"/>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b/>
                    </w:rPr>
                    <w:t>模拟分组：</w:t>
                  </w:r>
                </w:p>
                <w:p>
                  <w:pPr>
                    <w:pStyle w:val="null3"/>
                    <w:ind w:firstLine="480"/>
                    <w:jc w:val="left"/>
                  </w:pPr>
                  <w:r>
                    <w:rPr>
                      <w:rFonts w:ascii="仿宋" w:hAnsi="仿宋" w:cs="仿宋" w:eastAsia="仿宋"/>
                      <w:sz w:val="24"/>
                    </w:rPr>
                    <w:t>支持模拟病人入院情况，可手动新增、调整诊断与手术操作信息进行模拟分组，并提供相关病组的核心指标信息，包括权重、费用、床日等；并提供临近分组对比具体指标信息。</w:t>
                  </w:r>
                </w:p>
              </w:tc>
            </w:tr>
            <w:tr>
              <w:tc>
                <w:tcPr>
                  <w:tcW w:type="dxa" w:w="216"/>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b/>
                    </w:rPr>
                    <w:t>编码辅助功能：</w:t>
                  </w:r>
                </w:p>
                <w:p>
                  <w:pPr>
                    <w:pStyle w:val="null3"/>
                    <w:ind w:firstLine="480"/>
                    <w:jc w:val="left"/>
                  </w:pPr>
                  <w:r>
                    <w:rPr>
                      <w:rFonts w:ascii="仿宋" w:hAnsi="仿宋" w:cs="仿宋" w:eastAsia="仿宋"/>
                      <w:sz w:val="24"/>
                    </w:rPr>
                    <w:t>1.根据三级公立医院绩效考核数据标准、病案管理、DIP入组要求对抽取的数据进行质量校验，其中包括病案完整性校验、病案逻辑性校验以及ICD编码逻辑校验。对有问题的病历进行预警、提示。</w:t>
                  </w:r>
                </w:p>
                <w:p>
                  <w:pPr>
                    <w:pStyle w:val="null3"/>
                    <w:ind w:firstLine="480"/>
                    <w:jc w:val="left"/>
                  </w:pPr>
                  <w:r>
                    <w:rPr>
                      <w:rFonts w:ascii="仿宋" w:hAnsi="仿宋" w:cs="仿宋" w:eastAsia="仿宋"/>
                      <w:sz w:val="24"/>
                    </w:rPr>
                    <w:t>2.与院内病案首页系统进行实时交互、校验，并进行事中预警。</w:t>
                  </w:r>
                </w:p>
                <w:p>
                  <w:pPr>
                    <w:pStyle w:val="null3"/>
                    <w:ind w:firstLine="480"/>
                    <w:jc w:val="left"/>
                  </w:pPr>
                  <w:r>
                    <w:rPr>
                      <w:rFonts w:ascii="仿宋" w:hAnsi="仿宋" w:cs="仿宋" w:eastAsia="仿宋"/>
                      <w:sz w:val="24"/>
                    </w:rPr>
                    <w:t>3.支持对病案首页质量评价并提供图表展示质控情况，提供医院、科室、医疗组、个人等不同维度的病案质控信息，病案管理者可及时查看所有病案的质控结果。</w:t>
                  </w:r>
                </w:p>
              </w:tc>
            </w:tr>
            <w:tr>
              <w:tc>
                <w:tcPr>
                  <w:tcW w:type="dxa" w:w="216"/>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b/>
                    </w:rPr>
                    <w:t>DIP病种盈亏分析：</w:t>
                  </w:r>
                </w:p>
                <w:p>
                  <w:pPr>
                    <w:pStyle w:val="null3"/>
                    <w:ind w:firstLine="482"/>
                    <w:jc w:val="both"/>
                  </w:pPr>
                  <w:r>
                    <w:rPr>
                      <w:rFonts w:ascii="times new roman, times, serif" w:hAnsi="times new roman, times, serif" w:cs="times new roman, times, serif" w:eastAsia="times new roman, times, serif"/>
                      <w:sz w:val="24"/>
                      <w:b/>
                    </w:rPr>
                    <w:t>▲</w:t>
                  </w:r>
                  <w:r>
                    <w:rPr>
                      <w:rFonts w:ascii="仿宋" w:hAnsi="仿宋" w:cs="仿宋" w:eastAsia="仿宋"/>
                      <w:sz w:val="24"/>
                      <w:b/>
                    </w:rPr>
                    <w:t>1.</w:t>
                  </w:r>
                  <w:r>
                    <w:rPr>
                      <w:rFonts w:ascii="仿宋" w:hAnsi="仿宋" w:cs="仿宋" w:eastAsia="仿宋"/>
                      <w:sz w:val="24"/>
                    </w:rPr>
                    <w:t>系统支持基于分组结果进行多维度监管比较分析：包括病种费用、诊断用药、中医优势病种、中医治疗病种、中西结合病种、核心病种、日间手术、预入院、检查检验互认、全院一张床、临床路径、低标准入院、疑点病种等计算及应用。</w:t>
                  </w:r>
                </w:p>
                <w:p>
                  <w:pPr>
                    <w:pStyle w:val="null3"/>
                    <w:ind w:firstLine="482"/>
                    <w:jc w:val="both"/>
                  </w:pPr>
                  <w:r>
                    <w:rPr>
                      <w:rFonts w:ascii="times new roman, times, serif" w:hAnsi="times new roman, times, serif" w:cs="times new roman, times, serif" w:eastAsia="times new roman, times, serif"/>
                      <w:sz w:val="24"/>
                      <w:b/>
                    </w:rPr>
                    <w:t>▲</w:t>
                  </w:r>
                  <w:r>
                    <w:rPr>
                      <w:rFonts w:ascii="仿宋" w:hAnsi="仿宋" w:cs="仿宋" w:eastAsia="仿宋"/>
                      <w:sz w:val="24"/>
                    </w:rPr>
                    <w:t>2.</w:t>
                  </w:r>
                  <w:r>
                    <w:rPr>
                      <w:rFonts w:ascii="仿宋" w:hAnsi="仿宋" w:cs="仿宋" w:eastAsia="仿宋"/>
                      <w:sz w:val="24"/>
                    </w:rPr>
                    <w:t>对监管结果进行分析，可提供病种收费的盈亏、病种的费用结构、特色病种的核心指标等多层次分析；</w:t>
                  </w:r>
                </w:p>
                <w:p>
                  <w:pPr>
                    <w:pStyle w:val="null3"/>
                    <w:ind w:firstLine="480"/>
                    <w:jc w:val="both"/>
                  </w:pPr>
                  <w:r>
                    <w:rPr>
                      <w:rFonts w:ascii="仿宋" w:hAnsi="仿宋" w:cs="仿宋" w:eastAsia="仿宋"/>
                      <w:sz w:val="24"/>
                    </w:rPr>
                    <w:t>3.</w:t>
                  </w:r>
                  <w:r>
                    <w:rPr>
                      <w:rFonts w:ascii="仿宋" w:hAnsi="仿宋" w:cs="仿宋" w:eastAsia="仿宋"/>
                      <w:sz w:val="24"/>
                    </w:rPr>
                    <w:t>支持按照全院、科室、医疗组、医生个人进行不同层级的下钻分析，为全院提升病种服务能力提供数据支撑。</w:t>
                  </w:r>
                </w:p>
              </w:tc>
            </w:tr>
            <w:tr>
              <w:tc>
                <w:tcPr>
                  <w:tcW w:type="dxa" w:w="216"/>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b/>
                    </w:rPr>
                    <w:t>决策分析：</w:t>
                  </w:r>
                </w:p>
                <w:p>
                  <w:pPr>
                    <w:pStyle w:val="null3"/>
                    <w:ind w:firstLine="480"/>
                    <w:jc w:val="left"/>
                  </w:pPr>
                  <w:r>
                    <w:rPr>
                      <w:rFonts w:ascii="仿宋" w:hAnsi="仿宋" w:cs="仿宋" w:eastAsia="仿宋"/>
                      <w:sz w:val="24"/>
                    </w:rPr>
                    <w:t>根据指标分析结果，支持针对院内所有开展病种进行指标决策分析，如</w:t>
                  </w:r>
                  <w:r>
                    <w:rPr>
                      <w:rFonts w:ascii="仿宋" w:hAnsi="仿宋" w:cs="仿宋" w:eastAsia="仿宋"/>
                      <w:sz w:val="24"/>
                    </w:rPr>
                    <w:t>RW、CMI、工分、平均住院天数、平均费用、平均药占比、耗占比、盈亏比、患者自付比例、预分组准确度、CP执行率等，以及各指标在全院所有病种中的排名，具体病种在院内的分布情况等特色分析，如中医病种、优势病种、扶持病种等的指标分析、趋势分析。</w:t>
                  </w:r>
                </w:p>
              </w:tc>
            </w:tr>
            <w:tr>
              <w:tc>
                <w:tcPr>
                  <w:tcW w:type="dxa" w:w="216"/>
                  <w:vMerge/>
                  <w:tcBorders>
                    <w:top w:val="none" w:color="000000" w:sz="4"/>
                    <w:left w:val="single" w:color="000000" w:sz="4"/>
                    <w:bottom w:val="single" w:color="000000" w:sz="4"/>
                    <w:right w:val="single" w:color="000000" w:sz="4"/>
                  </w:tcBorders>
                </w:tcPr>
                <w:p/>
              </w:tc>
              <w:tc>
                <w:tcPr>
                  <w:tcW w:type="dxa" w:w="4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医院内控管理</w:t>
                  </w:r>
                </w:p>
              </w:tc>
              <w:tc>
                <w:tcPr>
                  <w:tcW w:type="dxa" w:w="1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规则配置管理：</w:t>
                  </w:r>
                </w:p>
                <w:p>
                  <w:pPr>
                    <w:pStyle w:val="null3"/>
                    <w:ind w:firstLine="482"/>
                    <w:jc w:val="left"/>
                  </w:pPr>
                  <w:r>
                    <w:rPr>
                      <w:rFonts w:ascii="times new roman, times, serif" w:hAnsi="times new roman, times, serif" w:cs="times new roman, times, serif" w:eastAsia="times new roman, times, serif"/>
                      <w:sz w:val="24"/>
                      <w:b/>
                    </w:rPr>
                    <w:t>▲</w:t>
                  </w:r>
                  <w:r>
                    <w:rPr>
                      <w:rFonts w:ascii="仿宋" w:hAnsi="仿宋" w:cs="仿宋" w:eastAsia="仿宋"/>
                      <w:sz w:val="24"/>
                    </w:rPr>
                    <w:t>系统内置相应的诊疗项目、药品、耗材的医保目录规则库，规则来源包括：国家医保药品目录、省市物价目录等。同时可根据实际业务开展需求，对相应的规则库进行补充、更新。本功能用于对门诊患者、在院患者进行医嘱合理性进行审核、对医疗行为合理性进行监管，为开展相应的审核、提示、预警做好准备工作。</w:t>
                  </w:r>
                </w:p>
              </w:tc>
            </w:tr>
            <w:tr>
              <w:tc>
                <w:tcPr>
                  <w:tcW w:type="dxa" w:w="216"/>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数据提取：</w:t>
                  </w:r>
                </w:p>
                <w:p>
                  <w:pPr>
                    <w:pStyle w:val="null3"/>
                    <w:ind w:firstLine="480"/>
                    <w:jc w:val="left"/>
                  </w:pPr>
                  <w:r>
                    <w:rPr>
                      <w:rFonts w:ascii="仿宋" w:hAnsi="仿宋" w:cs="仿宋" w:eastAsia="仿宋"/>
                      <w:sz w:val="24"/>
                    </w:rPr>
                    <w:t>1.系统支持包括WebService、存储过程、视图、HTTP在内的多种方式交互提取数据。系统支持直接与医院内各业务系统进行数据对接，也支持通过医院统一数据中心进行对接，从而提取各业务系统相关数据。</w:t>
                  </w:r>
                </w:p>
                <w:p>
                  <w:pPr>
                    <w:pStyle w:val="null3"/>
                    <w:ind w:firstLine="480"/>
                    <w:jc w:val="left"/>
                  </w:pPr>
                  <w:r>
                    <w:rPr>
                      <w:rFonts w:ascii="仿宋" w:hAnsi="仿宋" w:cs="仿宋" w:eastAsia="仿宋"/>
                      <w:sz w:val="24"/>
                    </w:rPr>
                    <w:t>系统可通过病案首页接口实时提取病人诊断、手术、年龄等病案首页信息；通过费用明细接口，实时提取病人费用信息；通过病人医嘱接口，实时提取病人医嘱信息；通过临床路径接口，提取临床路径信息及入径信息；通过与院内财务系统作对接，实时提取业务数据、医保基金结算数据。</w:t>
                  </w:r>
                </w:p>
                <w:p>
                  <w:pPr>
                    <w:pStyle w:val="null3"/>
                    <w:ind w:firstLine="482"/>
                    <w:jc w:val="left"/>
                  </w:pPr>
                  <w:r>
                    <w:rPr>
                      <w:rFonts w:ascii="times new roman, times, serif" w:hAnsi="times new roman, times, serif" w:cs="times new roman, times, serif" w:eastAsia="times new roman, times, serif"/>
                      <w:sz w:val="24"/>
                      <w:b/>
                    </w:rPr>
                    <w:t>▲</w:t>
                  </w:r>
                  <w:r>
                    <w:rPr>
                      <w:rFonts w:ascii="仿宋" w:hAnsi="仿宋" w:cs="仿宋" w:eastAsia="仿宋"/>
                      <w:sz w:val="24"/>
                    </w:rPr>
                    <w:t>数据交互：无缝对接</w:t>
                  </w:r>
                  <w:r>
                    <w:rPr>
                      <w:rFonts w:ascii="仿宋" w:hAnsi="仿宋" w:cs="仿宋" w:eastAsia="仿宋"/>
                      <w:sz w:val="24"/>
                    </w:rPr>
                    <w:t>HIS系统、体检系统、电子病历系统，将医保绩效核算数据与医院现有绩效考核系统无缝对接。</w:t>
                  </w:r>
                </w:p>
              </w:tc>
            </w:tr>
            <w:tr>
              <w:tc>
                <w:tcPr>
                  <w:tcW w:type="dxa" w:w="216"/>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三合理控费：</w:t>
                  </w:r>
                </w:p>
                <w:p>
                  <w:pPr>
                    <w:pStyle w:val="null3"/>
                    <w:ind w:firstLine="482"/>
                  </w:pPr>
                  <w:r>
                    <w:rPr>
                      <w:rFonts w:ascii="times new roman, times, serif" w:hAnsi="times new roman, times, serif" w:cs="times new roman, times, serif" w:eastAsia="times new roman, times, serif"/>
                      <w:sz w:val="24"/>
                      <w:b/>
                    </w:rPr>
                    <w:t>▲</w:t>
                  </w:r>
                  <w:r>
                    <w:rPr>
                      <w:rFonts w:ascii="仿宋" w:hAnsi="仿宋" w:cs="仿宋" w:eastAsia="仿宋"/>
                      <w:sz w:val="24"/>
                    </w:rPr>
                    <w:t>1.事前预警拦截</w:t>
                  </w:r>
                </w:p>
                <w:p>
                  <w:pPr>
                    <w:pStyle w:val="null3"/>
                    <w:ind w:firstLine="480"/>
                    <w:jc w:val="left"/>
                  </w:pPr>
                  <w:r>
                    <w:rPr>
                      <w:rFonts w:ascii="仿宋" w:hAnsi="仿宋" w:cs="仿宋" w:eastAsia="仿宋"/>
                      <w:sz w:val="24"/>
                    </w:rPr>
                    <w:t>在费用结算前，通过三合理规则运算，能给予医生提醒具体违规类型、原因、金额，预防违规项目进行结算。</w:t>
                  </w:r>
                </w:p>
                <w:p>
                  <w:pPr>
                    <w:pStyle w:val="null3"/>
                    <w:ind w:firstLine="480"/>
                    <w:jc w:val="left"/>
                  </w:pPr>
                  <w:r>
                    <w:rPr>
                      <w:rFonts w:ascii="仿宋" w:hAnsi="仿宋" w:cs="仿宋" w:eastAsia="仿宋"/>
                      <w:sz w:val="24"/>
                    </w:rPr>
                    <w:t>根据医院管理需要，与医院内业务系统作对接，实现在医生工作站、护士站、手术室工作站及医技工作站等涉及开立医嘱、收费流程进行稽核拦截，在开立医嘱、收费、通知出院时，对医嘱及费用清单的合理性及合规性进行审核、预警。</w:t>
                  </w:r>
                </w:p>
                <w:p>
                  <w:pPr>
                    <w:pStyle w:val="null3"/>
                    <w:ind w:firstLine="480"/>
                    <w:jc w:val="left"/>
                  </w:pPr>
                  <w:r>
                    <w:rPr>
                      <w:rFonts w:ascii="仿宋" w:hAnsi="仿宋" w:cs="仿宋" w:eastAsia="仿宋"/>
                      <w:sz w:val="24"/>
                    </w:rPr>
                    <w:t>对适应症用药、除外内容耗材范围、年龄限制、性别限制、重复收费、分解收费等违规情况按照院内管理办法设置不同等级及处理方式，规范临床人员合理收费、合理检查、合理治疗。</w:t>
                  </w:r>
                </w:p>
                <w:p>
                  <w:pPr>
                    <w:pStyle w:val="null3"/>
                    <w:ind w:firstLine="482"/>
                  </w:pPr>
                  <w:r>
                    <w:rPr>
                      <w:rFonts w:ascii="times new roman, times, serif" w:hAnsi="times new roman, times, serif" w:cs="times new roman, times, serif" w:eastAsia="times new roman, times, serif"/>
                      <w:sz w:val="24"/>
                      <w:b/>
                    </w:rPr>
                    <w:t>▲</w:t>
                  </w:r>
                  <w:r>
                    <w:rPr>
                      <w:rFonts w:ascii="仿宋" w:hAnsi="仿宋" w:cs="仿宋" w:eastAsia="仿宋"/>
                      <w:sz w:val="24"/>
                    </w:rPr>
                    <w:t>2.事中控制管理</w:t>
                  </w:r>
                </w:p>
                <w:p>
                  <w:pPr>
                    <w:pStyle w:val="null3"/>
                    <w:ind w:firstLine="480"/>
                    <w:jc w:val="left"/>
                  </w:pPr>
                  <w:r>
                    <w:rPr>
                      <w:rFonts w:ascii="仿宋" w:hAnsi="仿宋" w:cs="仿宋" w:eastAsia="仿宋"/>
                      <w:sz w:val="24"/>
                    </w:rPr>
                    <w:t>在诊疗过程中，借助三合理知识库规则引擎综合分析，发现问题数据，并通知管理人员及时采取合理的管控措施，进一步纠错，提高数据质量。</w:t>
                  </w:r>
                </w:p>
                <w:p>
                  <w:pPr>
                    <w:pStyle w:val="null3"/>
                    <w:ind w:firstLine="480"/>
                    <w:jc w:val="left"/>
                  </w:pPr>
                  <w:r>
                    <w:rPr>
                      <w:rFonts w:ascii="仿宋" w:hAnsi="仿宋" w:cs="仿宋" w:eastAsia="仿宋"/>
                      <w:sz w:val="24"/>
                    </w:rPr>
                    <w:t>在患者转科或者出院结算前，快速核查患者住院期间的所有医疗费用，结合患者情况，对疑似违规病例发出提醒，确保收费的合规性。同时医保管理部门可通过系统后台，实时查阅全院违规病例的详细信息，及时与临床医生进行沟通确认。</w:t>
                  </w:r>
                </w:p>
                <w:p>
                  <w:pPr>
                    <w:pStyle w:val="null3"/>
                    <w:ind w:firstLine="480"/>
                    <w:jc w:val="left"/>
                  </w:pPr>
                  <w:r>
                    <w:rPr>
                      <w:rFonts w:ascii="仿宋" w:hAnsi="仿宋" w:cs="仿宋" w:eastAsia="仿宋"/>
                      <w:sz w:val="24"/>
                    </w:rPr>
                    <w:t>系统支持与医院内统一门户管理系统或者</w:t>
                  </w:r>
                  <w:r>
                    <w:rPr>
                      <w:rFonts w:ascii="仿宋" w:hAnsi="仿宋" w:cs="仿宋" w:eastAsia="仿宋"/>
                      <w:sz w:val="24"/>
                    </w:rPr>
                    <w:t>OA系统对接，将需要质控、稽核的业务内容进行消息推送，推送对象包括分管领导、管理部门、科室主任、个人。</w:t>
                  </w:r>
                </w:p>
                <w:p>
                  <w:pPr>
                    <w:pStyle w:val="null3"/>
                    <w:ind w:firstLine="480"/>
                  </w:pPr>
                  <w:r>
                    <w:rPr>
                      <w:rFonts w:ascii="仿宋" w:hAnsi="仿宋" w:cs="仿宋" w:eastAsia="仿宋"/>
                      <w:sz w:val="24"/>
                    </w:rPr>
                    <w:t>3.事后统计分析</w:t>
                  </w:r>
                </w:p>
                <w:p>
                  <w:pPr>
                    <w:pStyle w:val="null3"/>
                    <w:ind w:firstLine="480"/>
                    <w:jc w:val="left"/>
                  </w:pPr>
                  <w:r>
                    <w:rPr>
                      <w:rFonts w:ascii="仿宋" w:hAnsi="仿宋" w:cs="仿宋" w:eastAsia="仿宋"/>
                      <w:sz w:val="24"/>
                    </w:rPr>
                    <w:t>对违规记录进行事后统计分析，可为三合理规则制定提供依据；对三合理指标进行事后统计分析，可为三合理控费效果评价提供依据。</w:t>
                  </w:r>
                </w:p>
                <w:p>
                  <w:pPr>
                    <w:pStyle w:val="null3"/>
                    <w:ind w:firstLine="480"/>
                    <w:jc w:val="left"/>
                  </w:pPr>
                  <w:r>
                    <w:rPr>
                      <w:rFonts w:ascii="仿宋" w:hAnsi="仿宋" w:cs="仿宋" w:eastAsia="仿宋"/>
                      <w:sz w:val="24"/>
                    </w:rPr>
                    <w:t>系统将违规记录、异常信息进行汇总、归集，并提供相应分析图表，包括病种指标分析、违规统计分析等，便于管理部门对临床异常数据进行跟踪、整改，支持根据各科室、各医疗组不同维度逐层下钻分析。</w:t>
                  </w:r>
                </w:p>
              </w:tc>
            </w:tr>
            <w:tr>
              <w:tc>
                <w:tcPr>
                  <w:tcW w:type="dxa" w:w="216"/>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申诉管理：</w:t>
                  </w:r>
                </w:p>
                <w:p>
                  <w:pPr>
                    <w:pStyle w:val="null3"/>
                    <w:ind w:firstLine="482"/>
                  </w:pPr>
                  <w:r>
                    <w:rPr>
                      <w:rFonts w:ascii="times new roman, times, serif" w:hAnsi="times new roman, times, serif" w:cs="times new roman, times, serif" w:eastAsia="times new roman, times, serif"/>
                      <w:sz w:val="24"/>
                      <w:b/>
                    </w:rPr>
                    <w:t>▲</w:t>
                  </w:r>
                  <w:r>
                    <w:rPr>
                      <w:rFonts w:ascii="仿宋" w:hAnsi="仿宋" w:cs="仿宋" w:eastAsia="仿宋"/>
                      <w:sz w:val="24"/>
                    </w:rPr>
                    <w:t>1.医保两定申诉管理</w:t>
                  </w:r>
                </w:p>
                <w:p>
                  <w:pPr>
                    <w:pStyle w:val="null3"/>
                    <w:ind w:firstLine="480"/>
                    <w:jc w:val="left"/>
                  </w:pPr>
                  <w:r>
                    <w:rPr>
                      <w:rFonts w:ascii="仿宋" w:hAnsi="仿宋" w:cs="仿宋" w:eastAsia="仿宋"/>
                      <w:sz w:val="24"/>
                    </w:rPr>
                    <w:t>系统支持将医保两定稽核到的单据导出后导入到申诉管理界面，并且消息推送给对应责任医生及科室主任，提示医生及时完成本人违规单据，填写申诉理由及依据。</w:t>
                  </w:r>
                </w:p>
                <w:p>
                  <w:pPr>
                    <w:pStyle w:val="null3"/>
                    <w:ind w:firstLine="480"/>
                    <w:jc w:val="left"/>
                  </w:pPr>
                  <w:r>
                    <w:rPr>
                      <w:rFonts w:ascii="仿宋" w:hAnsi="仿宋" w:cs="仿宋" w:eastAsia="仿宋"/>
                      <w:sz w:val="24"/>
                    </w:rPr>
                    <w:t>申诉完成后，支持系统导出所有申诉单据，生成申诉文档。</w:t>
                  </w:r>
                </w:p>
                <w:p>
                  <w:pPr>
                    <w:pStyle w:val="null3"/>
                    <w:ind w:firstLine="480"/>
                    <w:jc w:val="left"/>
                  </w:pPr>
                  <w:r>
                    <w:rPr>
                      <w:rFonts w:ascii="仿宋" w:hAnsi="仿宋" w:cs="仿宋" w:eastAsia="仿宋"/>
                      <w:sz w:val="24"/>
                    </w:rPr>
                    <w:t>2.院内申诉管理</w:t>
                  </w:r>
                </w:p>
                <w:p>
                  <w:pPr>
                    <w:pStyle w:val="null3"/>
                    <w:ind w:firstLine="480"/>
                    <w:jc w:val="left"/>
                  </w:pPr>
                  <w:r>
                    <w:rPr>
                      <w:rFonts w:ascii="仿宋" w:hAnsi="仿宋" w:cs="仿宋" w:eastAsia="仿宋"/>
                      <w:sz w:val="24"/>
                    </w:rPr>
                    <w:t>系统支持将院内稽核到的违规订单进行稽核，消息推送给对应责任医生及科室主任，提示医生及时完成本人违规单据，填写申诉理由及依据。</w:t>
                  </w:r>
                </w:p>
                <w:p>
                  <w:pPr>
                    <w:pStyle w:val="null3"/>
                    <w:ind w:firstLine="482"/>
                    <w:jc w:val="left"/>
                  </w:pPr>
                  <w:r>
                    <w:rPr>
                      <w:rFonts w:ascii="times new roman, times, serif" w:hAnsi="times new roman, times, serif" w:cs="times new roman, times, serif" w:eastAsia="times new roman, times, serif"/>
                      <w:sz w:val="24"/>
                      <w:b/>
                    </w:rPr>
                    <w:t>▲</w:t>
                  </w:r>
                  <w:r>
                    <w:rPr>
                      <w:rFonts w:ascii="仿宋" w:hAnsi="仿宋" w:cs="仿宋" w:eastAsia="仿宋"/>
                      <w:sz w:val="24"/>
                    </w:rPr>
                    <w:t>3.</w:t>
                  </w:r>
                  <w:r>
                    <w:rPr>
                      <w:rFonts w:ascii="仿宋" w:hAnsi="仿宋" w:cs="仿宋" w:eastAsia="仿宋"/>
                      <w:sz w:val="24"/>
                    </w:rPr>
                    <w:t>申诉审核</w:t>
                  </w:r>
                </w:p>
                <w:p>
                  <w:pPr>
                    <w:pStyle w:val="null3"/>
                    <w:ind w:firstLine="480"/>
                    <w:jc w:val="left"/>
                  </w:pPr>
                  <w:r>
                    <w:rPr>
                      <w:rFonts w:ascii="仿宋" w:hAnsi="仿宋" w:cs="仿宋" w:eastAsia="仿宋"/>
                      <w:sz w:val="24"/>
                    </w:rPr>
                    <w:t>医生填写完成申诉单据，由院内医保科人员进行审核，可以选择审核通过、驳回等操作。</w:t>
                  </w:r>
                </w:p>
              </w:tc>
            </w:tr>
            <w:tr>
              <w:tc>
                <w:tcPr>
                  <w:tcW w:type="dxa" w:w="216"/>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疑点数据：</w:t>
                  </w:r>
                </w:p>
                <w:p>
                  <w:pPr>
                    <w:pStyle w:val="null3"/>
                    <w:ind w:firstLine="480"/>
                    <w:jc w:val="left"/>
                  </w:pPr>
                  <w:r>
                    <w:rPr>
                      <w:rFonts w:ascii="仿宋" w:hAnsi="仿宋" w:cs="仿宋" w:eastAsia="仿宋"/>
                      <w:sz w:val="24"/>
                    </w:rPr>
                    <w:t>支持查询低标入院、等级护理异常等异常疑似违规的数据及病人列表，支持导出。</w:t>
                  </w:r>
                </w:p>
              </w:tc>
            </w:tr>
            <w:tr>
              <w:tc>
                <w:tcPr>
                  <w:tcW w:type="dxa" w:w="216"/>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门诊医疗数据监管：</w:t>
                  </w:r>
                </w:p>
                <w:p>
                  <w:pPr>
                    <w:pStyle w:val="null3"/>
                    <w:ind w:firstLine="480"/>
                  </w:pPr>
                  <w:r>
                    <w:rPr>
                      <w:rFonts w:ascii="仿宋" w:hAnsi="仿宋" w:cs="仿宋" w:eastAsia="仿宋"/>
                      <w:sz w:val="24"/>
                    </w:rPr>
                    <w:t>1.门诊患者统计查询</w:t>
                  </w:r>
                </w:p>
                <w:p>
                  <w:pPr>
                    <w:pStyle w:val="null3"/>
                    <w:ind w:firstLine="480"/>
                    <w:jc w:val="left"/>
                  </w:pPr>
                  <w:r>
                    <w:rPr>
                      <w:rFonts w:ascii="仿宋" w:hAnsi="仿宋" w:cs="仿宋" w:eastAsia="仿宋"/>
                      <w:sz w:val="24"/>
                    </w:rPr>
                    <w:t>系统提供对门诊</w:t>
                  </w:r>
                  <w:r>
                    <w:rPr>
                      <w:rFonts w:ascii="仿宋" w:hAnsi="仿宋" w:cs="仿宋" w:eastAsia="仿宋"/>
                      <w:sz w:val="24"/>
                    </w:rPr>
                    <w:t>患者</w:t>
                  </w:r>
                  <w:r>
                    <w:rPr>
                      <w:rFonts w:ascii="仿宋" w:hAnsi="仿宋" w:cs="仿宋" w:eastAsia="仿宋"/>
                      <w:sz w:val="24"/>
                    </w:rPr>
                    <w:t>的查询</w:t>
                  </w:r>
                  <w:r>
                    <w:rPr>
                      <w:rFonts w:ascii="仿宋" w:hAnsi="仿宋" w:cs="仿宋" w:eastAsia="仿宋"/>
                      <w:sz w:val="24"/>
                    </w:rPr>
                    <w:t>，</w:t>
                  </w:r>
                  <w:r>
                    <w:rPr>
                      <w:rFonts w:ascii="仿宋" w:hAnsi="仿宋" w:cs="仿宋" w:eastAsia="仿宋"/>
                      <w:sz w:val="24"/>
                    </w:rPr>
                    <w:t>并支持按时间段、项目编码、项目名称、科室、错误等级和状态进行</w:t>
                  </w:r>
                  <w:r>
                    <w:rPr>
                      <w:rFonts w:ascii="仿宋" w:hAnsi="仿宋" w:cs="仿宋" w:eastAsia="仿宋"/>
                      <w:sz w:val="24"/>
                    </w:rPr>
                    <w:t>筛选</w:t>
                  </w:r>
                  <w:r>
                    <w:rPr>
                      <w:rFonts w:ascii="仿宋" w:hAnsi="仿宋" w:cs="仿宋" w:eastAsia="仿宋"/>
                      <w:sz w:val="24"/>
                    </w:rPr>
                    <w:t>查询不同科室、病种、的患者记录，支持查询具体管控药品、项目医院内的开方记录。</w:t>
                  </w:r>
                </w:p>
                <w:p>
                  <w:pPr>
                    <w:pStyle w:val="null3"/>
                    <w:ind w:firstLine="480"/>
                  </w:pPr>
                  <w:r>
                    <w:rPr>
                      <w:rFonts w:ascii="仿宋" w:hAnsi="仿宋" w:cs="仿宋" w:eastAsia="仿宋"/>
                      <w:sz w:val="24"/>
                    </w:rPr>
                    <w:t>2.</w:t>
                  </w:r>
                  <w:r>
                    <w:rPr>
                      <w:rFonts w:ascii="仿宋" w:hAnsi="仿宋" w:cs="仿宋" w:eastAsia="仿宋"/>
                      <w:sz w:val="24"/>
                    </w:rPr>
                    <w:t>双通道药品管理</w:t>
                  </w:r>
                </w:p>
                <w:p>
                  <w:pPr>
                    <w:pStyle w:val="null3"/>
                    <w:ind w:firstLine="480"/>
                    <w:jc w:val="left"/>
                  </w:pPr>
                  <w:r>
                    <w:rPr>
                      <w:rFonts w:ascii="仿宋" w:hAnsi="仿宋" w:cs="仿宋" w:eastAsia="仿宋"/>
                      <w:sz w:val="24"/>
                    </w:rPr>
                    <w:t>系统提供查询医院内双通道药品处方流转报表，支持对</w:t>
                  </w:r>
                  <w:r>
                    <w:rPr>
                      <w:rFonts w:ascii="仿宋" w:hAnsi="仿宋" w:cs="仿宋" w:eastAsia="仿宋"/>
                      <w:sz w:val="24"/>
                    </w:rPr>
                    <w:t>药品</w:t>
                  </w:r>
                  <w:r>
                    <w:rPr>
                      <w:rFonts w:ascii="仿宋" w:hAnsi="仿宋" w:cs="仿宋" w:eastAsia="仿宋"/>
                      <w:sz w:val="24"/>
                    </w:rPr>
                    <w:t>筛选，可以根据机构名称、时间、病人</w:t>
                  </w:r>
                  <w:r>
                    <w:rPr>
                      <w:rFonts w:ascii="仿宋" w:hAnsi="仿宋" w:cs="仿宋" w:eastAsia="仿宋"/>
                      <w:sz w:val="24"/>
                    </w:rPr>
                    <w:t>姓名</w:t>
                  </w:r>
                  <w:r>
                    <w:rPr>
                      <w:rFonts w:ascii="仿宋" w:hAnsi="仿宋" w:cs="仿宋" w:eastAsia="仿宋"/>
                      <w:sz w:val="24"/>
                    </w:rPr>
                    <w:t>来进行筛选</w:t>
                  </w:r>
                  <w:r>
                    <w:rPr>
                      <w:rFonts w:ascii="仿宋" w:hAnsi="仿宋" w:cs="仿宋" w:eastAsia="仿宋"/>
                      <w:sz w:val="24"/>
                    </w:rPr>
                    <w:t>查询</w:t>
                  </w:r>
                  <w:r>
                    <w:rPr>
                      <w:rFonts w:ascii="仿宋" w:hAnsi="仿宋" w:cs="仿宋" w:eastAsia="仿宋"/>
                      <w:sz w:val="24"/>
                    </w:rPr>
                    <w:t>，支持导出。</w:t>
                  </w:r>
                </w:p>
              </w:tc>
            </w:tr>
            <w:tr>
              <w:tc>
                <w:tcPr>
                  <w:tcW w:type="dxa" w:w="216"/>
                  <w:vMerge/>
                  <w:tcBorders>
                    <w:top w:val="none" w:color="000000" w:sz="4"/>
                    <w:left w:val="single" w:color="000000" w:sz="4"/>
                    <w:bottom w:val="single" w:color="000000" w:sz="4"/>
                    <w:right w:val="single" w:color="000000" w:sz="4"/>
                  </w:tcBorders>
                </w:tcPr>
                <w:p/>
              </w:tc>
              <w:tc>
                <w:tcPr>
                  <w:tcW w:type="dxa" w:w="417"/>
                  <w:vMerge/>
                  <w:tcBorders>
                    <w:top w:val="none" w:color="000000" w:sz="4"/>
                    <w:left w:val="single" w:color="000000" w:sz="4"/>
                    <w:bottom w:val="single" w:color="000000" w:sz="4"/>
                    <w:right w:val="single" w:color="000000" w:sz="4"/>
                  </w:tcBorders>
                </w:tcPr>
                <w:p/>
              </w:tc>
              <w:tc>
                <w:tcPr>
                  <w:tcW w:type="dxa" w:w="1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times new roman, times, serif" w:hAnsi="times new roman, times, serif" w:cs="times new roman, times, serif" w:eastAsia="times new roman, times, serif"/>
                      <w:sz w:val="24"/>
                      <w:b/>
                    </w:rPr>
                    <w:t>▲</w:t>
                  </w:r>
                  <w:r>
                    <w:rPr>
                      <w:rFonts w:ascii="仿宋" w:hAnsi="仿宋" w:cs="仿宋" w:eastAsia="仿宋"/>
                      <w:sz w:val="24"/>
                      <w:b/>
                    </w:rPr>
                    <w:t>住院医疗数据监管：</w:t>
                  </w:r>
                </w:p>
                <w:p>
                  <w:pPr>
                    <w:pStyle w:val="null3"/>
                    <w:ind w:firstLine="480"/>
                  </w:pPr>
                  <w:r>
                    <w:rPr>
                      <w:rFonts w:ascii="仿宋" w:hAnsi="仿宋" w:cs="仿宋" w:eastAsia="仿宋"/>
                      <w:sz w:val="24"/>
                    </w:rPr>
                    <w:t>1.住院患者统计查询</w:t>
                  </w:r>
                </w:p>
                <w:p>
                  <w:pPr>
                    <w:pStyle w:val="null3"/>
                    <w:ind w:firstLine="480"/>
                    <w:jc w:val="left"/>
                  </w:pPr>
                  <w:r>
                    <w:rPr>
                      <w:rFonts w:ascii="仿宋" w:hAnsi="仿宋" w:cs="仿宋" w:eastAsia="仿宋"/>
                      <w:sz w:val="24"/>
                    </w:rPr>
                    <w:t>系统提供对</w:t>
                  </w:r>
                  <w:r>
                    <w:rPr>
                      <w:rFonts w:ascii="仿宋" w:hAnsi="仿宋" w:cs="仿宋" w:eastAsia="仿宋"/>
                      <w:sz w:val="24"/>
                    </w:rPr>
                    <w:t>住院</w:t>
                  </w:r>
                  <w:r>
                    <w:rPr>
                      <w:rFonts w:ascii="仿宋" w:hAnsi="仿宋" w:cs="仿宋" w:eastAsia="仿宋"/>
                      <w:sz w:val="24"/>
                    </w:rPr>
                    <w:t>、出院</w:t>
                  </w:r>
                  <w:r>
                    <w:rPr>
                      <w:rFonts w:ascii="仿宋" w:hAnsi="仿宋" w:cs="仿宋" w:eastAsia="仿宋"/>
                      <w:sz w:val="24"/>
                    </w:rPr>
                    <w:t>患者</w:t>
                  </w:r>
                  <w:r>
                    <w:rPr>
                      <w:rFonts w:ascii="仿宋" w:hAnsi="仿宋" w:cs="仿宋" w:eastAsia="仿宋"/>
                      <w:sz w:val="24"/>
                    </w:rPr>
                    <w:t>的查询</w:t>
                  </w:r>
                  <w:r>
                    <w:rPr>
                      <w:rFonts w:ascii="仿宋" w:hAnsi="仿宋" w:cs="仿宋" w:eastAsia="仿宋"/>
                      <w:sz w:val="24"/>
                    </w:rPr>
                    <w:t>，</w:t>
                  </w:r>
                  <w:r>
                    <w:rPr>
                      <w:rFonts w:ascii="仿宋" w:hAnsi="仿宋" w:cs="仿宋" w:eastAsia="仿宋"/>
                      <w:sz w:val="24"/>
                    </w:rPr>
                    <w:t>并支持按时间段、项目编码、项目名称、科室、错误等级和状态进行</w:t>
                  </w:r>
                  <w:r>
                    <w:rPr>
                      <w:rFonts w:ascii="仿宋" w:hAnsi="仿宋" w:cs="仿宋" w:eastAsia="仿宋"/>
                      <w:sz w:val="24"/>
                    </w:rPr>
                    <w:t>筛选</w:t>
                  </w:r>
                  <w:r>
                    <w:rPr>
                      <w:rFonts w:ascii="仿宋" w:hAnsi="仿宋" w:cs="仿宋" w:eastAsia="仿宋"/>
                      <w:sz w:val="24"/>
                    </w:rPr>
                    <w:t>查询不同科室、病种、的患者记录，支持查询具体管控药品、项目医院内的开方记录。</w:t>
                  </w:r>
                </w:p>
                <w:p>
                  <w:pPr>
                    <w:pStyle w:val="null3"/>
                    <w:ind w:firstLine="480"/>
                  </w:pPr>
                  <w:r>
                    <w:rPr>
                      <w:rFonts w:ascii="仿宋" w:hAnsi="仿宋" w:cs="仿宋" w:eastAsia="仿宋"/>
                      <w:sz w:val="24"/>
                    </w:rPr>
                    <w:t>2.</w:t>
                  </w:r>
                  <w:r>
                    <w:rPr>
                      <w:rFonts w:ascii="仿宋" w:hAnsi="仿宋" w:cs="仿宋" w:eastAsia="仿宋"/>
                      <w:sz w:val="24"/>
                    </w:rPr>
                    <w:t>入院评价</w:t>
                  </w:r>
                </w:p>
                <w:p>
                  <w:pPr>
                    <w:pStyle w:val="null3"/>
                    <w:ind w:firstLine="480"/>
                    <w:jc w:val="left"/>
                  </w:pPr>
                  <w:r>
                    <w:rPr>
                      <w:rFonts w:ascii="仿宋" w:hAnsi="仿宋" w:cs="仿宋" w:eastAsia="仿宋"/>
                      <w:sz w:val="24"/>
                    </w:rPr>
                    <w:t>支持对患者的入院情况进行</w:t>
                  </w:r>
                  <w:r>
                    <w:rPr>
                      <w:rFonts w:ascii="仿宋" w:hAnsi="仿宋" w:cs="仿宋" w:eastAsia="仿宋"/>
                      <w:sz w:val="24"/>
                    </w:rPr>
                    <w:t>“入院评价”，“入院评价”包括入院评价、异常范围、错误等级和低标入院类型。</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vMerge/>
                  <w:tcBorders>
                    <w:top w:val="none" w:color="000000" w:sz="4"/>
                    <w:left w:val="single" w:color="000000" w:sz="4"/>
                    <w:bottom w:val="single" w:color="000000" w:sz="4"/>
                    <w:right w:val="single" w:color="000000" w:sz="4"/>
                  </w:tcBorders>
                </w:tcPr>
                <w:p/>
              </w:tc>
              <w:tc>
                <w:tcPr>
                  <w:tcW w:type="dxa" w:w="1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b/>
                    </w:rPr>
                    <w:t>统计分析：</w:t>
                  </w:r>
                </w:p>
                <w:p>
                  <w:pPr>
                    <w:pStyle w:val="null3"/>
                    <w:ind w:firstLine="480"/>
                    <w:jc w:val="both"/>
                  </w:pPr>
                  <w:r>
                    <w:rPr>
                      <w:rFonts w:ascii="仿宋" w:hAnsi="仿宋" w:cs="仿宋" w:eastAsia="仿宋"/>
                      <w:sz w:val="24"/>
                    </w:rPr>
                    <w:t>提供面向业务部门、管理部门的异常情况概览，对医院领导、财务部门、医务部门、医保部门以及临床关注的重点核心指标，实现总体监控，支持以数据化、图形化、功能化准确、直观地展示。包括已结算费用审核汇总、全院病种权重分布、科室能力分析、病种能力分析、病案质控分析、医保结算盈亏分析等。</w:t>
                  </w:r>
                </w:p>
                <w:p>
                  <w:pPr>
                    <w:pStyle w:val="null3"/>
                    <w:ind w:firstLine="480"/>
                    <w:jc w:val="left"/>
                  </w:pPr>
                  <w:r>
                    <w:rPr>
                      <w:rFonts w:ascii="仿宋" w:hAnsi="仿宋" w:cs="仿宋" w:eastAsia="仿宋"/>
                      <w:sz w:val="24"/>
                    </w:rPr>
                    <w:t>根据不同维度进行多指标、多角度分析，支持全院、科室、医疗组、个人不同层次下钻查询；同时提供分析报表同步的不同类型的分析图像，实现多样化分析和展现，帮助用户更好地掌握全局。</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vMerge/>
                  <w:tcBorders>
                    <w:top w:val="none" w:color="000000" w:sz="4"/>
                    <w:left w:val="single" w:color="000000" w:sz="4"/>
                    <w:bottom w:val="single" w:color="000000" w:sz="4"/>
                    <w:right w:val="single" w:color="000000" w:sz="4"/>
                  </w:tcBorders>
                </w:tcPr>
                <w:p/>
              </w:tc>
              <w:tc>
                <w:tcPr>
                  <w:tcW w:type="dxa" w:w="1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医保积分管理：</w:t>
                  </w:r>
                </w:p>
                <w:p>
                  <w:pPr>
                    <w:pStyle w:val="null3"/>
                    <w:ind w:firstLine="480"/>
                    <w:jc w:val="left"/>
                  </w:pPr>
                  <w:r>
                    <w:rPr>
                      <w:rFonts w:ascii="仿宋" w:hAnsi="仿宋" w:cs="仿宋" w:eastAsia="仿宋"/>
                      <w:sz w:val="24"/>
                    </w:rPr>
                    <w:t>对个人</w:t>
                  </w:r>
                  <w:r>
                    <w:rPr>
                      <w:rFonts w:ascii="仿宋" w:hAnsi="仿宋" w:cs="仿宋" w:eastAsia="仿宋"/>
                      <w:sz w:val="24"/>
                    </w:rPr>
                    <w:t>实行年度积分制管理，有违规行为的，</w:t>
                  </w:r>
                  <w:r>
                    <w:rPr>
                      <w:rFonts w:ascii="仿宋" w:hAnsi="仿宋" w:cs="仿宋" w:eastAsia="仿宋"/>
                      <w:sz w:val="24"/>
                    </w:rPr>
                    <w:t>按照医院内管理办法</w:t>
                  </w:r>
                  <w:r>
                    <w:rPr>
                      <w:rFonts w:ascii="仿宋" w:hAnsi="仿宋" w:cs="仿宋" w:eastAsia="仿宋"/>
                      <w:sz w:val="24"/>
                    </w:rPr>
                    <w:t>扣除相应的分值。</w:t>
                  </w:r>
                  <w:r>
                    <w:rPr>
                      <w:rFonts w:ascii="仿宋" w:hAnsi="仿宋" w:cs="仿宋" w:eastAsia="仿宋"/>
                      <w:sz w:val="24"/>
                    </w:rPr>
                    <w:t>针对</w:t>
                  </w:r>
                  <w:r>
                    <w:rPr>
                      <w:rFonts w:ascii="仿宋" w:hAnsi="仿宋" w:cs="仿宋" w:eastAsia="仿宋"/>
                      <w:sz w:val="24"/>
                    </w:rPr>
                    <w:t>临床</w:t>
                  </w:r>
                  <w:r>
                    <w:rPr>
                      <w:rFonts w:ascii="仿宋" w:hAnsi="仿宋" w:cs="仿宋" w:eastAsia="仿宋"/>
                      <w:sz w:val="24"/>
                    </w:rPr>
                    <w:t>有</w:t>
                  </w:r>
                  <w:r>
                    <w:rPr>
                      <w:rFonts w:ascii="仿宋" w:hAnsi="仿宋" w:cs="仿宋" w:eastAsia="仿宋"/>
                      <w:sz w:val="24"/>
                    </w:rPr>
                    <w:t>超范围使用药品</w:t>
                  </w:r>
                  <w:r>
                    <w:rPr>
                      <w:rFonts w:ascii="仿宋" w:hAnsi="仿宋" w:cs="仿宋" w:eastAsia="仿宋"/>
                      <w:sz w:val="24"/>
                    </w:rPr>
                    <w:t>或耗材、</w:t>
                  </w:r>
                  <w:r>
                    <w:rPr>
                      <w:rFonts w:ascii="仿宋" w:hAnsi="仿宋" w:cs="仿宋" w:eastAsia="仿宋"/>
                      <w:sz w:val="24"/>
                    </w:rPr>
                    <w:t>分解处方、超量开药、串换药品</w:t>
                  </w:r>
                  <w:r>
                    <w:rPr>
                      <w:rFonts w:ascii="仿宋" w:hAnsi="仿宋" w:cs="仿宋" w:eastAsia="仿宋"/>
                      <w:sz w:val="24"/>
                    </w:rPr>
                    <w:t>等行为的</w:t>
                  </w:r>
                  <w:r>
                    <w:rPr>
                      <w:rFonts w:ascii="仿宋" w:hAnsi="仿宋" w:cs="仿宋" w:eastAsia="仿宋"/>
                      <w:sz w:val="24"/>
                    </w:rPr>
                    <w:t>，</w:t>
                  </w:r>
                  <w:r>
                    <w:rPr>
                      <w:rFonts w:ascii="仿宋" w:hAnsi="仿宋" w:cs="仿宋" w:eastAsia="仿宋"/>
                      <w:sz w:val="24"/>
                    </w:rPr>
                    <w:t>形成报表分析，查看具体</w:t>
                  </w:r>
                  <w:r>
                    <w:rPr>
                      <w:rFonts w:ascii="仿宋" w:hAnsi="仿宋" w:cs="仿宋" w:eastAsia="仿宋"/>
                      <w:sz w:val="24"/>
                    </w:rPr>
                    <w:t>开单</w:t>
                  </w:r>
                  <w:r>
                    <w:rPr>
                      <w:rFonts w:ascii="仿宋" w:hAnsi="仿宋" w:cs="仿宋" w:eastAsia="仿宋"/>
                      <w:sz w:val="24"/>
                    </w:rPr>
                    <w:t>科室、</w:t>
                  </w:r>
                  <w:r>
                    <w:rPr>
                      <w:rFonts w:ascii="仿宋" w:hAnsi="仿宋" w:cs="仿宋" w:eastAsia="仿宋"/>
                      <w:sz w:val="24"/>
                    </w:rPr>
                    <w:t>医生个人。</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vMerge/>
                  <w:tcBorders>
                    <w:top w:val="none" w:color="000000" w:sz="4"/>
                    <w:left w:val="single" w:color="000000" w:sz="4"/>
                    <w:bottom w:val="single" w:color="000000" w:sz="4"/>
                    <w:right w:val="single" w:color="000000" w:sz="4"/>
                  </w:tcBorders>
                </w:tcPr>
                <w:p/>
              </w:tc>
              <w:tc>
                <w:tcPr>
                  <w:tcW w:type="dxa" w:w="1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医保基金使用分析：</w:t>
                  </w:r>
                </w:p>
                <w:p>
                  <w:pPr>
                    <w:pStyle w:val="null3"/>
                    <w:ind w:firstLine="480"/>
                    <w:jc w:val="left"/>
                  </w:pPr>
                  <w:r>
                    <w:rPr>
                      <w:rFonts w:ascii="仿宋" w:hAnsi="仿宋" w:cs="仿宋" w:eastAsia="仿宋"/>
                      <w:sz w:val="24"/>
                    </w:rPr>
                    <w:t>系统根据</w:t>
                  </w:r>
                  <w:r>
                    <w:rPr>
                      <w:rFonts w:ascii="仿宋" w:hAnsi="仿宋" w:cs="仿宋" w:eastAsia="仿宋"/>
                      <w:sz w:val="24"/>
                    </w:rPr>
                    <w:t>医院</w:t>
                  </w:r>
                  <w:r>
                    <w:rPr>
                      <w:rFonts w:ascii="仿宋" w:hAnsi="仿宋" w:cs="仿宋" w:eastAsia="仿宋"/>
                      <w:sz w:val="24"/>
                    </w:rPr>
                    <w:t>和医保经办机构签订的协议，基于</w:t>
                  </w:r>
                  <w:r>
                    <w:rPr>
                      <w:rFonts w:ascii="仿宋" w:hAnsi="仿宋" w:cs="仿宋" w:eastAsia="仿宋"/>
                      <w:sz w:val="24"/>
                    </w:rPr>
                    <w:t>医院内</w:t>
                  </w:r>
                  <w:r>
                    <w:rPr>
                      <w:rFonts w:ascii="仿宋" w:hAnsi="仿宋" w:cs="仿宋" w:eastAsia="仿宋"/>
                      <w:sz w:val="24"/>
                    </w:rPr>
                    <w:t>大数据分析，主要包括：</w:t>
                  </w:r>
                  <w:r>
                    <w:rPr>
                      <w:rFonts w:ascii="仿宋" w:hAnsi="仿宋" w:cs="仿宋" w:eastAsia="仿宋"/>
                      <w:sz w:val="24"/>
                    </w:rPr>
                    <w:t>医保统筹基金使用情况报表、</w:t>
                  </w:r>
                  <w:r>
                    <w:rPr>
                      <w:rFonts w:ascii="仿宋" w:hAnsi="仿宋" w:cs="仿宋" w:eastAsia="仿宋"/>
                      <w:sz w:val="24"/>
                    </w:rPr>
                    <w:t>指标完成情况预警、医保月度分析、医保年度分析、决策分析</w:t>
                  </w:r>
                  <w:r>
                    <w:rPr>
                      <w:rFonts w:ascii="仿宋" w:hAnsi="仿宋" w:cs="仿宋" w:eastAsia="仿宋"/>
                      <w:sz w:val="24"/>
                    </w:rPr>
                    <w:t>等功能。</w:t>
                  </w:r>
                </w:p>
                <w:p>
                  <w:pPr>
                    <w:pStyle w:val="null3"/>
                    <w:ind w:firstLine="480"/>
                    <w:jc w:val="left"/>
                  </w:pPr>
                  <w:r>
                    <w:rPr>
                      <w:rFonts w:ascii="仿宋" w:hAnsi="仿宋" w:cs="仿宋" w:eastAsia="仿宋"/>
                      <w:sz w:val="24"/>
                    </w:rPr>
                    <w:t>系统支持</w:t>
                  </w:r>
                  <w:r>
                    <w:rPr>
                      <w:rFonts w:ascii="仿宋" w:hAnsi="仿宋" w:cs="仿宋" w:eastAsia="仿宋"/>
                      <w:sz w:val="24"/>
                    </w:rPr>
                    <w:t>根据城乡居民、城镇职工、其他三种报销类型区分门诊、住院、大病，对当期各科室、各医疗组、各医生等不同层级医保基金使用情况进行分析，并自动抓取同期数据进行对比</w:t>
                  </w:r>
                  <w:r>
                    <w:rPr>
                      <w:rFonts w:ascii="仿宋" w:hAnsi="仿宋" w:cs="仿宋" w:eastAsia="仿宋"/>
                      <w:sz w:val="24"/>
                    </w:rPr>
                    <w:t>。</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vMerge/>
                  <w:tcBorders>
                    <w:top w:val="none" w:color="000000" w:sz="4"/>
                    <w:left w:val="single" w:color="000000" w:sz="4"/>
                    <w:bottom w:val="single" w:color="000000" w:sz="4"/>
                    <w:right w:val="single" w:color="000000" w:sz="4"/>
                  </w:tcBorders>
                </w:tcPr>
                <w:p/>
              </w:tc>
              <w:tc>
                <w:tcPr>
                  <w:tcW w:type="dxa" w:w="19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b/>
                    </w:rPr>
                    <w:t>系统管理：</w:t>
                  </w:r>
                </w:p>
                <w:p>
                  <w:pPr>
                    <w:pStyle w:val="null3"/>
                    <w:ind w:firstLine="480"/>
                  </w:pPr>
                  <w:r>
                    <w:rPr>
                      <w:rFonts w:ascii="仿宋" w:hAnsi="仿宋" w:cs="仿宋" w:eastAsia="仿宋"/>
                      <w:sz w:val="24"/>
                    </w:rPr>
                    <w:t>1.机构管理</w:t>
                  </w:r>
                </w:p>
                <w:p>
                  <w:pPr>
                    <w:pStyle w:val="null3"/>
                    <w:ind w:firstLine="480"/>
                    <w:jc w:val="left"/>
                  </w:pPr>
                  <w:r>
                    <w:rPr>
                      <w:rFonts w:ascii="仿宋" w:hAnsi="仿宋" w:cs="仿宋" w:eastAsia="仿宋"/>
                      <w:sz w:val="24"/>
                    </w:rPr>
                    <w:t>维护机构基本信息、等级设置。</w:t>
                  </w:r>
                </w:p>
                <w:p>
                  <w:pPr>
                    <w:pStyle w:val="null3"/>
                    <w:ind w:firstLine="480"/>
                  </w:pPr>
                  <w:r>
                    <w:rPr>
                      <w:rFonts w:ascii="仿宋" w:hAnsi="仿宋" w:cs="仿宋" w:eastAsia="仿宋"/>
                      <w:sz w:val="24"/>
                    </w:rPr>
                    <w:t>2.科室管理</w:t>
                  </w:r>
                </w:p>
                <w:p>
                  <w:pPr>
                    <w:pStyle w:val="null3"/>
                    <w:ind w:firstLine="480"/>
                    <w:jc w:val="left"/>
                  </w:pPr>
                  <w:r>
                    <w:rPr>
                      <w:rFonts w:ascii="仿宋" w:hAnsi="仿宋" w:cs="仿宋" w:eastAsia="仿宋"/>
                      <w:sz w:val="24"/>
                    </w:rPr>
                    <w:t>维护机构内临床、医技、临床辅助、行政管理相关部门基本信息。</w:t>
                  </w:r>
                </w:p>
                <w:p>
                  <w:pPr>
                    <w:pStyle w:val="null3"/>
                    <w:ind w:firstLine="480"/>
                  </w:pPr>
                  <w:r>
                    <w:rPr>
                      <w:rFonts w:ascii="仿宋" w:hAnsi="仿宋" w:cs="仿宋" w:eastAsia="仿宋"/>
                      <w:sz w:val="24"/>
                    </w:rPr>
                    <w:t>3.人员管理</w:t>
                  </w:r>
                </w:p>
                <w:p>
                  <w:pPr>
                    <w:pStyle w:val="null3"/>
                    <w:ind w:firstLine="480"/>
                    <w:jc w:val="both"/>
                  </w:pPr>
                  <w:r>
                    <w:rPr>
                      <w:rFonts w:ascii="仿宋" w:hAnsi="仿宋" w:cs="仿宋" w:eastAsia="仿宋"/>
                      <w:sz w:val="24"/>
                    </w:rPr>
                    <w:t>维护机构内临床、医技、临床辅助、行政管理各部门所有人员基本信息。</w:t>
                  </w:r>
                </w:p>
                <w:p>
                  <w:pPr>
                    <w:pStyle w:val="null3"/>
                    <w:ind w:firstLine="480"/>
                  </w:pPr>
                  <w:r>
                    <w:rPr>
                      <w:rFonts w:ascii="仿宋" w:hAnsi="仿宋" w:cs="仿宋" w:eastAsia="仿宋"/>
                      <w:sz w:val="24"/>
                    </w:rPr>
                    <w:t>4.角色管理</w:t>
                  </w:r>
                </w:p>
                <w:p>
                  <w:pPr>
                    <w:pStyle w:val="null3"/>
                    <w:ind w:firstLine="480"/>
                    <w:jc w:val="both"/>
                  </w:pPr>
                  <w:r>
                    <w:rPr>
                      <w:rFonts w:ascii="仿宋" w:hAnsi="仿宋" w:cs="仿宋" w:eastAsia="仿宋"/>
                      <w:sz w:val="24"/>
                    </w:rPr>
                    <w:t>维护机构内所有人员不同角色相关权限。</w:t>
                  </w:r>
                </w:p>
                <w:p>
                  <w:pPr>
                    <w:pStyle w:val="null3"/>
                    <w:ind w:firstLine="480"/>
                  </w:pPr>
                  <w:r>
                    <w:rPr>
                      <w:rFonts w:ascii="仿宋" w:hAnsi="仿宋" w:cs="仿宋" w:eastAsia="仿宋"/>
                      <w:sz w:val="24"/>
                    </w:rPr>
                    <w:t>5.参数设置</w:t>
                  </w:r>
                </w:p>
                <w:p>
                  <w:pPr>
                    <w:pStyle w:val="null3"/>
                    <w:ind w:firstLine="480"/>
                    <w:jc w:val="left"/>
                  </w:pPr>
                  <w:r>
                    <w:rPr>
                      <w:rFonts w:ascii="仿宋" w:hAnsi="仿宋" w:cs="仿宋" w:eastAsia="仿宋"/>
                      <w:sz w:val="24"/>
                    </w:rPr>
                    <w:t>维护系统与具体业务系统对接开关、系统本身功能开关，方便出现问题时各业务系统系统的互不干扰。</w:t>
                  </w:r>
                </w:p>
                <w:p>
                  <w:pPr>
                    <w:pStyle w:val="null3"/>
                    <w:ind w:firstLine="480"/>
                  </w:pPr>
                  <w:r>
                    <w:rPr>
                      <w:rFonts w:ascii="仿宋" w:hAnsi="仿宋" w:cs="仿宋" w:eastAsia="仿宋"/>
                      <w:sz w:val="24"/>
                    </w:rPr>
                    <w:t>6.操作日志</w:t>
                  </w:r>
                </w:p>
                <w:p>
                  <w:pPr>
                    <w:pStyle w:val="null3"/>
                    <w:ind w:firstLine="480"/>
                    <w:jc w:val="left"/>
                  </w:pPr>
                  <w:r>
                    <w:rPr>
                      <w:rFonts w:ascii="仿宋" w:hAnsi="仿宋" w:cs="仿宋" w:eastAsia="仿宋"/>
                      <w:sz w:val="24"/>
                    </w:rPr>
                    <w:t>记录所有账号登录时间、</w:t>
                  </w:r>
                  <w:r>
                    <w:rPr>
                      <w:rFonts w:ascii="仿宋" w:hAnsi="仿宋" w:cs="仿宋" w:eastAsia="仿宋"/>
                      <w:sz w:val="24"/>
                    </w:rPr>
                    <w:t>IP、操作，可查询。</w:t>
                  </w:r>
                </w:p>
              </w:tc>
            </w:tr>
          </w:tbl>
          <w:p/>
        </w:tc>
      </w:tr>
    </w:tbl>
    <w:p>
      <w:pPr>
        <w:pStyle w:val="null3"/>
      </w:pPr>
      <w:r>
        <w:rPr/>
        <w:t>标的名称：集成及实施调试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仿宋" w:hAnsi="仿宋" w:cs="仿宋" w:eastAsia="仿宋"/>
                <w:sz w:val="24"/>
                <w:color w:val="000000"/>
              </w:rPr>
              <w:t>投标人提供的本项目所有服务首要涵盖本系统的实际部署与运用，包括项目执行、培训等相关费用，确保采购方能够熟练操作系统。其次，需要实现与医院信息系统（</w:t>
            </w:r>
            <w:r>
              <w:rPr>
                <w:rFonts w:ascii="仿宋" w:hAnsi="仿宋" w:cs="仿宋" w:eastAsia="仿宋"/>
                <w:sz w:val="24"/>
                <w:color w:val="000000"/>
              </w:rPr>
              <w:t>HIS）、体检系统以及电子病历系统的无缝集成，确保相关服务、功能与业务系统数据的准确对接。业务功能需要与现有的医疗信息系统完美融合，无缝地进行数据交换和信息共享，确保各个系统之间的数据一致性，避免数据冗余和错误，从而提高医疗服务的效率和质量。</w:t>
            </w:r>
          </w:p>
        </w:tc>
      </w:tr>
    </w:tbl>
    <w:p>
      <w:pPr>
        <w:pStyle w:val="null3"/>
        <w:outlineLvl w:val="3"/>
      </w:pPr>
      <w:r>
        <w:rPr>
          <w:sz w:val="24"/>
          <w:b/>
        </w:rPr>
        <w:t>3.2.3人员配置要求</w:t>
      </w:r>
    </w:p>
    <w:p>
      <w:pPr>
        <w:pStyle w:val="null3"/>
      </w:pPr>
      <w:r>
        <w:rPr/>
        <w:t>采购包1：</w:t>
      </w:r>
    </w:p>
    <w:p>
      <w:pPr>
        <w:pStyle w:val="null3"/>
      </w:pPr>
      <w:r>
        <w:rPr/>
        <w:t>详见服务要求</w:t>
      </w:r>
    </w:p>
    <w:p>
      <w:pPr>
        <w:pStyle w:val="null3"/>
        <w:outlineLvl w:val="3"/>
      </w:pPr>
      <w:r>
        <w:rPr>
          <w:sz w:val="24"/>
          <w:b/>
        </w:rPr>
        <w:t>3.2.4设施设备配置要求</w:t>
      </w:r>
    </w:p>
    <w:p>
      <w:pPr>
        <w:pStyle w:val="null3"/>
      </w:pPr>
      <w:r>
        <w:rPr/>
        <w:t>采购包1：</w:t>
      </w:r>
    </w:p>
    <w:p>
      <w:pPr>
        <w:pStyle w:val="null3"/>
      </w:pPr>
      <w:r>
        <w:rPr/>
        <w:t>详见服务要求</w:t>
      </w:r>
    </w:p>
    <w:p>
      <w:pPr>
        <w:pStyle w:val="null3"/>
        <w:outlineLvl w:val="3"/>
      </w:pPr>
      <w:r>
        <w:rPr>
          <w:sz w:val="24"/>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合同签订后50日内完成系统上线试运行，3个月内完成跟踪优化，并完成项目验收，系统经最终验收合格后维保期1年，终身维护。</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详见拟签订的合同文本</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合同签订后30个日历日内</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交付验收合格后30个日历日内</w:t>
      </w:r>
      <w:r>
        <w:rPr/>
        <w:t xml:space="preserve"> ，达到付款条件起 </w:t>
      </w:r>
      <w:r>
        <w:rPr/>
        <w:t>30</w:t>
      </w:r>
      <w:r>
        <w:rPr/>
        <w:t xml:space="preserve"> 日内，支付合同总金额的 </w:t>
      </w:r>
      <w:r>
        <w:rPr/>
        <w:t>45.00</w:t>
      </w:r>
      <w:r>
        <w:rPr/>
        <w:t>%。</w:t>
      </w:r>
    </w:p>
    <w:p>
      <w:pPr>
        <w:pStyle w:val="null3"/>
      </w:pPr>
      <w:r>
        <w:rPr/>
        <w:t>采购包1：</w:t>
      </w:r>
      <w:r>
        <w:rPr/>
        <w:t xml:space="preserve"> 付款条件说明： </w:t>
      </w:r>
      <w:r>
        <w:rPr/>
        <w:t>交付验收合格之日起12个月后</w:t>
      </w:r>
      <w:r>
        <w:rPr/>
        <w:t xml:space="preserve"> ，达到付款条件起 </w:t>
      </w:r>
      <w:r>
        <w:rPr/>
        <w:t>30</w:t>
      </w:r>
      <w:r>
        <w:rPr/>
        <w:t xml:space="preserve"> 日内，支付合同总金额的 </w:t>
      </w:r>
      <w:r>
        <w:rPr/>
        <w:t>5.00</w:t>
      </w:r>
      <w:r>
        <w:rPr/>
        <w:t>%。</w:t>
      </w:r>
    </w:p>
    <w:p>
      <w:pPr>
        <w:pStyle w:val="null3"/>
        <w:outlineLvl w:val="3"/>
      </w:pPr>
      <w:r>
        <w:rPr>
          <w:sz w:val="24"/>
          <w:b/>
        </w:rPr>
        <w:t>3.3.6违约责任与解决争议的方法</w:t>
      </w:r>
    </w:p>
    <w:p>
      <w:pPr>
        <w:pStyle w:val="null3"/>
      </w:pPr>
      <w:r>
        <w:rPr/>
        <w:t>采购包1：</w:t>
      </w:r>
    </w:p>
    <w:p>
      <w:pPr>
        <w:pStyle w:val="null3"/>
      </w:pPr>
      <w:r>
        <w:rPr/>
        <w:t>详见拟签订的合同文本</w:t>
      </w:r>
    </w:p>
    <w:p>
      <w:pPr>
        <w:pStyle w:val="null3"/>
        <w:jc w:val="left"/>
        <w:outlineLvl w:val="2"/>
      </w:pPr>
      <w:r>
        <w:rPr>
          <w:sz w:val="28"/>
          <w:b/>
        </w:rPr>
        <w:t>3.5其他要求</w:t>
      </w:r>
    </w:p>
    <w:p>
      <w:pPr>
        <w:pStyle w:val="null3"/>
      </w:pPr>
      <w:r>
        <w:rPr/>
        <w:t>详见拟签订的合同文本</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1、投标人合法注册的法人或其他组织的营业执照等证明文件，自然人的身份证明； 2、依法缴纳税收和社会保障资金的证明材料复印件； 3、具备履行合同所必需的设备和专业技术能力的承诺原件； 4、供应商参加政府采购活动前3年内在经营活动中没有重大违法记录的书面声明原件；</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供应商2023年度经审计的财务报表复印件，或本年度银行出具的资信证明；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t>资格证明文件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3322"/>
          </w:tcPr>
          <w:p>
            <w:pPr>
              <w:pStyle w:val="null3"/>
            </w:pPr>
            <w:r>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tc>
        <w:tc>
          <w:tcPr>
            <w:tcW w:type="dxa" w:w="3322"/>
          </w:tcPr>
          <w:p>
            <w:pPr>
              <w:pStyle w:val="null3"/>
            </w:pPr>
            <w:r>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投标方案 投标人参加政府采购活动承诺书 资格证明文件 投标函 中小企业声明函 残疾人福利性单位声明函 标的清单 投标保证金缴纳凭证明 投标文件封面 监狱企业的证明文件</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投标文件按招标文件要求签署、盖章的</w:t>
            </w:r>
          </w:p>
        </w:tc>
        <w:tc>
          <w:tcPr>
            <w:tcW w:type="dxa" w:w="1661"/>
          </w:tcPr>
          <w:p>
            <w:pPr>
              <w:pStyle w:val="null3"/>
            </w:pPr>
            <w:r>
              <w:rPr/>
              <w:t>开标一览表 投标方案 投标人参加政府采购活动承诺书 资格证明文件 投标函 中小企业声明函 残疾人福利性单位声明函 标的清单 投标保证金缴纳凭证明 投标文件封面 监狱企业的证明文件</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投标人投标报价未超出采购预算或最高限价</w:t>
            </w:r>
          </w:p>
        </w:tc>
        <w:tc>
          <w:tcPr>
            <w:tcW w:type="dxa" w:w="1661"/>
          </w:tcPr>
          <w:p>
            <w:pPr>
              <w:pStyle w:val="null3"/>
            </w:pPr>
            <w:r>
              <w:rPr/>
              <w:t>开标一览表 投标函 标的清单</w:t>
            </w:r>
          </w:p>
        </w:tc>
      </w:tr>
      <w:tr>
        <w:tc>
          <w:tcPr>
            <w:tcW w:type="dxa" w:w="831"/>
          </w:tcPr>
          <w:p>
            <w:pPr>
              <w:pStyle w:val="null3"/>
            </w:pPr>
            <w:r>
              <w:rPr/>
              <w:t>4</w:t>
            </w:r>
          </w:p>
        </w:tc>
        <w:tc>
          <w:tcPr>
            <w:tcW w:type="dxa" w:w="2492"/>
          </w:tcPr>
          <w:p>
            <w:pPr>
              <w:pStyle w:val="null3"/>
            </w:pPr>
            <w:r>
              <w:rPr/>
              <w:t>报价合理性</w:t>
            </w:r>
          </w:p>
        </w:tc>
        <w:tc>
          <w:tcPr>
            <w:tcW w:type="dxa" w:w="3322"/>
          </w:tcPr>
          <w:p>
            <w:pPr>
              <w:pStyle w:val="null3"/>
            </w:pPr>
            <w:r>
              <w:rPr/>
              <w:t>投标人的报价无明显低于其他通过符合性审查投标人的报价，无可能影响产品质量或者不能诚信履约。</w:t>
            </w:r>
          </w:p>
        </w:tc>
        <w:tc>
          <w:tcPr>
            <w:tcW w:type="dxa" w:w="1661"/>
          </w:tcPr>
          <w:p>
            <w:pPr>
              <w:pStyle w:val="null3"/>
            </w:pPr>
            <w:r>
              <w:rPr/>
              <w:t>开标一览表 投标函 标的清单</w:t>
            </w:r>
          </w:p>
        </w:tc>
      </w:tr>
      <w:tr>
        <w:tc>
          <w:tcPr>
            <w:tcW w:type="dxa" w:w="831"/>
          </w:tcPr>
          <w:p>
            <w:pPr>
              <w:pStyle w:val="null3"/>
            </w:pPr>
            <w:r>
              <w:rPr/>
              <w:t>5</w:t>
            </w:r>
          </w:p>
        </w:tc>
        <w:tc>
          <w:tcPr>
            <w:tcW w:type="dxa" w:w="2492"/>
          </w:tcPr>
          <w:p>
            <w:pPr>
              <w:pStyle w:val="null3"/>
            </w:pPr>
            <w:r>
              <w:rPr/>
              <w:t>投标内容</w:t>
            </w:r>
          </w:p>
        </w:tc>
        <w:tc>
          <w:tcPr>
            <w:tcW w:type="dxa" w:w="3322"/>
          </w:tcPr>
          <w:p>
            <w:pPr>
              <w:pStyle w:val="null3"/>
            </w:pPr>
            <w:r>
              <w:rPr/>
              <w:t>满足招标文件中商务要求或投标内容没有出现漏项或数量与要求不符或投标内容没有造成采购档次降低影响采购性能、功能；</w:t>
            </w:r>
          </w:p>
        </w:tc>
        <w:tc>
          <w:tcPr>
            <w:tcW w:type="dxa" w:w="1661"/>
          </w:tcPr>
          <w:p>
            <w:pPr>
              <w:pStyle w:val="null3"/>
            </w:pPr>
            <w:r>
              <w:rPr/>
              <w:t>开标一览表 投标方案 标的清单</w:t>
            </w:r>
          </w:p>
        </w:tc>
      </w:tr>
      <w:tr>
        <w:tc>
          <w:tcPr>
            <w:tcW w:type="dxa" w:w="831"/>
          </w:tcPr>
          <w:p>
            <w:pPr>
              <w:pStyle w:val="null3"/>
            </w:pPr>
            <w:r>
              <w:rPr/>
              <w:t>6</w:t>
            </w:r>
          </w:p>
        </w:tc>
        <w:tc>
          <w:tcPr>
            <w:tcW w:type="dxa" w:w="2492"/>
          </w:tcPr>
          <w:p>
            <w:pPr>
              <w:pStyle w:val="null3"/>
            </w:pPr>
            <w:r>
              <w:rPr/>
              <w:t>其它情形</w:t>
            </w:r>
          </w:p>
        </w:tc>
        <w:tc>
          <w:tcPr>
            <w:tcW w:type="dxa" w:w="3322"/>
          </w:tcPr>
          <w:p>
            <w:pPr>
              <w:pStyle w:val="null3"/>
            </w:pPr>
            <w:r>
              <w:rPr/>
              <w:t>不存在其它不符合法律法规或招标文件规定的投标无效条款</w:t>
            </w:r>
          </w:p>
        </w:tc>
        <w:tc>
          <w:tcPr>
            <w:tcW w:type="dxa" w:w="1661"/>
          </w:tcPr>
          <w:p>
            <w:pPr>
              <w:pStyle w:val="null3"/>
            </w:pPr>
            <w:r>
              <w:rPr/>
              <w:t>开标一览表 投标方案 投标人参加政府采购活动承诺书 资格证明文件 投标函 中小企业声明函 残疾人福利性单位声明函 标的清单 投标保证金缴纳凭证明 投标文件封面 监狱企业的证明文件</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保证金提交符合招标文件要求</w:t>
            </w:r>
          </w:p>
        </w:tc>
        <w:tc>
          <w:tcPr>
            <w:tcW w:type="dxa" w:w="1661"/>
          </w:tcPr>
          <w:p>
            <w:pPr>
              <w:pStyle w:val="null3"/>
            </w:pPr>
            <w:r>
              <w:rPr/>
              <w:t>投标保证金缴纳凭证明</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技术评审</w:t>
            </w:r>
          </w:p>
        </w:tc>
        <w:tc>
          <w:tcPr>
            <w:tcW w:type="dxa" w:w="2492"/>
          </w:tcPr>
          <w:p>
            <w:pPr>
              <w:pStyle w:val="null3"/>
            </w:pPr>
            <w:r>
              <w:rPr/>
              <w:t>完全响应或优于采购内容及技术要求得35分，“▲”号技术参数一项不满足扣3分，非“▲”号技术指标参数一项不满足扣1分，扣完为止。</w:t>
            </w:r>
          </w:p>
        </w:tc>
        <w:tc>
          <w:tcPr>
            <w:tcW w:type="dxa" w:w="831"/>
          </w:tcPr>
          <w:p>
            <w:pPr>
              <w:pStyle w:val="null3"/>
              <w:jc w:val="right"/>
            </w:pPr>
            <w:r>
              <w:rPr/>
              <w:t>35.0000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技术方案</w:t>
            </w:r>
          </w:p>
        </w:tc>
        <w:tc>
          <w:tcPr>
            <w:tcW w:type="dxa" w:w="2492"/>
          </w:tcPr>
          <w:p>
            <w:pPr>
              <w:pStyle w:val="null3"/>
            </w:pPr>
            <w:r>
              <w:rPr/>
              <w:t>投标人根据项目建设需求实际情况，给出现行状态下医院科学合理的系统技术方案。根据投标人的方案内容进行比较，方案对项目理解深入透彻，整体框架清晰，阐述内容主次分明，可操作性、可行性强，得10分；方案对项目理解较为深入，整体框架较清晰，阐述内容主次较为分明，具有一定的可操作性、可行性较强，得7分；方案对项目基本理解，整体框架基本清晰，阐述内容主次基本分明，方案具有基本的可操作性、可行性，得4分；方案对项目理解不够准确，整体框架不够清晰，阐述内容主次不分，方案可操作性、可行性差，得1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实施方案</w:t>
            </w:r>
          </w:p>
        </w:tc>
        <w:tc>
          <w:tcPr>
            <w:tcW w:type="dxa" w:w="2492"/>
          </w:tcPr>
          <w:p>
            <w:pPr>
              <w:pStyle w:val="null3"/>
            </w:pPr>
            <w:r>
              <w:rPr/>
              <w:t>投标人根据项目建设实际情况，科学合理的给出集成实施的时间表。以分阶段建设为目的，设置每个阶段目标，制定详细的规划和每阶段建设内容。对项目实施的进度计划及控制各阶段所要做的工作及保障措施做出详细安排。项目实施方案涵盖以上内容，逻辑清楚、内容完善，专业性及可操作性强，得7分；项目实施方案涵盖以上内容，逻辑清楚、内容完善，专业性及可操作性基本满足，得4分；项目实施方案对项目理解不透彻，整体框架不清晰，阐述内容主次不够明确，方案可操作性及可行性不够合理，得1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系统安全解决方案</w:t>
            </w:r>
          </w:p>
        </w:tc>
        <w:tc>
          <w:tcPr>
            <w:tcW w:type="dxa" w:w="2492"/>
          </w:tcPr>
          <w:p>
            <w:pPr>
              <w:pStyle w:val="null3"/>
            </w:pPr>
            <w:r>
              <w:rPr/>
              <w:t>根据投标人针对本项目提供的系统安全解决方案（内容需涵盖①系统数据库安全，②系统数据安全，③系统使用过程的维护与优化），由评标委员会进行评分：①方案内容完全包含系统数据库安全、系统数据安全、系统使用过程的维护与优化的得6分；②方案内容缺少系统数据库安全、系统数据安全、系统使用过程的维护与优化三项要求中任一项的得4分；③方案内容缺少系统数据库安全、系统数据安全、系统使用过程的维护与优化三项要求中任二项的得2分；④有重大偏离或未提供的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项目人员配备</w:t>
            </w:r>
          </w:p>
        </w:tc>
        <w:tc>
          <w:tcPr>
            <w:tcW w:type="dxa" w:w="2492"/>
          </w:tcPr>
          <w:p>
            <w:pPr>
              <w:pStyle w:val="null3"/>
            </w:pPr>
            <w:r>
              <w:rPr/>
              <w:t>人员配备设置合理，有项目负责人，有组织架构图，人员职责明确、分工安排清晰、合理。提供具体成员名单，包括姓名、工作职务、学历专业（提供相关证明文件）、联系方式等，按其响应程度自主赋分： 人员配备齐全、分工合理、专业相关、责任明确，计7分； 人员配备较全、分工较合理、专业较相关、责任较明确，计4分； 人员配备不足、分工不合理、专业不相关、责任不明确，计1分。 未提供人员配备的不得分。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应急方案</w:t>
            </w:r>
          </w:p>
        </w:tc>
        <w:tc>
          <w:tcPr>
            <w:tcW w:type="dxa" w:w="2492"/>
          </w:tcPr>
          <w:p>
            <w:pPr>
              <w:pStyle w:val="null3"/>
            </w:pPr>
            <w:r>
              <w:rPr/>
              <w:t>投标人提供本项目有可能发生的突发情况的应急方案，按响应程度：能及时应对突发情况且提供完善应急方案的得3分，应急方案部分详实或部分内容可操作性较强的得2分，方案不合理或未提供任何方案的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企业实力</w:t>
            </w:r>
          </w:p>
        </w:tc>
        <w:tc>
          <w:tcPr>
            <w:tcW w:type="dxa" w:w="2492"/>
          </w:tcPr>
          <w:p>
            <w:pPr>
              <w:pStyle w:val="null3"/>
            </w:pPr>
            <w:r>
              <w:rPr/>
              <w:t>1.投标人或所提供服务厂商提供在线开发平台软件著作权证书的得2分。（须提供有效的软件著作权证书复印件，未提供不得分）； 2.投标人或所提供服务厂商提供针对本项目相关的信息集成平台软件著作权证书，每提供一份得1分，满分3分。（须提供有效的软件著作权证书复印件，未提供不得分）。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售后服务与运维方案</w:t>
            </w:r>
          </w:p>
        </w:tc>
        <w:tc>
          <w:tcPr>
            <w:tcW w:type="dxa" w:w="2492"/>
          </w:tcPr>
          <w:p>
            <w:pPr>
              <w:pStyle w:val="null3"/>
            </w:pPr>
            <w:r>
              <w:rPr/>
              <w:t>根据投标人的针对本项目售后服务承诺、到达故障现场时间、故障出现解决方案、定期维护(注明时间)、维修方案、其他措施等内容进行评分：售后服务承诺内容符合实际、详细完整、效率高的得7分，售后服务承诺内容比较符合实际、比较详细完整、效率较高的得4分，售后服务承诺内容一般，承诺响应内容不够完善的得2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培训方案</w:t>
            </w:r>
          </w:p>
        </w:tc>
        <w:tc>
          <w:tcPr>
            <w:tcW w:type="dxa" w:w="2492"/>
          </w:tcPr>
          <w:p>
            <w:pPr>
              <w:pStyle w:val="null3"/>
            </w:pPr>
            <w:r>
              <w:rPr/>
              <w:t>根据投标人针对本项目提供的培训计划方案（内容包括但不限于：对采购人的管理人员、操作人员及维护人员进行培训等承诺情况）：方案包含的要点齐全无缺漏项、内容与要点相符、每个要点均有展开详细的阐述且能够适用于本项目得5分；方案所包含的要点、内容阐述不够具体详尽但基本能满足项目需求的得3分；方案所包含的要点有缺漏、内容与要点相符但仅有纲要、内容简略，未展开详细阐述的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投标人提供2021年11月1日以来（以合同签订时间为准）由投标人所完成的同类项目业绩，每提供一份得2.5分，满分5分。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满足招标文件要求且投标价格最低的投标报价为评标基准价，其价格分为满分。其他投标人的价格分统一按照下列公式计算：投标报价得分=（评标基准价/投标报价）×10。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投标函</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详见附件：投标方案</w:t>
      </w:r>
    </w:p>
    <w:p>
      <w:pPr>
        <w:pStyle w:val="null3"/>
        <w:ind w:firstLine="960"/>
      </w:pPr>
      <w:r>
        <w:rPr/>
        <w:t>详见附件：投标保证金缴纳凭证明</w:t>
      </w:r>
    </w:p>
    <w:p>
      <w:pPr>
        <w:pStyle w:val="null3"/>
        <w:ind w:firstLine="960"/>
      </w:pPr>
      <w:r>
        <w:rPr/>
        <w:t>详见附件：投标人参加政府采购活动承诺书</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