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胸部影像智能筛查和手术规划系统采购项目（二次）</w:t>
      </w:r>
    </w:p>
    <w:p>
      <w:pPr>
        <w:pStyle w:val="null3"/>
        <w:jc w:val="center"/>
        <w:outlineLvl w:val="2"/>
      </w:pPr>
      <w:r>
        <w:rPr>
          <w:sz w:val="28"/>
          <w:b/>
        </w:rPr>
        <w:t>采购项目编号：</w:t>
      </w:r>
      <w:r>
        <w:rPr>
          <w:sz w:val="28"/>
          <w:b/>
        </w:rPr>
        <w:t>SCZD2024-CS-2265-001R</w:t>
      </w:r>
      <w:r>
        <w:br/>
      </w:r>
      <w:r>
        <w:br/>
      </w:r>
      <w:r>
        <w:br/>
      </w:r>
    </w:p>
    <w:p>
      <w:pPr>
        <w:pStyle w:val="null3"/>
        <w:jc w:val="center"/>
        <w:outlineLvl w:val="2"/>
      </w:pPr>
      <w:r>
        <w:rPr>
          <w:sz w:val="28"/>
          <w:b/>
        </w:rPr>
        <w:t>汉中市中心医院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汉中市中心医院</w:t>
      </w:r>
      <w:r>
        <w:rPr/>
        <w:t>委托，拟对</w:t>
      </w:r>
      <w:r>
        <w:rPr/>
        <w:t>胸部影像智能筛查和手术规划系统采购项目（二次）</w:t>
      </w:r>
      <w:r>
        <w:rPr/>
        <w:t>进行国内公开招标，兹邀请符合本次招标要求的供应商参加投标。</w:t>
      </w:r>
    </w:p>
    <w:p>
      <w:pPr>
        <w:pStyle w:val="null3"/>
        <w:outlineLvl w:val="2"/>
      </w:pPr>
      <w:r>
        <w:rPr>
          <w:sz w:val="28"/>
          <w:b/>
        </w:rPr>
        <w:t>一、采购项目编号：</w:t>
      </w:r>
      <w:r>
        <w:rPr>
          <w:sz w:val="28"/>
          <w:b/>
        </w:rPr>
        <w:t>SCZD2024-CS-2265-001R</w:t>
      </w:r>
    </w:p>
    <w:p>
      <w:pPr>
        <w:pStyle w:val="null3"/>
        <w:outlineLvl w:val="2"/>
      </w:pPr>
      <w:r>
        <w:rPr>
          <w:sz w:val="28"/>
          <w:b/>
        </w:rPr>
        <w:t>二、采购项目名称：</w:t>
      </w:r>
      <w:r>
        <w:rPr>
          <w:sz w:val="28"/>
          <w:b/>
        </w:rPr>
        <w:t>胸部影像智能筛查和手术规划系统采购项目（二次）</w:t>
      </w:r>
    </w:p>
    <w:p>
      <w:pPr>
        <w:pStyle w:val="null3"/>
        <w:outlineLvl w:val="2"/>
      </w:pPr>
      <w:r>
        <w:rPr>
          <w:sz w:val="28"/>
          <w:b/>
        </w:rPr>
        <w:t>三、招标项目简介</w:t>
      </w:r>
    </w:p>
    <w:p>
      <w:pPr>
        <w:pStyle w:val="null3"/>
        <w:ind w:firstLine="480"/>
      </w:pPr>
      <w:r>
        <w:rPr/>
        <w:t>胸部影像智能筛查和手术规划系统1套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采购包1（汉中市中心医院胸部影像智能筛查和手术规划系统采购项目）：属于专门面向中小企业采购。</w:t>
      </w:r>
    </w:p>
    <w:p>
      <w:pPr>
        <w:pStyle w:val="null3"/>
        <w:ind w:firstLine="480"/>
      </w:pPr>
      <w:r>
        <w:rPr/>
        <w:t>（三）本项目的特定资格要求：</w:t>
      </w:r>
    </w:p>
    <w:p>
      <w:pPr>
        <w:pStyle w:val="null3"/>
      </w:pPr>
      <w:r>
        <w:rPr/>
        <w:t>采购包1：</w:t>
      </w:r>
    </w:p>
    <w:p>
      <w:pPr>
        <w:pStyle w:val="null3"/>
      </w:pPr>
      <w:r>
        <w:rPr/>
        <w:t>1、2.落实政府采购政策需满足的资格要求：本项目专门面向中小企业采购，供应商应按要求提供中小企业声明函或残疾人福利性单位声明函或监狱企业证明函。</w:t>
      </w:r>
    </w:p>
    <w:p>
      <w:pPr>
        <w:pStyle w:val="null3"/>
      </w:pPr>
      <w:r>
        <w:rPr/>
        <w:t>2、3.本项目的特定资格要求：3.1投标人在递交投标文件截止时间前被“信用中国”网站（www.creditchina.gov.cn）和中国政府采购网（www.ccgp.gov.cn）上被列入失信被执行人、重大税收违法失信主体、政府采购严重违法失信行为记录名单的，不得参加投标； 3.2投标人参加本项目的合法授权人授权委托书；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 3.3投标人具有医疗器械经营许可证或经营备案凭证（投标产品须在其经营范围内）； 3.4投标产品属于医疗器械管理的提供医疗器械注册证； 3.5需向采购代理机构获取采购文件并登记备案，未向采购代理机构获取采购文件并登记备案的供应商均无资格参加投标。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汉中市中心医院</w:t>
      </w:r>
    </w:p>
    <w:p>
      <w:pPr>
        <w:pStyle w:val="null3"/>
      </w:pPr>
      <w:r>
        <w:rPr/>
        <w:t xml:space="preserve"> 地址： </w:t>
      </w:r>
      <w:r>
        <w:rPr/>
        <w:t>汉中市汉台区康复路22号</w:t>
      </w:r>
    </w:p>
    <w:p>
      <w:pPr>
        <w:pStyle w:val="null3"/>
      </w:pPr>
      <w:r>
        <w:rPr/>
        <w:t xml:space="preserve"> 邮编： </w:t>
      </w:r>
      <w:r>
        <w:rPr/>
        <w:t>/</w:t>
      </w:r>
    </w:p>
    <w:p>
      <w:pPr>
        <w:pStyle w:val="null3"/>
      </w:pPr>
      <w:r>
        <w:rPr/>
        <w:t xml:space="preserve"> 联系人： </w:t>
      </w:r>
      <w:r>
        <w:rPr/>
        <w:t>陈正许</w:t>
      </w:r>
    </w:p>
    <w:p>
      <w:pPr>
        <w:pStyle w:val="null3"/>
      </w:pPr>
      <w:r>
        <w:rPr/>
        <w:t xml:space="preserve"> 联系电话： </w:t>
      </w:r>
      <w:r>
        <w:rPr/>
        <w:t>0916-2682065</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西安市高新二路2号山西证券大厦八层</w:t>
      </w:r>
    </w:p>
    <w:p>
      <w:pPr>
        <w:pStyle w:val="null3"/>
      </w:pPr>
      <w:r>
        <w:rPr/>
        <w:t xml:space="preserve"> 邮编： </w:t>
      </w:r>
      <w:r>
        <w:rPr/>
        <w:t>/</w:t>
      </w:r>
    </w:p>
    <w:p>
      <w:pPr>
        <w:pStyle w:val="null3"/>
      </w:pPr>
      <w:r>
        <w:rPr/>
        <w:t xml:space="preserve"> 联系人： </w:t>
      </w:r>
      <w:r>
        <w:rPr/>
        <w:t>曹文渊、雷鹏</w:t>
      </w:r>
    </w:p>
    <w:p>
      <w:pPr>
        <w:pStyle w:val="null3"/>
      </w:pPr>
      <w:r>
        <w:rPr/>
        <w:t xml:space="preserve"> 联系电话： </w:t>
      </w:r>
      <w:r>
        <w:rPr/>
        <w:t>029-88497916</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银行账号：102461558241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汉中市中心医院</w:t>
      </w:r>
      <w:r>
        <w:rPr/>
        <w:t>和</w:t>
      </w:r>
      <w:r>
        <w:rPr/>
        <w:t>陕西省采购招标有限责任公司</w:t>
      </w:r>
      <w:r>
        <w:rPr/>
        <w:t>享有。对招标文件中供应商参加本次政府采购活动应当具备的条件，招标项目技术、服务、商务及其他要求，评标细则及标准由</w:t>
      </w:r>
      <w:r>
        <w:rPr/>
        <w:t>汉中市中心医院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汉中市中心医院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 xml:space="preserve"> 符合国家、行业现行的设计、安全、质量等相关标准规范要求，与采购文件、投标（响应）文件和承诺相一致 。</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 029-85235014</w:t>
      </w:r>
    </w:p>
    <w:p>
      <w:pPr>
        <w:pStyle w:val="null3"/>
      </w:pPr>
      <w:r>
        <w:rPr/>
        <w:t>地址：西安市高新二路2号山西证券大厦八层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胸部影像智能筛查和手术规划系统1套</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胸部影像智能筛查和手术规划系统</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标的名称：胸部影像智能筛查和手术规划系统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  </w:t>
            </w:r>
            <w:r>
              <w:rPr>
                <w:rFonts w:ascii="仿宋" w:hAnsi="仿宋" w:cs="仿宋" w:eastAsia="仿宋"/>
                <w:sz w:val="32"/>
              </w:rPr>
              <w:t>系统架构：系统支持</w:t>
            </w:r>
            <w:r>
              <w:rPr>
                <w:rFonts w:ascii="&quot;times new roman&quot;, serif" w:hAnsi="&quot;times new roman&quot;, serif" w:cs="&quot;times new roman&quot;, serif" w:eastAsia="&quot;times new roman&quot;, serif"/>
                <w:sz w:val="32"/>
              </w:rPr>
              <w:t>B/S</w:t>
            </w:r>
            <w:r>
              <w:rPr>
                <w:rFonts w:ascii="仿宋" w:hAnsi="仿宋" w:cs="仿宋" w:eastAsia="仿宋"/>
                <w:sz w:val="32"/>
              </w:rPr>
              <w:t>和</w:t>
            </w:r>
            <w:r>
              <w:rPr>
                <w:rFonts w:ascii="&quot;times new roman&quot;, serif" w:hAnsi="&quot;times new roman&quot;, serif" w:cs="&quot;times new roman&quot;, serif" w:eastAsia="&quot;times new roman&quot;, serif"/>
                <w:sz w:val="32"/>
              </w:rPr>
              <w:t>C/S</w:t>
            </w:r>
            <w:r>
              <w:rPr>
                <w:rFonts w:ascii="仿宋" w:hAnsi="仿宋" w:cs="仿宋" w:eastAsia="仿宋"/>
                <w:sz w:val="32"/>
              </w:rPr>
              <w:t>双架构；</w:t>
            </w:r>
          </w:p>
        </w:tc>
      </w:tr>
      <w:tr>
        <w:tc>
          <w:tcPr>
            <w:tcW w:type="dxa" w:w="2769"/>
          </w:tcPr>
          <w:p/>
        </w:tc>
        <w:tc>
          <w:tcPr>
            <w:tcW w:type="dxa" w:w="2769"/>
          </w:tcPr>
          <w:p>
            <w:pPr>
              <w:pStyle w:val="null3"/>
            </w:pPr>
            <w:r>
              <w:rPr/>
              <w:t>2</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2.  </w:t>
            </w:r>
            <w:r>
              <w:rPr>
                <w:rFonts w:ascii="仿宋" w:hAnsi="仿宋" w:cs="仿宋" w:eastAsia="仿宋"/>
                <w:sz w:val="32"/>
              </w:rPr>
              <w:t>支持自动识别医学图像中的结节，自动识别疑似肿块、混合磨玻璃、纯磨玻璃、实性、叶间裂、钙化等结节性质信息；</w:t>
            </w:r>
          </w:p>
        </w:tc>
      </w:tr>
      <w:tr>
        <w:tc>
          <w:tcPr>
            <w:tcW w:type="dxa" w:w="2769"/>
          </w:tcPr>
          <w:p/>
        </w:tc>
        <w:tc>
          <w:tcPr>
            <w:tcW w:type="dxa" w:w="2769"/>
          </w:tcPr>
          <w:p>
            <w:pPr>
              <w:pStyle w:val="null3"/>
            </w:pPr>
            <w:r>
              <w:rPr/>
              <w:t>3</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3.  </w:t>
            </w:r>
            <w:r>
              <w:rPr>
                <w:rFonts w:ascii="仿宋" w:hAnsi="仿宋" w:cs="仿宋" w:eastAsia="仿宋"/>
                <w:sz w:val="32"/>
              </w:rPr>
              <w:t>支持结节筛选和结节排序功能；</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quot;times new roman&quot;, serif" w:hAnsi="&quot;times new roman&quot;, serif" w:cs="&quot;times new roman&quot;, serif" w:eastAsia="&quot;times new roman&quot;, serif"/>
                <w:sz w:val="32"/>
              </w:rPr>
              <w:t>4.  ▲</w:t>
            </w:r>
            <w:r>
              <w:rPr>
                <w:rFonts w:ascii="仿宋" w:hAnsi="仿宋" w:cs="仿宋" w:eastAsia="仿宋"/>
                <w:sz w:val="32"/>
              </w:rPr>
              <w:t>支持从胸部</w:t>
            </w:r>
            <w:r>
              <w:rPr>
                <w:rFonts w:ascii="&quot;times new roman&quot;, serif" w:hAnsi="&quot;times new roman&quot;, serif" w:cs="&quot;times new roman&quot;, serif" w:eastAsia="&quot;times new roman&quot;, serif"/>
                <w:sz w:val="32"/>
              </w:rPr>
              <w:t>CT</w:t>
            </w:r>
            <w:r>
              <w:rPr>
                <w:rFonts w:ascii="仿宋" w:hAnsi="仿宋" w:cs="仿宋" w:eastAsia="仿宋"/>
                <w:sz w:val="32"/>
              </w:rPr>
              <w:t>影像提取并自动三维重建多种病灶、器官或解剖结构，包括结节、肺组织、支气管、肺动脉、肺静脉等，且自动适配</w:t>
            </w:r>
            <w:r>
              <w:rPr>
                <w:rFonts w:ascii="&quot;times new roman&quot;, serif" w:hAnsi="&quot;times new roman&quot;, serif" w:cs="&quot;times new roman&quot;, serif" w:eastAsia="&quot;times new roman&quot;, serif"/>
                <w:sz w:val="32"/>
              </w:rPr>
              <w:t>CT</w:t>
            </w:r>
            <w:r>
              <w:rPr>
                <w:rFonts w:ascii="仿宋" w:hAnsi="仿宋" w:cs="仿宋" w:eastAsia="仿宋"/>
                <w:sz w:val="32"/>
              </w:rPr>
              <w:t>平扫数据和</w:t>
            </w:r>
            <w:r>
              <w:rPr>
                <w:rFonts w:ascii="&quot;times new roman&quot;, serif" w:hAnsi="&quot;times new roman&quot;, serif" w:cs="&quot;times new roman&quot;, serif" w:eastAsia="&quot;times new roman&quot;, serif"/>
                <w:sz w:val="32"/>
              </w:rPr>
              <w:t>CT</w:t>
            </w:r>
            <w:r>
              <w:rPr>
                <w:rFonts w:ascii="仿宋" w:hAnsi="仿宋" w:cs="仿宋" w:eastAsia="仿宋"/>
                <w:sz w:val="32"/>
              </w:rPr>
              <w:t>增强数据；提供产品功能截图</w:t>
            </w:r>
          </w:p>
        </w:tc>
      </w:tr>
      <w:tr>
        <w:tc>
          <w:tcPr>
            <w:tcW w:type="dxa" w:w="2769"/>
          </w:tcPr>
          <w:p/>
        </w:tc>
        <w:tc>
          <w:tcPr>
            <w:tcW w:type="dxa" w:w="2769"/>
          </w:tcPr>
          <w:p>
            <w:pPr>
              <w:pStyle w:val="null3"/>
            </w:pPr>
            <w:r>
              <w:rPr/>
              <w:t>5</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5.  </w:t>
            </w:r>
            <w:r>
              <w:rPr>
                <w:rFonts w:ascii="仿宋" w:hAnsi="仿宋" w:cs="仿宋" w:eastAsia="仿宋"/>
                <w:sz w:val="32"/>
              </w:rPr>
              <w:t>支持在三维图像上进行</w:t>
            </w:r>
            <w:r>
              <w:rPr>
                <w:rFonts w:ascii="&quot;times new roman&quot;, serif" w:hAnsi="&quot;times new roman&quot;, serif" w:cs="&quot;times new roman&quot;, serif" w:eastAsia="&quot;times new roman&quot;, serif"/>
                <w:sz w:val="32"/>
              </w:rPr>
              <w:t>3D</w:t>
            </w:r>
            <w:r>
              <w:rPr>
                <w:rFonts w:ascii="仿宋" w:hAnsi="仿宋" w:cs="仿宋" w:eastAsia="仿宋"/>
                <w:sz w:val="32"/>
              </w:rPr>
              <w:t>播放，实现自动旋转播放</w:t>
            </w:r>
            <w:r>
              <w:rPr>
                <w:rFonts w:ascii="&quot;times new roman&quot;, serif" w:hAnsi="&quot;times new roman&quot;, serif" w:cs="&quot;times new roman&quot;, serif" w:eastAsia="&quot;times new roman&quot;, serif"/>
                <w:sz w:val="32"/>
              </w:rPr>
              <w:t>3D</w:t>
            </w:r>
            <w:r>
              <w:rPr>
                <w:rFonts w:ascii="仿宋" w:hAnsi="仿宋" w:cs="仿宋" w:eastAsia="仿宋"/>
                <w:sz w:val="32"/>
              </w:rPr>
              <w:t>模型；提供产品功能截图</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quot;times new roman&quot;, serif" w:hAnsi="&quot;times new roman&quot;, serif" w:cs="&quot;times new roman&quot;, serif" w:eastAsia="&quot;times new roman&quot;, serif"/>
                <w:sz w:val="32"/>
              </w:rPr>
              <w:t>6.  ▲</w:t>
            </w:r>
            <w:r>
              <w:rPr>
                <w:rFonts w:ascii="仿宋" w:hAnsi="仿宋" w:cs="仿宋" w:eastAsia="仿宋"/>
                <w:sz w:val="32"/>
              </w:rPr>
              <w:t>在三维重建控制台，具备全肺模式和肺叶模式两个独立控制按键，具备一键切换模式功能，使得用户在关注肺部解剖和病灶的全局结构的同时，也可以聚焦靶肺叶进行局部和细节的观察分析；提供产品功能截图</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quot;times new roman&quot;, serif" w:hAnsi="&quot;times new roman&quot;, serif" w:cs="&quot;times new roman&quot;, serif" w:eastAsia="&quot;times new roman&quot;, serif"/>
                <w:sz w:val="32"/>
              </w:rPr>
              <w:t>7.  ▲</w:t>
            </w:r>
            <w:r>
              <w:rPr>
                <w:rFonts w:ascii="仿宋" w:hAnsi="仿宋" w:cs="仿宋" w:eastAsia="仿宋"/>
                <w:sz w:val="32"/>
              </w:rPr>
              <w:t>自动识别各个肺段支气管，辅助医生对不同肺段、关键支气管进行识别和定位；提供产品功能截图</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quot;times new roman&quot;, serif" w:hAnsi="&quot;times new roman&quot;, serif" w:cs="&quot;times new roman&quot;, serif" w:eastAsia="&quot;times new roman&quot;, serif"/>
                <w:sz w:val="32"/>
              </w:rPr>
              <w:t>8.  ▲</w:t>
            </w:r>
            <w:r>
              <w:rPr>
                <w:rFonts w:ascii="仿宋" w:hAnsi="仿宋" w:cs="仿宋" w:eastAsia="仿宋"/>
                <w:sz w:val="32"/>
              </w:rPr>
              <w:t>支持两档不同精细度的肺动</w:t>
            </w:r>
            <w:r>
              <w:rPr>
                <w:rFonts w:ascii="&quot;times new roman&quot;, serif" w:hAnsi="&quot;times new roman&quot;, serif" w:cs="&quot;times new roman&quot;, serif" w:eastAsia="&quot;times new roman&quot;, serif"/>
                <w:sz w:val="32"/>
              </w:rPr>
              <w:t>/</w:t>
            </w:r>
            <w:r>
              <w:rPr>
                <w:rFonts w:ascii="仿宋" w:hAnsi="仿宋" w:cs="仿宋" w:eastAsia="仿宋"/>
                <w:sz w:val="32"/>
              </w:rPr>
              <w:t>静脉血管自动重建，满足不同的手术场景需求，在三维重建控制台具备精细度选择按键；提供产品功能截图</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quot;times new roman&quot;, serif" w:hAnsi="&quot;times new roman&quot;, serif" w:cs="&quot;times new roman&quot;, serif" w:eastAsia="&quot;times new roman&quot;, serif"/>
                <w:sz w:val="32"/>
              </w:rPr>
              <w:t>9.  ▲</w:t>
            </w:r>
            <w:r>
              <w:rPr>
                <w:rFonts w:ascii="仿宋" w:hAnsi="仿宋" w:cs="仿宋" w:eastAsia="仿宋"/>
                <w:sz w:val="32"/>
              </w:rPr>
              <w:t>肺叶模式：支持以肺叶为单位，对肺动脉</w:t>
            </w:r>
            <w:r>
              <w:rPr>
                <w:rFonts w:ascii="&quot;times new roman&quot;, serif" w:hAnsi="&quot;times new roman&quot;, serif" w:cs="&quot;times new roman&quot;, serif" w:eastAsia="&quot;times new roman&quot;, serif"/>
                <w:sz w:val="32"/>
              </w:rPr>
              <w:t>/</w:t>
            </w:r>
            <w:r>
              <w:rPr>
                <w:rFonts w:ascii="仿宋" w:hAnsi="仿宋" w:cs="仿宋" w:eastAsia="仿宋"/>
                <w:sz w:val="32"/>
              </w:rPr>
              <w:t>肺静脉</w:t>
            </w:r>
            <w:r>
              <w:rPr>
                <w:rFonts w:ascii="&quot;times new roman&quot;, serif" w:hAnsi="&quot;times new roman&quot;, serif" w:cs="&quot;times new roman&quot;, serif" w:eastAsia="&quot;times new roman&quot;, serif"/>
                <w:sz w:val="32"/>
              </w:rPr>
              <w:t>/</w:t>
            </w:r>
            <w:r>
              <w:rPr>
                <w:rFonts w:ascii="仿宋" w:hAnsi="仿宋" w:cs="仿宋" w:eastAsia="仿宋"/>
                <w:sz w:val="32"/>
              </w:rPr>
              <w:t>支气管主干和</w:t>
            </w:r>
            <w:r>
              <w:rPr>
                <w:rFonts w:ascii="&quot;times new roman&quot;, serif" w:hAnsi="&quot;times new roman&quot;, serif" w:cs="&quot;times new roman&quot;, serif" w:eastAsia="&quot;times new roman&quot;, serif"/>
                <w:sz w:val="32"/>
              </w:rPr>
              <w:t>5</w:t>
            </w:r>
            <w:r>
              <w:rPr>
                <w:rFonts w:ascii="仿宋" w:hAnsi="仿宋" w:cs="仿宋" w:eastAsia="仿宋"/>
                <w:sz w:val="32"/>
              </w:rPr>
              <w:t>个肺叶分支的肺动脉</w:t>
            </w:r>
            <w:r>
              <w:rPr>
                <w:rFonts w:ascii="&quot;times new roman&quot;, serif" w:hAnsi="&quot;times new roman&quot;, serif" w:cs="&quot;times new roman&quot;, serif" w:eastAsia="&quot;times new roman&quot;, serif"/>
                <w:sz w:val="32"/>
              </w:rPr>
              <w:t>/</w:t>
            </w:r>
            <w:r>
              <w:rPr>
                <w:rFonts w:ascii="仿宋" w:hAnsi="仿宋" w:cs="仿宋" w:eastAsia="仿宋"/>
                <w:sz w:val="32"/>
              </w:rPr>
              <w:t>肺静脉</w:t>
            </w:r>
            <w:r>
              <w:rPr>
                <w:rFonts w:ascii="&quot;times new roman&quot;, serif" w:hAnsi="&quot;times new roman&quot;, serif" w:cs="&quot;times new roman&quot;, serif" w:eastAsia="&quot;times new roman&quot;, serif"/>
                <w:sz w:val="32"/>
              </w:rPr>
              <w:t>/</w:t>
            </w:r>
            <w:r>
              <w:rPr>
                <w:rFonts w:ascii="仿宋" w:hAnsi="仿宋" w:cs="仿宋" w:eastAsia="仿宋"/>
                <w:sz w:val="32"/>
              </w:rPr>
              <w:t>支气管，分别进行显示、隐藏、调整颜色和透明度；提供产品功能截图</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quot;times new roman&quot;, serif" w:hAnsi="&quot;times new roman&quot;, serif" w:cs="&quot;times new roman&quot;, serif" w:eastAsia="&quot;times new roman&quot;, serif"/>
                <w:sz w:val="32"/>
              </w:rPr>
              <w:t>10. ▲</w:t>
            </w:r>
            <w:r>
              <w:rPr>
                <w:rFonts w:ascii="仿宋" w:hAnsi="仿宋" w:cs="仿宋" w:eastAsia="仿宋"/>
                <w:sz w:val="32"/>
              </w:rPr>
              <w:t>病灶切缘：按照临床需求，可选择最大径切缘或</w:t>
            </w:r>
            <w:r>
              <w:rPr>
                <w:rFonts w:ascii="&quot;times new roman&quot;, serif" w:hAnsi="&quot;times new roman&quot;, serif" w:cs="&quot;times new roman&quot;, serif" w:eastAsia="&quot;times new roman&quot;, serif"/>
                <w:sz w:val="32"/>
              </w:rPr>
              <w:t>2cm</w:t>
            </w:r>
            <w:r>
              <w:rPr>
                <w:rFonts w:ascii="仿宋" w:hAnsi="仿宋" w:cs="仿宋" w:eastAsia="仿宋"/>
                <w:sz w:val="32"/>
              </w:rPr>
              <w:t>切缘，并可进行显示、隐藏、透明度调整；</w:t>
            </w:r>
          </w:p>
        </w:tc>
      </w:tr>
      <w:tr>
        <w:tc>
          <w:tcPr>
            <w:tcW w:type="dxa" w:w="2769"/>
          </w:tcPr>
          <w:p/>
        </w:tc>
        <w:tc>
          <w:tcPr>
            <w:tcW w:type="dxa" w:w="2769"/>
          </w:tcPr>
          <w:p>
            <w:pPr>
              <w:pStyle w:val="null3"/>
            </w:pPr>
            <w:r>
              <w:rPr/>
              <w:t>11</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11. </w:t>
            </w:r>
            <w:r>
              <w:rPr>
                <w:rFonts w:ascii="仿宋" w:hAnsi="仿宋" w:cs="仿宋" w:eastAsia="仿宋"/>
                <w:sz w:val="32"/>
              </w:rPr>
              <w:t>肺动脉</w:t>
            </w:r>
            <w:r>
              <w:rPr>
                <w:rFonts w:ascii="&quot;times new roman&quot;, serif" w:hAnsi="&quot;times new roman&quot;, serif" w:cs="&quot;times new roman&quot;, serif" w:eastAsia="&quot;times new roman&quot;, serif"/>
                <w:sz w:val="32"/>
              </w:rPr>
              <w:t>3D</w:t>
            </w:r>
            <w:r>
              <w:rPr>
                <w:rFonts w:ascii="仿宋" w:hAnsi="仿宋" w:cs="仿宋" w:eastAsia="仿宋"/>
                <w:sz w:val="32"/>
              </w:rPr>
              <w:t>重建，应包含完整的左、右肺动脉到不低于肺亚亚段动脉的肺动脉；提供产品功能截图</w:t>
            </w:r>
          </w:p>
        </w:tc>
      </w:tr>
      <w:tr>
        <w:tc>
          <w:tcPr>
            <w:tcW w:type="dxa" w:w="2769"/>
          </w:tcPr>
          <w:p/>
        </w:tc>
        <w:tc>
          <w:tcPr>
            <w:tcW w:type="dxa" w:w="2769"/>
          </w:tcPr>
          <w:p>
            <w:pPr>
              <w:pStyle w:val="null3"/>
            </w:pPr>
            <w:r>
              <w:rPr/>
              <w:t>12</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12. </w:t>
            </w:r>
            <w:r>
              <w:rPr>
                <w:rFonts w:ascii="仿宋" w:hAnsi="仿宋" w:cs="仿宋" w:eastAsia="仿宋"/>
                <w:sz w:val="32"/>
              </w:rPr>
              <w:t>肺静脉</w:t>
            </w:r>
            <w:r>
              <w:rPr>
                <w:rFonts w:ascii="&quot;times new roman&quot;, serif" w:hAnsi="&quot;times new roman&quot;, serif" w:cs="&quot;times new roman&quot;, serif" w:eastAsia="&quot;times new roman&quot;, serif"/>
                <w:sz w:val="32"/>
              </w:rPr>
              <w:t>3D</w:t>
            </w:r>
            <w:r>
              <w:rPr>
                <w:rFonts w:ascii="仿宋" w:hAnsi="仿宋" w:cs="仿宋" w:eastAsia="仿宋"/>
                <w:sz w:val="32"/>
              </w:rPr>
              <w:t>重建，应包含从不低于亚亚段的肺静脉到左、右肺静脉直至汇聚成单根肺静脉和部分左心房；提供产品功能截图</w:t>
            </w:r>
          </w:p>
        </w:tc>
      </w:tr>
      <w:tr>
        <w:tc>
          <w:tcPr>
            <w:tcW w:type="dxa" w:w="2769"/>
          </w:tcPr>
          <w:p/>
        </w:tc>
        <w:tc>
          <w:tcPr>
            <w:tcW w:type="dxa" w:w="2769"/>
          </w:tcPr>
          <w:p>
            <w:pPr>
              <w:pStyle w:val="null3"/>
            </w:pPr>
            <w:r>
              <w:rPr/>
              <w:t>13</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13. </w:t>
            </w:r>
            <w:r>
              <w:rPr>
                <w:rFonts w:ascii="仿宋" w:hAnsi="仿宋" w:cs="仿宋" w:eastAsia="仿宋"/>
                <w:sz w:val="32"/>
              </w:rPr>
              <w:t>气管、支气管</w:t>
            </w:r>
            <w:r>
              <w:rPr>
                <w:rFonts w:ascii="&quot;times new roman&quot;, serif" w:hAnsi="&quot;times new roman&quot;, serif" w:cs="&quot;times new roman&quot;, serif" w:eastAsia="&quot;times new roman&quot;, serif"/>
                <w:sz w:val="32"/>
              </w:rPr>
              <w:t>3D</w:t>
            </w:r>
            <w:r>
              <w:rPr>
                <w:rFonts w:ascii="仿宋" w:hAnsi="仿宋" w:cs="仿宋" w:eastAsia="仿宋"/>
                <w:sz w:val="32"/>
              </w:rPr>
              <w:t>重建，应包含从气管到左、右主支气管、叶支气管、段支气管、亚段支气管、亚亚段支气管的自动重建；</w:t>
            </w:r>
          </w:p>
        </w:tc>
      </w:tr>
      <w:tr>
        <w:tc>
          <w:tcPr>
            <w:tcW w:type="dxa" w:w="2769"/>
          </w:tcPr>
          <w:p/>
        </w:tc>
        <w:tc>
          <w:tcPr>
            <w:tcW w:type="dxa" w:w="2769"/>
          </w:tcPr>
          <w:p>
            <w:pPr>
              <w:pStyle w:val="null3"/>
            </w:pPr>
            <w:r>
              <w:rPr/>
              <w:t>14</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14. </w:t>
            </w:r>
            <w:r>
              <w:rPr>
                <w:rFonts w:ascii="仿宋" w:hAnsi="仿宋" w:cs="仿宋" w:eastAsia="仿宋"/>
                <w:sz w:val="32"/>
              </w:rPr>
              <w:t>产品对每一例平扫</w:t>
            </w:r>
            <w:r>
              <w:rPr>
                <w:rFonts w:ascii="&quot;times new roman&quot;, serif" w:hAnsi="&quot;times new roman&quot;, serif" w:cs="&quot;times new roman&quot;, serif" w:eastAsia="&quot;times new roman&quot;, serif"/>
                <w:sz w:val="32"/>
              </w:rPr>
              <w:t>CT</w:t>
            </w:r>
            <w:r>
              <w:rPr>
                <w:rFonts w:ascii="仿宋" w:hAnsi="仿宋" w:cs="仿宋" w:eastAsia="仿宋"/>
                <w:sz w:val="32"/>
              </w:rPr>
              <w:t>数据重建，平均重建时间应＜</w:t>
            </w:r>
            <w:r>
              <w:rPr>
                <w:rFonts w:ascii="&quot;times new roman&quot;, serif" w:hAnsi="&quot;times new roman&quot;, serif" w:cs="&quot;times new roman&quot;, serif" w:eastAsia="&quot;times new roman&quot;, serif"/>
                <w:sz w:val="32"/>
              </w:rPr>
              <w:t>5</w:t>
            </w:r>
            <w:r>
              <w:rPr>
                <w:rFonts w:ascii="仿宋" w:hAnsi="仿宋" w:cs="仿宋" w:eastAsia="仿宋"/>
                <w:sz w:val="32"/>
              </w:rPr>
              <w:t>分钟，提供文献证明；</w:t>
            </w:r>
          </w:p>
        </w:tc>
      </w:tr>
      <w:tr>
        <w:tc>
          <w:tcPr>
            <w:tcW w:type="dxa" w:w="2769"/>
          </w:tcPr>
          <w:p/>
        </w:tc>
        <w:tc>
          <w:tcPr>
            <w:tcW w:type="dxa" w:w="2769"/>
          </w:tcPr>
          <w:p>
            <w:pPr>
              <w:pStyle w:val="null3"/>
            </w:pPr>
            <w:r>
              <w:rPr/>
              <w:t>15</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15. </w:t>
            </w:r>
            <w:r>
              <w:rPr>
                <w:rFonts w:ascii="仿宋" w:hAnsi="仿宋" w:cs="仿宋" w:eastAsia="仿宋"/>
                <w:sz w:val="32"/>
              </w:rPr>
              <w:t>动静脉血管和支气管重建精准度</w:t>
            </w:r>
            <w:r>
              <w:rPr>
                <w:rFonts w:ascii="&quot;times new roman&quot;, serif" w:hAnsi="&quot;times new roman&quot;, serif" w:cs="&quot;times new roman&quot;, serif" w:eastAsia="&quot;times new roman&quot;, serif"/>
                <w:sz w:val="32"/>
              </w:rPr>
              <w:t>≥85%</w:t>
            </w:r>
            <w:r>
              <w:rPr>
                <w:rFonts w:ascii="仿宋" w:hAnsi="仿宋" w:cs="仿宋" w:eastAsia="仿宋"/>
                <w:sz w:val="32"/>
              </w:rPr>
              <w:t>，动静脉血管分类的精准度</w:t>
            </w:r>
            <w:r>
              <w:rPr>
                <w:rFonts w:ascii="&quot;times new roman&quot;, serif" w:hAnsi="&quot;times new roman&quot;, serif" w:cs="&quot;times new roman&quot;, serif" w:eastAsia="&quot;times new roman&quot;, serif"/>
                <w:sz w:val="32"/>
              </w:rPr>
              <w:t>≥80%</w:t>
            </w:r>
            <w:r>
              <w:rPr>
                <w:rFonts w:ascii="仿宋" w:hAnsi="仿宋" w:cs="仿宋" w:eastAsia="仿宋"/>
                <w:sz w:val="32"/>
              </w:rPr>
              <w:t>，提供文献证明；</w:t>
            </w:r>
          </w:p>
        </w:tc>
      </w:tr>
      <w:tr>
        <w:tc>
          <w:tcPr>
            <w:tcW w:type="dxa" w:w="2769"/>
          </w:tcPr>
          <w:p/>
        </w:tc>
        <w:tc>
          <w:tcPr>
            <w:tcW w:type="dxa" w:w="2769"/>
          </w:tcPr>
          <w:p>
            <w:pPr>
              <w:pStyle w:val="null3"/>
            </w:pPr>
            <w:r>
              <w:rPr/>
              <w:t>16</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16. </w:t>
            </w:r>
            <w:r>
              <w:rPr>
                <w:rFonts w:ascii="仿宋" w:hAnsi="仿宋" w:cs="仿宋" w:eastAsia="仿宋"/>
                <w:sz w:val="32"/>
              </w:rPr>
              <w:t>产品经过多中心验证，不少于</w:t>
            </w:r>
            <w:r>
              <w:rPr>
                <w:rFonts w:ascii="&quot;times new roman&quot;, serif" w:hAnsi="&quot;times new roman&quot;, serif" w:cs="&quot;times new roman&quot;, serif" w:eastAsia="&quot;times new roman&quot;, serif"/>
                <w:sz w:val="32"/>
              </w:rPr>
              <w:t>3</w:t>
            </w:r>
            <w:r>
              <w:rPr>
                <w:rFonts w:ascii="仿宋" w:hAnsi="仿宋" w:cs="仿宋" w:eastAsia="仿宋"/>
                <w:sz w:val="32"/>
              </w:rPr>
              <w:t>家医院联合发表文献验证产品性能，</w:t>
            </w:r>
            <w:r>
              <w:rPr>
                <w:rFonts w:ascii="&quot;times new roman&quot;, serif" w:hAnsi="&quot;times new roman&quot;, serif" w:cs="&quot;times new roman&quot;, serif" w:eastAsia="&quot;times new roman&quot;, serif"/>
                <w:sz w:val="32"/>
              </w:rPr>
              <w:t>AI</w:t>
            </w:r>
            <w:r>
              <w:rPr>
                <w:rFonts w:ascii="仿宋" w:hAnsi="仿宋" w:cs="仿宋" w:eastAsia="仿宋"/>
                <w:sz w:val="32"/>
              </w:rPr>
              <w:t>模型在肺血管中的整体病例准确度＞</w:t>
            </w:r>
            <w:r>
              <w:rPr>
                <w:rFonts w:ascii="&quot;times new roman&quot;, serif" w:hAnsi="&quot;times new roman&quot;, serif" w:cs="&quot;times new roman&quot;, serif" w:eastAsia="&quot;times new roman&quot;, serif"/>
                <w:sz w:val="32"/>
              </w:rPr>
              <w:t>82%</w:t>
            </w:r>
            <w:r>
              <w:rPr>
                <w:rFonts w:ascii="仿宋" w:hAnsi="仿宋" w:cs="仿宋" w:eastAsia="仿宋"/>
                <w:sz w:val="32"/>
              </w:rPr>
              <w:t>、识别段级动脉准确度＞</w:t>
            </w:r>
            <w:r>
              <w:rPr>
                <w:rFonts w:ascii="&quot;times new roman&quot;, serif" w:hAnsi="&quot;times new roman&quot;, serif" w:cs="&quot;times new roman&quot;, serif" w:eastAsia="&quot;times new roman&quot;, serif"/>
                <w:sz w:val="32"/>
              </w:rPr>
              <w:t>79%</w:t>
            </w:r>
            <w:r>
              <w:rPr>
                <w:rFonts w:ascii="仿宋" w:hAnsi="仿宋" w:cs="仿宋" w:eastAsia="仿宋"/>
                <w:sz w:val="32"/>
              </w:rPr>
              <w:t>、识别叶级静脉的准确度＞</w:t>
            </w:r>
            <w:r>
              <w:rPr>
                <w:rFonts w:ascii="&quot;times new roman&quot;, serif" w:hAnsi="&quot;times new roman&quot;, serif" w:cs="&quot;times new roman&quot;, serif" w:eastAsia="&quot;times new roman&quot;, serif"/>
                <w:sz w:val="32"/>
              </w:rPr>
              <w:t>96%</w:t>
            </w:r>
            <w:r>
              <w:rPr>
                <w:rFonts w:ascii="仿宋" w:hAnsi="仿宋" w:cs="仿宋" w:eastAsia="仿宋"/>
                <w:sz w:val="32"/>
              </w:rPr>
              <w:t>，提供文献证明；</w:t>
            </w:r>
          </w:p>
        </w:tc>
      </w:tr>
      <w:tr>
        <w:tc>
          <w:tcPr>
            <w:tcW w:type="dxa" w:w="2769"/>
          </w:tcPr>
          <w:p/>
        </w:tc>
        <w:tc>
          <w:tcPr>
            <w:tcW w:type="dxa" w:w="2769"/>
          </w:tcPr>
          <w:p>
            <w:pPr>
              <w:pStyle w:val="null3"/>
            </w:pPr>
            <w:r>
              <w:rPr/>
              <w:t>17</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17. </w:t>
            </w:r>
            <w:r>
              <w:rPr>
                <w:rFonts w:ascii="仿宋" w:hAnsi="仿宋" w:cs="仿宋" w:eastAsia="仿宋"/>
                <w:sz w:val="32"/>
              </w:rPr>
              <w:t>支持将多种病灶、器官或解剖结构的三维重建结果与其二维图像上轮廓对应；</w:t>
            </w:r>
          </w:p>
        </w:tc>
      </w:tr>
      <w:tr>
        <w:tc>
          <w:tcPr>
            <w:tcW w:type="dxa" w:w="2769"/>
          </w:tcPr>
          <w:p/>
        </w:tc>
        <w:tc>
          <w:tcPr>
            <w:tcW w:type="dxa" w:w="2769"/>
          </w:tcPr>
          <w:p>
            <w:pPr>
              <w:pStyle w:val="null3"/>
            </w:pPr>
            <w:r>
              <w:rPr/>
              <w:t>18</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18. </w:t>
            </w:r>
            <w:r>
              <w:rPr>
                <w:rFonts w:ascii="仿宋" w:hAnsi="仿宋" w:cs="仿宋" w:eastAsia="仿宋"/>
                <w:sz w:val="32"/>
              </w:rPr>
              <w:t>屏幕录制：支持录制标签页、窗口、整个屏幕，录屏文件为</w:t>
            </w:r>
            <w:r>
              <w:rPr>
                <w:rFonts w:ascii="&quot;times new roman&quot;, serif" w:hAnsi="&quot;times new roman&quot;, serif" w:cs="&quot;times new roman&quot;, serif" w:eastAsia="&quot;times new roman&quot;, serif"/>
                <w:sz w:val="32"/>
              </w:rPr>
              <w:t>mp4</w:t>
            </w:r>
            <w:r>
              <w:rPr>
                <w:rFonts w:ascii="仿宋" w:hAnsi="仿宋" w:cs="仿宋" w:eastAsia="仿宋"/>
                <w:sz w:val="32"/>
              </w:rPr>
              <w:t>格式；提供产品功能截图</w:t>
            </w:r>
          </w:p>
        </w:tc>
      </w:tr>
      <w:tr>
        <w:tc>
          <w:tcPr>
            <w:tcW w:type="dxa" w:w="2769"/>
          </w:tcPr>
          <w:p/>
        </w:tc>
        <w:tc>
          <w:tcPr>
            <w:tcW w:type="dxa" w:w="2769"/>
          </w:tcPr>
          <w:p>
            <w:pPr>
              <w:pStyle w:val="null3"/>
            </w:pPr>
            <w:r>
              <w:rPr/>
              <w:t>19</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19. </w:t>
            </w:r>
            <w:r>
              <w:rPr>
                <w:rFonts w:ascii="仿宋" w:hAnsi="仿宋" w:cs="仿宋" w:eastAsia="仿宋"/>
                <w:sz w:val="32"/>
              </w:rPr>
              <w:t>支持对对气管、肺动脉、肺静脉进行自定义的套索删除，便于医生自定义查看病灶与各管道间的关系；提供产品功能截图</w:t>
            </w:r>
          </w:p>
        </w:tc>
      </w:tr>
      <w:tr>
        <w:tc>
          <w:tcPr>
            <w:tcW w:type="dxa" w:w="2769"/>
          </w:tcPr>
          <w:p/>
        </w:tc>
        <w:tc>
          <w:tcPr>
            <w:tcW w:type="dxa" w:w="2769"/>
          </w:tcPr>
          <w:p>
            <w:pPr>
              <w:pStyle w:val="null3"/>
            </w:pPr>
            <w:r>
              <w:rPr/>
              <w:t>20</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20. </w:t>
            </w:r>
            <w:r>
              <w:rPr>
                <w:rFonts w:ascii="仿宋" w:hAnsi="仿宋" w:cs="仿宋" w:eastAsia="仿宋"/>
                <w:sz w:val="32"/>
              </w:rPr>
              <w:t>淋巴结重建：自动从胸部</w:t>
            </w:r>
            <w:r>
              <w:rPr>
                <w:rFonts w:ascii="&quot;times new roman&quot;, serif" w:hAnsi="&quot;times new roman&quot;, serif" w:cs="&quot;times new roman&quot;, serif" w:eastAsia="&quot;times new roman&quot;, serif"/>
                <w:sz w:val="32"/>
              </w:rPr>
              <w:t>CT</w:t>
            </w:r>
            <w:r>
              <w:rPr>
                <w:rFonts w:ascii="仿宋" w:hAnsi="仿宋" w:cs="仿宋" w:eastAsia="仿宋"/>
                <w:sz w:val="32"/>
              </w:rPr>
              <w:t>影像提取，重建并展示淋巴结的三维模型，重建出的淋巴结都可以单独显示或隐藏或透明度，可以单独选择其颜色；提供产品功能截图</w:t>
            </w:r>
          </w:p>
        </w:tc>
      </w:tr>
      <w:tr>
        <w:tc>
          <w:tcPr>
            <w:tcW w:type="dxa" w:w="2769"/>
          </w:tcPr>
          <w:p/>
        </w:tc>
        <w:tc>
          <w:tcPr>
            <w:tcW w:type="dxa" w:w="2769"/>
          </w:tcPr>
          <w:p>
            <w:pPr>
              <w:pStyle w:val="null3"/>
            </w:pPr>
            <w:r>
              <w:rPr/>
              <w:t>21</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21. </w:t>
            </w:r>
            <w:r>
              <w:rPr>
                <w:rFonts w:ascii="仿宋" w:hAnsi="仿宋" w:cs="仿宋" w:eastAsia="仿宋"/>
                <w:sz w:val="32"/>
              </w:rPr>
              <w:t>结构化报告：支持简易版和完整版两种图文报告；提供产品功能截图</w:t>
            </w:r>
          </w:p>
        </w:tc>
      </w:tr>
      <w:tr>
        <w:tc>
          <w:tcPr>
            <w:tcW w:type="dxa" w:w="2769"/>
          </w:tcPr>
          <w:p/>
        </w:tc>
        <w:tc>
          <w:tcPr>
            <w:tcW w:type="dxa" w:w="2769"/>
          </w:tcPr>
          <w:p>
            <w:pPr>
              <w:pStyle w:val="null3"/>
            </w:pPr>
            <w:r>
              <w:rPr/>
              <w:t>22</w:t>
            </w:r>
          </w:p>
        </w:tc>
        <w:tc>
          <w:tcPr>
            <w:tcW w:type="dxa" w:w="2769"/>
          </w:tcPr>
          <w:p>
            <w:pPr>
              <w:pStyle w:val="null3"/>
              <w:jc w:val="both"/>
            </w:pPr>
            <w:r>
              <w:rPr>
                <w:rFonts w:ascii="&quot;times new roman&quot;, serif" w:hAnsi="&quot;times new roman&quot;, serif" w:cs="&quot;times new roman&quot;, serif" w:eastAsia="&quot;times new roman&quot;, serif"/>
                <w:sz w:val="32"/>
              </w:rPr>
              <w:t xml:space="preserve">22. </w:t>
            </w:r>
            <w:r>
              <w:rPr>
                <w:rFonts w:ascii="仿宋" w:hAnsi="仿宋" w:cs="仿宋" w:eastAsia="仿宋"/>
                <w:sz w:val="32"/>
              </w:rPr>
              <w:t>重建结果导出：支持导出</w:t>
            </w:r>
            <w:r>
              <w:rPr>
                <w:rFonts w:ascii="&quot;times new roman&quot;, serif" w:hAnsi="&quot;times new roman&quot;, serif" w:cs="&quot;times new roman&quot;, serif" w:eastAsia="&quot;times new roman&quot;, serif"/>
                <w:sz w:val="32"/>
              </w:rPr>
              <w:t>STL/3Dpdf</w:t>
            </w:r>
            <w:r>
              <w:rPr>
                <w:rFonts w:ascii="仿宋" w:hAnsi="仿宋" w:cs="仿宋" w:eastAsia="仿宋"/>
                <w:sz w:val="32"/>
              </w:rPr>
              <w:t>文件，提供</w:t>
            </w:r>
            <w:r>
              <w:rPr>
                <w:rFonts w:ascii="&quot;times new roman&quot;, serif" w:hAnsi="&quot;times new roman&quot;, serif" w:cs="&quot;times new roman&quot;, serif" w:eastAsia="&quot;times new roman&quot;, serif"/>
                <w:sz w:val="32"/>
              </w:rPr>
              <w:t>3Dviewer</w:t>
            </w:r>
            <w:r>
              <w:rPr>
                <w:rFonts w:ascii="仿宋" w:hAnsi="仿宋" w:cs="仿宋" w:eastAsia="仿宋"/>
                <w:sz w:val="32"/>
              </w:rPr>
              <w:t>离线工具，支持对导出的三维文件进行离线查看；提供产品功能截图</w:t>
            </w:r>
          </w:p>
        </w:tc>
      </w:tr>
      <w:tr>
        <w:tc>
          <w:tcPr>
            <w:tcW w:type="dxa" w:w="2769"/>
          </w:tcPr>
          <w:p/>
        </w:tc>
        <w:tc>
          <w:tcPr>
            <w:tcW w:type="dxa" w:w="2769"/>
          </w:tcPr>
          <w:p>
            <w:pPr>
              <w:pStyle w:val="null3"/>
            </w:pPr>
            <w:r>
              <w:rPr/>
              <w:t>23</w:t>
            </w:r>
          </w:p>
        </w:tc>
        <w:tc>
          <w:tcPr>
            <w:tcW w:type="dxa" w:w="2769"/>
          </w:tcPr>
          <w:p>
            <w:pPr>
              <w:pStyle w:val="null3"/>
              <w:jc w:val="both"/>
            </w:pPr>
            <w:r>
              <w:rPr>
                <w:rFonts w:ascii="&quot;times new roman&quot;, serif" w:hAnsi="&quot;times new roman&quot;, serif" w:cs="&quot;times new roman&quot;, serif" w:eastAsia="&quot;times new roman&quot;, serif"/>
                <w:sz w:val="32"/>
              </w:rPr>
              <w:t>23. C/S</w:t>
            </w:r>
            <w:r>
              <w:rPr>
                <w:rFonts w:ascii="仿宋" w:hAnsi="仿宋" w:cs="仿宋" w:eastAsia="仿宋"/>
                <w:sz w:val="32"/>
              </w:rPr>
              <w:t>客户端功能：支持对病灶、肺动脉、肺静脉、支气管分割结果进行编辑修改，并基于修改结果重新进行三维重建；</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合同签订后，60天内完成上线运行</w:t>
      </w:r>
    </w:p>
    <w:p>
      <w:pPr>
        <w:pStyle w:val="null3"/>
        <w:outlineLvl w:val="3"/>
      </w:pPr>
      <w:r>
        <w:rPr>
          <w:sz w:val="24"/>
          <w:b/>
        </w:rPr>
        <w:t>3.4.2交货地点</w:t>
      </w:r>
    </w:p>
    <w:p>
      <w:pPr>
        <w:pStyle w:val="null3"/>
      </w:pPr>
      <w:r>
        <w:rPr/>
        <w:t>采购包1：</w:t>
      </w:r>
    </w:p>
    <w:p>
      <w:pPr>
        <w:pStyle w:val="null3"/>
      </w:pPr>
      <w:r>
        <w:rPr/>
        <w:t>汉中市中心医院胸外科指定地点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系统安装调试完成上线运行后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自验收合格之日起在质保期满后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现场验收。院内验收小组验收程序。符合国家、行业现行的设计、安全、质量等相关标准规范要求，与采购文件、投标（响应）文件和承诺相一致 。</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质保期：自安装调试经验收合格之日起≥3年</w:t>
      </w:r>
    </w:p>
    <w:p>
      <w:pPr>
        <w:pStyle w:val="null3"/>
        <w:outlineLvl w:val="3"/>
      </w:pPr>
      <w:r>
        <w:rPr>
          <w:sz w:val="24"/>
          <w:b/>
        </w:rPr>
        <w:t>3.4.8违约责任与解决争议的方法</w:t>
      </w:r>
    </w:p>
    <w:p>
      <w:pPr>
        <w:pStyle w:val="null3"/>
      </w:pPr>
      <w:r>
        <w:rPr/>
        <w:t>采购包1：</w:t>
      </w:r>
    </w:p>
    <w:p>
      <w:pPr>
        <w:pStyle w:val="null3"/>
      </w:pPr>
      <w:r>
        <w:rPr/>
        <w:t>/</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1.1投标人合法注册的法人或其他组织的营业执照等证明文件，自然人的身份证明； 1.3投标截止时间前近六个月中任何一个月依法缴纳税收和社会保障资金的证明材料扫描件； 1.4具备履行合同所必需的设备和专业技术能力的承诺； 1.5供应商参加政府采购活动前3年内在经营活动中没有重大违法记录的书面声明；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1.2投标人2022年度或2023年度经审计的财务报表复印件（包括资产负债表、现金流量表、利润表），或本年度银行出具的资信证明（附基本户信息）；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1.6供应商不得存在下列情形之一：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2.落实政府采购政策需满足的资格要求</w:t>
            </w:r>
          </w:p>
        </w:tc>
        <w:tc>
          <w:tcPr>
            <w:tcW w:type="dxa" w:w="3322"/>
          </w:tcPr>
          <w:p>
            <w:pPr>
              <w:pStyle w:val="null3"/>
            </w:pPr>
            <w:r>
              <w:rPr/>
              <w:t>本项目专门面向中小企业采购，供应商应按要求提供中小企业声明函或残疾人福利性单位声明函或监狱企业证明函。</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3.本项目的特定资格要求</w:t>
            </w:r>
          </w:p>
        </w:tc>
        <w:tc>
          <w:tcPr>
            <w:tcW w:type="dxa" w:w="3322"/>
          </w:tcPr>
          <w:p>
            <w:pPr>
              <w:pStyle w:val="null3"/>
            </w:pPr>
            <w:r>
              <w:rPr/>
              <w:t>3.1投标人在递交投标文件截止时间前被“信用中国”网站（www.creditchina.gov.cn）和中国政府采购网（www.ccgp.gov.cn）上被列入失信被执行人、重大税收违法失信主体、政府采购严重违法失信行为记录名单的，不得参加投标； 3.2投标人参加本项目的合法授权人授权委托书；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 3.3投标人具有医疗器械经营许可证或经营备案凭证（投标产品须在其经营范围内）； 3.4投标产品属于医疗器械管理的提供医疗器械注册证； 3.5需向采购代理机构获取采购文件并登记备案，未向采购代理机构获取采购文件并登记备案的供应商均无资格参加投标。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签署、盖章</w:t>
            </w:r>
          </w:p>
        </w:tc>
        <w:tc>
          <w:tcPr>
            <w:tcW w:type="dxa" w:w="3322"/>
          </w:tcPr>
          <w:p>
            <w:pPr>
              <w:pStyle w:val="null3"/>
            </w:pPr>
            <w:r>
              <w:rPr/>
              <w:t>投标无效条件：投标文件未按招标文件要求签署、盖章的</w:t>
            </w:r>
          </w:p>
        </w:tc>
        <w:tc>
          <w:tcPr>
            <w:tcW w:type="dxa" w:w="1661"/>
          </w:tcPr>
          <w:p>
            <w:pPr>
              <w:pStyle w:val="null3"/>
            </w:pPr>
            <w:r>
              <w:rPr/>
              <w:t>开标一览表 技术偏离表 商务条款偏离表 业绩一览表 资格证明文件 技术证明材料 投标方案或技术方案 其他资料 投标函 投标保证金支付凭证或担保函 投标分项报价表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投标无效条件：投标人投标报价超出采购预算或最高限价的</w:t>
            </w:r>
          </w:p>
        </w:tc>
        <w:tc>
          <w:tcPr>
            <w:tcW w:type="dxa" w:w="1661"/>
          </w:tcPr>
          <w:p>
            <w:pPr>
              <w:pStyle w:val="null3"/>
            </w:pPr>
            <w:r>
              <w:rPr/>
              <w:t>开标一览表 投标函 投标分项报价表 标的清单</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投标分项报价表 标的清单</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投标无效条件：投标保证金未提交或金额、形式不符合招标文件要求的</w:t>
            </w:r>
          </w:p>
        </w:tc>
        <w:tc>
          <w:tcPr>
            <w:tcW w:type="dxa" w:w="1661"/>
          </w:tcPr>
          <w:p>
            <w:pPr>
              <w:pStyle w:val="null3"/>
            </w:pPr>
            <w:r>
              <w:rPr/>
              <w:t>投标保证金支付凭证或担保函</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投标无效条件：未满足招标文件中商务要求或投标内容出现漏项或数量与要求不符</w:t>
            </w:r>
          </w:p>
        </w:tc>
        <w:tc>
          <w:tcPr>
            <w:tcW w:type="dxa" w:w="1661"/>
          </w:tcPr>
          <w:p>
            <w:pPr>
              <w:pStyle w:val="null3"/>
            </w:pPr>
            <w:r>
              <w:rPr/>
              <w:t>技术偏离表 技术证明材料 投标分项报价表 标的清单 投标文件封面 商务条款偏离表</w:t>
            </w:r>
          </w:p>
        </w:tc>
      </w:tr>
      <w:tr>
        <w:tc>
          <w:tcPr>
            <w:tcW w:type="dxa" w:w="831"/>
          </w:tcPr>
          <w:p>
            <w:pPr>
              <w:pStyle w:val="null3"/>
            </w:pPr>
            <w:r>
              <w:rPr/>
              <w:t>6</w:t>
            </w:r>
          </w:p>
        </w:tc>
        <w:tc>
          <w:tcPr>
            <w:tcW w:type="dxa" w:w="2492"/>
          </w:tcPr>
          <w:p>
            <w:pPr>
              <w:pStyle w:val="null3"/>
            </w:pPr>
            <w:r>
              <w:rPr/>
              <w:t>其它情形</w:t>
            </w:r>
          </w:p>
        </w:tc>
        <w:tc>
          <w:tcPr>
            <w:tcW w:type="dxa" w:w="3322"/>
          </w:tcPr>
          <w:p>
            <w:pPr>
              <w:pStyle w:val="null3"/>
            </w:pPr>
            <w:r>
              <w:rPr/>
              <w:t>投标无效条件：存在其它不符合法律法规或招标文件规定的投标无效条款</w:t>
            </w:r>
          </w:p>
        </w:tc>
        <w:tc>
          <w:tcPr>
            <w:tcW w:type="dxa" w:w="1661"/>
          </w:tcPr>
          <w:p>
            <w:pPr>
              <w:pStyle w:val="null3"/>
            </w:pPr>
            <w:r>
              <w:rPr/>
              <w:t>开标一览表 技术偏离表 商务条款偏离表 业绩一览表 资格证明文件 技术证明材料 投标方案或技术方案 其他资料 投标函 投标保证金支付凭证或担保函 投标分项报价表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投标产品各项技术功能指标及要求全部满足的得35分，“▲”参数每1条不满足扣3分，非“▲”参数每1条不满足扣2分，扣完为止。</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投标分项报价表</w:t>
            </w:r>
          </w:p>
          <w:p>
            <w:pPr>
              <w:pStyle w:val="null3"/>
            </w:pPr>
            <w:r>
              <w:rPr/>
              <w:t>商务条款偏离表</w:t>
            </w:r>
          </w:p>
          <w:p>
            <w:pPr>
              <w:pStyle w:val="null3"/>
            </w:pPr>
            <w:r>
              <w:rPr/>
              <w:t>技术偏离表</w:t>
            </w:r>
          </w:p>
          <w:p>
            <w:pPr>
              <w:pStyle w:val="null3"/>
            </w:pPr>
            <w:r>
              <w:rPr/>
              <w:t>技术证明材料</w:t>
            </w:r>
          </w:p>
          <w:p>
            <w:pPr>
              <w:pStyle w:val="null3"/>
            </w:pPr>
            <w:r>
              <w:rPr/>
              <w:t>投标方案或技术方案</w:t>
            </w:r>
          </w:p>
          <w:p>
            <w:pPr>
              <w:pStyle w:val="null3"/>
            </w:pPr>
            <w:r>
              <w:rPr/>
              <w:t>其他资料</w:t>
            </w:r>
          </w:p>
        </w:tc>
      </w:tr>
      <w:tr>
        <w:tc>
          <w:tcPr>
            <w:tcW w:type="dxa" w:w="831"/>
            <w:vMerge/>
          </w:tcPr>
          <w:p/>
        </w:tc>
        <w:tc>
          <w:tcPr>
            <w:tcW w:type="dxa" w:w="1661"/>
          </w:tcPr>
          <w:p>
            <w:pPr>
              <w:pStyle w:val="null3"/>
            </w:pPr>
            <w:r>
              <w:rPr/>
              <w:t>实施方案</w:t>
            </w:r>
          </w:p>
        </w:tc>
        <w:tc>
          <w:tcPr>
            <w:tcW w:type="dxa" w:w="2492"/>
          </w:tcPr>
          <w:p>
            <w:pPr>
              <w:pStyle w:val="null3"/>
            </w:pPr>
            <w:r>
              <w:rPr/>
              <w:t>投标供应商提供完整、全面、条理清晰、可行性强的实施方案，据响应程度计3-10分，未提供不得分。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投标方案或技术方案</w:t>
            </w:r>
          </w:p>
          <w:p>
            <w:pPr>
              <w:pStyle w:val="null3"/>
            </w:pPr>
            <w:r>
              <w:rPr/>
              <w:t>其他资料</w:t>
            </w:r>
          </w:p>
        </w:tc>
      </w:tr>
      <w:tr>
        <w:tc>
          <w:tcPr>
            <w:tcW w:type="dxa" w:w="831"/>
            <w:vMerge/>
          </w:tcPr>
          <w:p/>
        </w:tc>
        <w:tc>
          <w:tcPr>
            <w:tcW w:type="dxa" w:w="1661"/>
          </w:tcPr>
          <w:p>
            <w:pPr>
              <w:pStyle w:val="null3"/>
            </w:pPr>
            <w:r>
              <w:rPr/>
              <w:t>产品设计方案</w:t>
            </w:r>
          </w:p>
        </w:tc>
        <w:tc>
          <w:tcPr>
            <w:tcW w:type="dxa" w:w="2492"/>
          </w:tcPr>
          <w:p>
            <w:pPr>
              <w:pStyle w:val="null3"/>
            </w:pPr>
            <w:r>
              <w:rPr/>
              <w:t>投标产品设计思路清晰、完整、全面，符合医院信息化发展趋势的产品设计方案，据响应程度计3-10分，未提供不得分。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技术证明材料</w:t>
            </w:r>
          </w:p>
          <w:p>
            <w:pPr>
              <w:pStyle w:val="null3"/>
            </w:pPr>
            <w:r>
              <w:rPr/>
              <w:t>投标方案或技术方案</w:t>
            </w:r>
          </w:p>
          <w:p>
            <w:pPr>
              <w:pStyle w:val="null3"/>
            </w:pPr>
            <w:r>
              <w:rPr/>
              <w:t>其他资料</w:t>
            </w:r>
          </w:p>
        </w:tc>
      </w:tr>
      <w:tr>
        <w:tc>
          <w:tcPr>
            <w:tcW w:type="dxa" w:w="831"/>
            <w:vMerge/>
          </w:tcPr>
          <w:p/>
        </w:tc>
        <w:tc>
          <w:tcPr>
            <w:tcW w:type="dxa" w:w="1661"/>
          </w:tcPr>
          <w:p>
            <w:pPr>
              <w:pStyle w:val="null3"/>
            </w:pPr>
            <w:r>
              <w:rPr/>
              <w:t>售后服务方案</w:t>
            </w:r>
          </w:p>
        </w:tc>
        <w:tc>
          <w:tcPr>
            <w:tcW w:type="dxa" w:w="2492"/>
          </w:tcPr>
          <w:p>
            <w:pPr>
              <w:pStyle w:val="null3"/>
            </w:pPr>
            <w:r>
              <w:rPr/>
              <w:t>供应商提供的售后服务方案，包括但不限于售后服务、维修的响应时间，排除故障时间等综合分析比较评分，计1-5分，未提供不得分。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商务条款偏离表</w:t>
            </w:r>
          </w:p>
          <w:p>
            <w:pPr>
              <w:pStyle w:val="null3"/>
            </w:pPr>
            <w:r>
              <w:rPr/>
              <w:t>投标方案或技术方案</w:t>
            </w:r>
          </w:p>
          <w:p>
            <w:pPr>
              <w:pStyle w:val="null3"/>
            </w:pPr>
            <w:r>
              <w:rPr/>
              <w:t>其他资料</w:t>
            </w:r>
          </w:p>
        </w:tc>
      </w:tr>
      <w:tr>
        <w:tc>
          <w:tcPr>
            <w:tcW w:type="dxa" w:w="831"/>
            <w:vMerge/>
          </w:tcPr>
          <w:p/>
        </w:tc>
        <w:tc>
          <w:tcPr>
            <w:tcW w:type="dxa" w:w="1661"/>
          </w:tcPr>
          <w:p>
            <w:pPr>
              <w:pStyle w:val="null3"/>
            </w:pPr>
            <w:r>
              <w:rPr/>
              <w:t>产品运营培训方案</w:t>
            </w:r>
          </w:p>
        </w:tc>
        <w:tc>
          <w:tcPr>
            <w:tcW w:type="dxa" w:w="2492"/>
          </w:tcPr>
          <w:p>
            <w:pPr>
              <w:pStyle w:val="null3"/>
            </w:pPr>
            <w:r>
              <w:rPr/>
              <w:t>供应商提供运营培训方案，包括但不限于培训的具体内容及方式、培训时长和培训次数等内容等综合分析比较评分，计1-5分，未提供不得分。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投标方案或技术方案</w:t>
            </w:r>
          </w:p>
          <w:p>
            <w:pPr>
              <w:pStyle w:val="null3"/>
            </w:pPr>
            <w:r>
              <w:rPr/>
              <w:t>其他资料</w:t>
            </w:r>
          </w:p>
        </w:tc>
      </w:tr>
      <w:tr>
        <w:tc>
          <w:tcPr>
            <w:tcW w:type="dxa" w:w="831"/>
            <w:vMerge/>
          </w:tcPr>
          <w:p/>
        </w:tc>
        <w:tc>
          <w:tcPr>
            <w:tcW w:type="dxa" w:w="1661"/>
          </w:tcPr>
          <w:p>
            <w:pPr>
              <w:pStyle w:val="null3"/>
            </w:pPr>
            <w:r>
              <w:rPr/>
              <w:t>类似业绩</w:t>
            </w:r>
          </w:p>
        </w:tc>
        <w:tc>
          <w:tcPr>
            <w:tcW w:type="dxa" w:w="2492"/>
          </w:tcPr>
          <w:p>
            <w:pPr>
              <w:pStyle w:val="null3"/>
            </w:pPr>
            <w:r>
              <w:rPr/>
              <w:t>2020年1月1日至投标截止之日（以合同签订时间为准）所投系统的产品业绩，每提供一份得1分，最高得5分。提供合同复印件，未提供不得分。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详见附件：资格证明文件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详见附件：投标保证金支付凭证或担保函</w:t>
      </w:r>
    </w:p>
    <w:p>
      <w:pPr>
        <w:pStyle w:val="null3"/>
        <w:ind w:firstLine="960"/>
      </w:pPr>
      <w:r>
        <w:rPr/>
        <w:t>详见附件：商务条款偏离表</w:t>
      </w:r>
    </w:p>
    <w:p>
      <w:pPr>
        <w:pStyle w:val="null3"/>
        <w:ind w:firstLine="960"/>
      </w:pPr>
      <w:r>
        <w:rPr/>
        <w:t>详见附件：技术偏离表</w:t>
      </w:r>
    </w:p>
    <w:p>
      <w:pPr>
        <w:pStyle w:val="null3"/>
        <w:ind w:firstLine="960"/>
      </w:pPr>
      <w:r>
        <w:rPr/>
        <w:t>详见附件：技术证明材料</w:t>
      </w:r>
    </w:p>
    <w:p>
      <w:pPr>
        <w:pStyle w:val="null3"/>
        <w:ind w:firstLine="960"/>
      </w:pPr>
      <w:r>
        <w:rPr/>
        <w:t>详见附件：投标方案或技术方案</w:t>
      </w:r>
    </w:p>
    <w:p>
      <w:pPr>
        <w:pStyle w:val="null3"/>
        <w:ind w:firstLine="960"/>
      </w:pPr>
      <w:r>
        <w:rPr/>
        <w:t>详见附件：业绩一览表</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详见附件：3.合同范本.docx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