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CT扫描机保险采购项目</w:t>
      </w:r>
    </w:p>
    <w:p>
      <w:pPr>
        <w:pStyle w:val="null3"/>
        <w:jc w:val="center"/>
        <w:outlineLvl w:val="2"/>
      </w:pPr>
      <w:r>
        <w:rPr>
          <w:sz w:val="28"/>
          <w:b/>
        </w:rPr>
        <w:t>采购项目编号：</w:t>
      </w:r>
      <w:r>
        <w:rPr>
          <w:sz w:val="28"/>
          <w:b/>
        </w:rPr>
        <w:t>TZZB-HZ-2024316C</w:t>
      </w:r>
      <w:r>
        <w:br/>
      </w:r>
      <w:r>
        <w:br/>
      </w:r>
      <w:r>
        <w:br/>
      </w:r>
    </w:p>
    <w:p>
      <w:pPr>
        <w:pStyle w:val="null3"/>
        <w:jc w:val="center"/>
        <w:outlineLvl w:val="2"/>
      </w:pPr>
      <w:r>
        <w:rPr>
          <w:sz w:val="28"/>
          <w:b/>
        </w:rPr>
        <w:t>汉中市中医医院</w:t>
      </w:r>
    </w:p>
    <w:p>
      <w:pPr>
        <w:pStyle w:val="null3"/>
        <w:jc w:val="center"/>
        <w:outlineLvl w:val="2"/>
      </w:pPr>
      <w:r>
        <w:rPr>
          <w:sz w:val="28"/>
          <w:b/>
        </w:rPr>
        <w:t>同正项目管理有限公司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同正项目管理有限公司</w:t>
      </w:r>
      <w:r>
        <w:rPr/>
        <w:t>（以下简称“代理机构”）受</w:t>
      </w:r>
      <w:r>
        <w:rPr/>
        <w:t>汉中市中医医院</w:t>
      </w:r>
      <w:r>
        <w:rPr/>
        <w:t>委托，拟对</w:t>
      </w:r>
      <w:r>
        <w:rPr/>
        <w:t>CT扫描机保险采购项目</w:t>
      </w:r>
      <w:r>
        <w:rPr/>
        <w:t>进行国内公开招标，兹邀请符合本次招标要求的供应商参加投标。</w:t>
      </w:r>
    </w:p>
    <w:p>
      <w:pPr>
        <w:pStyle w:val="null3"/>
        <w:outlineLvl w:val="2"/>
      </w:pPr>
      <w:r>
        <w:rPr>
          <w:sz w:val="28"/>
          <w:b/>
        </w:rPr>
        <w:t>一、采购项目编号：</w:t>
      </w:r>
      <w:r>
        <w:rPr>
          <w:sz w:val="28"/>
          <w:b/>
        </w:rPr>
        <w:t>TZZB-HZ-2024316C</w:t>
      </w:r>
    </w:p>
    <w:p>
      <w:pPr>
        <w:pStyle w:val="null3"/>
        <w:outlineLvl w:val="2"/>
      </w:pPr>
      <w:r>
        <w:rPr>
          <w:sz w:val="28"/>
          <w:b/>
        </w:rPr>
        <w:t>二、采购项目名称：</w:t>
      </w:r>
      <w:r>
        <w:rPr>
          <w:sz w:val="28"/>
          <w:b/>
        </w:rPr>
        <w:t>CT扫描机保险采购项目</w:t>
      </w:r>
    </w:p>
    <w:p>
      <w:pPr>
        <w:pStyle w:val="null3"/>
        <w:outlineLvl w:val="2"/>
      </w:pPr>
      <w:r>
        <w:rPr>
          <w:sz w:val="28"/>
          <w:b/>
        </w:rPr>
        <w:t>三、招标项目简介</w:t>
      </w:r>
    </w:p>
    <w:p>
      <w:pPr>
        <w:pStyle w:val="null3"/>
        <w:ind w:firstLine="480"/>
      </w:pPr>
      <w:r>
        <w:rPr/>
        <w:t xml:space="preserve"> 汉中市中医医院CT扫描机保险采购项目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采购包1（汉中市中医医院CT扫描机保险采购项目）：属于专门面向小微企业采购。</w:t>
      </w:r>
    </w:p>
    <w:p>
      <w:pPr>
        <w:pStyle w:val="null3"/>
        <w:ind w:firstLine="480"/>
      </w:pPr>
      <w:r>
        <w:rPr/>
        <w:t>（三）本项目的特定资格要求：</w:t>
      </w:r>
    </w:p>
    <w:p>
      <w:pPr>
        <w:pStyle w:val="null3"/>
      </w:pPr>
      <w:r>
        <w:rPr/>
        <w:t>采购包1：</w:t>
      </w:r>
    </w:p>
    <w:p>
      <w:pPr>
        <w:pStyle w:val="null3"/>
      </w:pPr>
      <w:r>
        <w:rPr/>
        <w:t>1、投标人应授权合法的人员参加投标全过程：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t>2、信用证明：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t>3、投标人须为具有独立承担民事责任能力的法人、其他组织或自然人：出具合法有效的营业执照或事业单位法人证书等国家规定的相关证明，自然人参与的提供其身份证明。</w:t>
      </w:r>
    </w:p>
    <w:p>
      <w:pPr>
        <w:pStyle w:val="null3"/>
      </w:pPr>
      <w:r>
        <w:rPr/>
        <w:t>4、财务状况报告：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t>5、社保缴纳证明：提供自2023年11月1日以来已缴存的任意1个月的社会保障资金缴存单据或社保机构开具的社会保险参保缴费情况证明；依法不需要缴纳社会保障资金的投标人应提供相关证明文件。</w:t>
      </w:r>
    </w:p>
    <w:p>
      <w:pPr>
        <w:pStyle w:val="null3"/>
      </w:pPr>
      <w:r>
        <w:rPr/>
        <w:t>6、税收缴纳证明：提供自2023年11月1日以来已缴纳的任意1个月的依法缴纳税收的相关凭据(时间以税款所属日期为准)，凭据应有税务机关或代收机关的公章或业务专用章；依法免税或无须缴纳税收的投标人，应提供相应证明文件。</w:t>
      </w:r>
    </w:p>
    <w:p>
      <w:pPr>
        <w:pStyle w:val="null3"/>
      </w:pPr>
      <w:r>
        <w:rPr/>
        <w:t>7、提供具有履行合同所必需的设备和专业技术能力的书面承诺：提供具有履行合同所必需的设备和专业技术能力的书面承诺，加盖投标人公章。</w:t>
      </w:r>
    </w:p>
    <w:p>
      <w:pPr>
        <w:pStyle w:val="null3"/>
      </w:pPr>
      <w:r>
        <w:rPr/>
        <w:t>8、提供参加政府采购活动前三年内在经营活动中没有重大违法记录的书面声明：提供参加政府采购活动前三年内在经营活动中没有重大违法记录的书面声明，加盖投标人公章。</w:t>
      </w:r>
    </w:p>
    <w:p>
      <w:pPr>
        <w:pStyle w:val="null3"/>
      </w:pPr>
      <w:r>
        <w:rPr/>
        <w:t>9、控股、管理关系：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汉中市中医医院</w:t>
      </w:r>
    </w:p>
    <w:p>
      <w:pPr>
        <w:pStyle w:val="null3"/>
      </w:pPr>
      <w:r>
        <w:rPr/>
        <w:t xml:space="preserve"> 地址： </w:t>
      </w:r>
      <w:r>
        <w:rPr/>
        <w:t>汉中市南郑区大河坎镇东昌街8号</w:t>
      </w:r>
    </w:p>
    <w:p>
      <w:pPr>
        <w:pStyle w:val="null3"/>
      </w:pPr>
      <w:r>
        <w:rPr/>
        <w:t xml:space="preserve"> 邮编： </w:t>
      </w:r>
      <w:r>
        <w:rPr/>
        <w:t>/</w:t>
      </w:r>
    </w:p>
    <w:p>
      <w:pPr>
        <w:pStyle w:val="null3"/>
      </w:pPr>
      <w:r>
        <w:rPr/>
        <w:t xml:space="preserve"> 联系人： </w:t>
      </w:r>
      <w:r>
        <w:rPr/>
        <w:t>黄漫琪</w:t>
      </w:r>
    </w:p>
    <w:p>
      <w:pPr>
        <w:pStyle w:val="null3"/>
      </w:pPr>
      <w:r>
        <w:rPr/>
        <w:t xml:space="preserve"> 联系电话： </w:t>
      </w:r>
      <w:r>
        <w:rPr/>
        <w:t xml:space="preserve"> 0916-5300351</w:t>
      </w:r>
    </w:p>
    <w:p>
      <w:pPr>
        <w:pStyle w:val="null3"/>
        <w:outlineLvl w:val="2"/>
      </w:pPr>
      <w:r>
        <w:rPr>
          <w:sz w:val="28"/>
          <w:b/>
        </w:rPr>
        <w:t>代理机构：</w:t>
      </w:r>
      <w:r>
        <w:rPr>
          <w:sz w:val="28"/>
          <w:b/>
        </w:rPr>
        <w:t>同正项目管理有限公司</w:t>
      </w:r>
    </w:p>
    <w:p>
      <w:pPr>
        <w:pStyle w:val="null3"/>
      </w:pPr>
      <w:r>
        <w:rPr/>
        <w:t xml:space="preserve"> 地址： </w:t>
      </w:r>
      <w:r>
        <w:rPr/>
        <w:t>西安市雁塔区科技二路71号竹园·天寰国际1107室</w:t>
      </w:r>
    </w:p>
    <w:p>
      <w:pPr>
        <w:pStyle w:val="null3"/>
      </w:pPr>
      <w:r>
        <w:rPr/>
        <w:t xml:space="preserve"> 邮编： </w:t>
      </w:r>
      <w:r>
        <w:rPr/>
        <w:t xml:space="preserve"> 710000</w:t>
      </w:r>
    </w:p>
    <w:p>
      <w:pPr>
        <w:pStyle w:val="null3"/>
      </w:pPr>
      <w:r>
        <w:rPr/>
        <w:t xml:space="preserve"> 联系人： </w:t>
      </w:r>
      <w:r>
        <w:rPr/>
        <w:t>温丽妮</w:t>
      </w:r>
    </w:p>
    <w:p>
      <w:pPr>
        <w:pStyle w:val="null3"/>
      </w:pPr>
      <w:r>
        <w:rPr/>
        <w:t xml:space="preserve"> 联系电话： </w:t>
      </w:r>
      <w:r>
        <w:rPr/>
        <w:t>029-65652860</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汉中市中医医院</w:t>
      </w:r>
      <w:r>
        <w:rPr/>
        <w:t>和</w:t>
      </w:r>
      <w:r>
        <w:rPr/>
        <w:t>同正项目管理有限公司</w:t>
      </w:r>
      <w:r>
        <w:rPr/>
        <w:t>享有。对招标文件中供应商参加本次政府采购活动应当具备的条件，招标项目技术、服务、商务及其他要求，评标细则及标准由</w:t>
      </w:r>
      <w:r>
        <w:rPr/>
        <w:t>汉中市中医医院</w:t>
      </w:r>
      <w:r>
        <w:rPr/>
        <w:t>负责解释。除上述招标文件内容，其他内容由</w:t>
      </w:r>
      <w:r>
        <w:rPr/>
        <w:t>同正项目管理有限公司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（一）维保完成后，由甲乙双方共同验收，甲方填写验收合格并作为对乙方服务的认可。 （二）乙方向甲方提交设备维修过程中的相关资料及换下的故障配件。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联系人：温丽妮</w:t>
      </w:r>
    </w:p>
    <w:p>
      <w:pPr>
        <w:pStyle w:val="null3"/>
      </w:pPr>
      <w:r>
        <w:rPr/>
        <w:t>联系电话：029-65652860</w:t>
      </w:r>
    </w:p>
    <w:p>
      <w:pPr>
        <w:pStyle w:val="null3"/>
      </w:pPr>
      <w:r>
        <w:rPr/>
        <w:t>地址：西安市雁塔区科技二路71号竹园·天寰国际1107室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医学影像设备维保是指对医学影像设备进行检查、维修、保养和更换受损部件等，以确保设备能够正常运行，为医疗诊断和治疗提供准确的影像支持，更好的服务医患。</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CT扫描机保险</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标的名称：CT扫描机保险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w:t>
            </w:r>
            <w:r>
              <w:rPr>
                <w:rFonts w:ascii="宋体" w:hAnsi="宋体" w:cs="宋体" w:eastAsia="宋体"/>
                <w:sz w:val="21"/>
              </w:rPr>
              <w:t>服务内容：</w:t>
            </w:r>
            <w:r>
              <w:rPr>
                <w:rFonts w:ascii="calibri" w:hAnsi="calibri" w:cs="calibri" w:eastAsia="calibri"/>
                <w:sz w:val="21"/>
              </w:rPr>
              <w:t>GE</w:t>
            </w:r>
            <w:r>
              <w:rPr>
                <w:rFonts w:ascii="calibri" w:hAnsi="calibri" w:cs="calibri" w:eastAsia="calibri"/>
                <w:sz w:val="21"/>
              </w:rPr>
              <w:t xml:space="preserve"> </w:t>
            </w:r>
            <w:r>
              <w:rPr>
                <w:rFonts w:ascii="calibri" w:hAnsi="calibri" w:cs="calibri" w:eastAsia="calibri"/>
                <w:sz w:val="21"/>
              </w:rPr>
              <w:t>CT</w:t>
            </w:r>
            <w:r>
              <w:rPr>
                <w:rFonts w:ascii="宋体" w:hAnsi="宋体" w:cs="宋体" w:eastAsia="宋体"/>
                <w:sz w:val="21"/>
              </w:rPr>
              <w:t>维保</w:t>
            </w:r>
            <w:r>
              <w:rPr>
                <w:rFonts w:ascii="宋体" w:hAnsi="宋体" w:cs="宋体" w:eastAsia="宋体"/>
                <w:sz w:val="21"/>
              </w:rPr>
              <w:t>服务（球管，探测器除外）</w:t>
            </w:r>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sz w:val="21"/>
              </w:rPr>
              <w:t>▲</w:t>
            </w:r>
            <w:r>
              <w:rPr>
                <w:rFonts w:ascii="宋体" w:hAnsi="宋体" w:cs="宋体" w:eastAsia="宋体"/>
                <w:sz w:val="21"/>
              </w:rPr>
              <w:t>保修范围：</w:t>
            </w:r>
            <w:r>
              <w:rPr>
                <w:rFonts w:ascii="calibri" w:hAnsi="calibri" w:cs="calibri" w:eastAsia="calibri"/>
                <w:sz w:val="21"/>
              </w:rPr>
              <w:t>GE CT</w:t>
            </w:r>
            <w:r>
              <w:rPr>
                <w:rFonts w:ascii="宋体" w:hAnsi="宋体" w:cs="宋体" w:eastAsia="宋体"/>
                <w:sz w:val="21"/>
              </w:rPr>
              <w:t>维保服务</w:t>
            </w:r>
            <w:r>
              <w:rPr>
                <w:rFonts w:ascii="calibri" w:hAnsi="calibri" w:cs="calibri" w:eastAsia="calibri"/>
                <w:sz w:val="21"/>
              </w:rPr>
              <w:t>(</w:t>
            </w:r>
            <w:r>
              <w:rPr>
                <w:rFonts w:ascii="宋体" w:hAnsi="宋体" w:cs="宋体" w:eastAsia="宋体"/>
                <w:sz w:val="21"/>
              </w:rPr>
              <w:t>人工服务、保养服务，所有备件（球管、探测器除外），</w:t>
            </w:r>
            <w:r>
              <w:rPr>
                <w:rFonts w:ascii="calibri" w:hAnsi="calibri" w:cs="calibri" w:eastAsia="calibri"/>
                <w:sz w:val="21"/>
              </w:rPr>
              <w:t>AW</w:t>
            </w:r>
            <w:r>
              <w:rPr>
                <w:rFonts w:ascii="宋体" w:hAnsi="宋体" w:cs="宋体" w:eastAsia="宋体"/>
                <w:sz w:val="21"/>
              </w:rPr>
              <w:t>工作站，数字化远程服务</w:t>
            </w:r>
            <w:r>
              <w:rPr>
                <w:rFonts w:ascii="calibri" w:hAnsi="calibri" w:cs="calibri" w:eastAsia="calibri"/>
                <w:sz w:val="21"/>
              </w:rPr>
              <w:t>)</w:t>
            </w:r>
            <w:r>
              <w:rPr>
                <w:rFonts w:ascii="宋体" w:hAnsi="宋体" w:cs="宋体" w:eastAsia="宋体"/>
                <w:sz w:val="21"/>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服务期内提供每年</w:t>
            </w:r>
            <w:r>
              <w:rPr>
                <w:rFonts w:ascii="calibri" w:hAnsi="calibri" w:cs="calibri" w:eastAsia="calibri"/>
                <w:sz w:val="21"/>
              </w:rPr>
              <w:t>3-4</w:t>
            </w:r>
            <w:r>
              <w:rPr>
                <w:rFonts w:ascii="宋体" w:hAnsi="宋体" w:cs="宋体" w:eastAsia="宋体"/>
                <w:sz w:val="21"/>
              </w:rPr>
              <w:t>次的设备定期优质保养，不限次数的现场维修服务，开机保证率≥</w:t>
            </w:r>
            <w:r>
              <w:rPr>
                <w:rFonts w:ascii="calibri" w:hAnsi="calibri" w:cs="calibri" w:eastAsia="calibri"/>
                <w:sz w:val="21"/>
              </w:rPr>
              <w:t>95</w:t>
            </w:r>
            <w:r>
              <w:rPr>
                <w:rFonts w:ascii="宋体" w:hAnsi="宋体" w:cs="宋体" w:eastAsia="宋体"/>
                <w:sz w:val="21"/>
              </w:rPr>
              <w:t>％，并提供年度保养报告。</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0"/>
              </w:rPr>
              <w:t>国内设有专门的球管、零备件仓库，提供证明材料。</w:t>
            </w:r>
          </w:p>
        </w:tc>
      </w:tr>
      <w:tr>
        <w:tc>
          <w:tcPr>
            <w:tcW w:type="dxa" w:w="2769"/>
          </w:tcPr>
          <w:p/>
        </w:tc>
        <w:tc>
          <w:tcPr>
            <w:tcW w:type="dxa" w:w="2769"/>
          </w:tcPr>
          <w:p>
            <w:pPr>
              <w:pStyle w:val="null3"/>
            </w:pPr>
            <w:r>
              <w:rPr/>
              <w:t>5</w:t>
            </w:r>
          </w:p>
        </w:tc>
        <w:tc>
          <w:tcPr>
            <w:tcW w:type="dxa" w:w="2769"/>
          </w:tcPr>
          <w:p>
            <w:pPr>
              <w:pStyle w:val="null3"/>
              <w:jc w:val="both"/>
            </w:pPr>
            <w:r>
              <w:rPr>
                <w:rFonts w:ascii="calibri" w:hAnsi="calibri" w:cs="calibri" w:eastAsia="calibri"/>
                <w:sz w:val="21"/>
              </w:rPr>
              <w:t>▲</w:t>
            </w:r>
            <w:r>
              <w:rPr>
                <w:rFonts w:ascii="宋体" w:hAnsi="宋体" w:cs="宋体" w:eastAsia="宋体"/>
                <w:sz w:val="20"/>
              </w:rPr>
              <w:t>零备件供应：所有更换的零部件必须为原厂全新备件，提供证明材料。</w:t>
            </w:r>
          </w:p>
        </w:tc>
      </w:tr>
      <w:tr>
        <w:tc>
          <w:tcPr>
            <w:tcW w:type="dxa" w:w="2769"/>
          </w:tcPr>
          <w:p/>
        </w:tc>
        <w:tc>
          <w:tcPr>
            <w:tcW w:type="dxa" w:w="2769"/>
          </w:tcPr>
          <w:p>
            <w:pPr>
              <w:pStyle w:val="null3"/>
            </w:pPr>
            <w:r>
              <w:rPr/>
              <w:t>6</w:t>
            </w:r>
          </w:p>
        </w:tc>
        <w:tc>
          <w:tcPr>
            <w:tcW w:type="dxa" w:w="2769"/>
          </w:tcPr>
          <w:p>
            <w:pPr>
              <w:pStyle w:val="null3"/>
              <w:jc w:val="both"/>
            </w:pPr>
            <w:r>
              <w:rPr>
                <w:rFonts w:ascii="calibri" w:hAnsi="calibri" w:cs="calibri" w:eastAsia="calibri"/>
                <w:sz w:val="21"/>
              </w:rPr>
              <w:t>▲</w:t>
            </w:r>
            <w:r>
              <w:rPr>
                <w:rFonts w:ascii="宋体" w:hAnsi="宋体" w:cs="宋体" w:eastAsia="宋体"/>
                <w:sz w:val="20"/>
              </w:rPr>
              <w:t>服务商国内拥有专业的技术支持团队超过</w:t>
            </w:r>
            <w:r>
              <w:rPr>
                <w:rFonts w:ascii="calibri" w:hAnsi="calibri" w:cs="calibri" w:eastAsia="calibri"/>
                <w:sz w:val="20"/>
              </w:rPr>
              <w:t>3</w:t>
            </w:r>
            <w:r>
              <w:rPr>
                <w:rFonts w:ascii="宋体" w:hAnsi="宋体" w:cs="宋体" w:eastAsia="宋体"/>
                <w:sz w:val="20"/>
              </w:rPr>
              <w:t>年并且</w:t>
            </w:r>
            <w:r>
              <w:rPr>
                <w:rFonts w:ascii="宋体" w:hAnsi="宋体" w:cs="宋体" w:eastAsia="宋体"/>
                <w:sz w:val="20"/>
              </w:rPr>
              <w:t>≥</w:t>
            </w:r>
            <w:r>
              <w:rPr>
                <w:rFonts w:ascii="calibri" w:hAnsi="calibri" w:cs="calibri" w:eastAsia="calibri"/>
                <w:sz w:val="20"/>
              </w:rPr>
              <w:t>3</w:t>
            </w:r>
            <w:r>
              <w:rPr>
                <w:rFonts w:ascii="宋体" w:hAnsi="宋体" w:cs="宋体" w:eastAsia="宋体"/>
                <w:sz w:val="20"/>
              </w:rPr>
              <w:t>人，提供姓名，具有原厂授权资质证，且在考核合格有效期内。保证能够随时取得设备生产者研发和工厂的技术、物力支持。有权限访问原厂的全球维修经验数据库《</w:t>
            </w:r>
            <w:r>
              <w:rPr>
                <w:rFonts w:ascii="calibri" w:hAnsi="calibri" w:cs="calibri" w:eastAsia="calibri"/>
                <w:sz w:val="20"/>
              </w:rPr>
              <w:t>Offline knowledge</w:t>
            </w:r>
            <w:r>
              <w:rPr>
                <w:rFonts w:ascii="宋体" w:hAnsi="宋体" w:cs="宋体" w:eastAsia="宋体"/>
                <w:sz w:val="20"/>
              </w:rPr>
              <w:t>》，能提供有效的访问用户名供核实。</w:t>
            </w:r>
          </w:p>
        </w:tc>
      </w:tr>
      <w:tr>
        <w:tc>
          <w:tcPr>
            <w:tcW w:type="dxa" w:w="2769"/>
          </w:tcPr>
          <w:p/>
        </w:tc>
        <w:tc>
          <w:tcPr>
            <w:tcW w:type="dxa" w:w="2769"/>
          </w:tcPr>
          <w:p>
            <w:pPr>
              <w:pStyle w:val="null3"/>
            </w:pPr>
            <w:r>
              <w:rPr/>
              <w:t>7</w:t>
            </w:r>
          </w:p>
        </w:tc>
        <w:tc>
          <w:tcPr>
            <w:tcW w:type="dxa" w:w="2769"/>
          </w:tcPr>
          <w:p>
            <w:pPr>
              <w:pStyle w:val="null3"/>
              <w:jc w:val="both"/>
            </w:pPr>
            <w:r>
              <w:rPr>
                <w:rFonts w:ascii="calibri" w:hAnsi="calibri" w:cs="calibri" w:eastAsia="calibri"/>
                <w:sz w:val="21"/>
              </w:rPr>
              <w:t>▲</w:t>
            </w:r>
            <w:r>
              <w:rPr>
                <w:rFonts w:ascii="宋体" w:hAnsi="宋体" w:cs="宋体" w:eastAsia="宋体"/>
                <w:sz w:val="20"/>
              </w:rPr>
              <w:t>服务商有全职的原厂认证合格的</w:t>
            </w:r>
            <w:r>
              <w:rPr>
                <w:rFonts w:ascii="calibri" w:hAnsi="calibri" w:cs="calibri" w:eastAsia="calibri"/>
                <w:sz w:val="20"/>
              </w:rPr>
              <w:t>GE CT</w:t>
            </w:r>
            <w:r>
              <w:rPr>
                <w:rFonts w:ascii="宋体" w:hAnsi="宋体" w:cs="宋体" w:eastAsia="宋体"/>
                <w:sz w:val="20"/>
              </w:rPr>
              <w:t>等设备的临床应用培训人员，并能以现场的和远程的形式，提供临床扫描、图像处理和相应业务拓展的专业支持。提供姓名，具有原厂授权资质证。</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0"/>
              </w:rPr>
              <w:t>服务商必须具备</w:t>
            </w:r>
            <w:r>
              <w:rPr>
                <w:rFonts w:ascii="calibri" w:hAnsi="calibri" w:cs="calibri" w:eastAsia="calibri"/>
                <w:sz w:val="20"/>
              </w:rPr>
              <w:t>400</w:t>
            </w:r>
            <w:r>
              <w:rPr>
                <w:rFonts w:ascii="宋体" w:hAnsi="宋体" w:cs="宋体" w:eastAsia="宋体"/>
                <w:sz w:val="20"/>
              </w:rPr>
              <w:t>或</w:t>
            </w:r>
            <w:r>
              <w:rPr>
                <w:rFonts w:ascii="calibri" w:hAnsi="calibri" w:cs="calibri" w:eastAsia="calibri"/>
                <w:sz w:val="20"/>
              </w:rPr>
              <w:t>800</w:t>
            </w:r>
            <w:r>
              <w:rPr>
                <w:rFonts w:ascii="宋体" w:hAnsi="宋体" w:cs="宋体" w:eastAsia="宋体"/>
                <w:sz w:val="20"/>
              </w:rPr>
              <w:t>客户服务免费专线电话，全年</w:t>
            </w:r>
            <w:r>
              <w:rPr>
                <w:rFonts w:ascii="calibri" w:hAnsi="calibri" w:cs="calibri" w:eastAsia="calibri"/>
                <w:sz w:val="20"/>
              </w:rPr>
              <w:t>365</w:t>
            </w:r>
            <w:r>
              <w:rPr>
                <w:rFonts w:ascii="宋体" w:hAnsi="宋体" w:cs="宋体" w:eastAsia="宋体"/>
                <w:sz w:val="20"/>
              </w:rPr>
              <w:t>天开通。接到故障报修电话后，在</w:t>
            </w:r>
            <w:r>
              <w:rPr>
                <w:rFonts w:ascii="calibri" w:hAnsi="calibri" w:cs="calibri" w:eastAsia="calibri"/>
                <w:sz w:val="20"/>
              </w:rPr>
              <w:t>2</w:t>
            </w:r>
            <w:r>
              <w:rPr>
                <w:rFonts w:ascii="宋体" w:hAnsi="宋体" w:cs="宋体" w:eastAsia="宋体"/>
                <w:sz w:val="20"/>
              </w:rPr>
              <w:t>小时内响应，工程师应在</w:t>
            </w:r>
            <w:r>
              <w:rPr>
                <w:rFonts w:ascii="calibri" w:hAnsi="calibri" w:cs="calibri" w:eastAsia="calibri"/>
                <w:sz w:val="20"/>
              </w:rPr>
              <w:t>48</w:t>
            </w:r>
            <w:r>
              <w:rPr>
                <w:rFonts w:ascii="宋体" w:hAnsi="宋体" w:cs="宋体" w:eastAsia="宋体"/>
                <w:sz w:val="20"/>
              </w:rPr>
              <w:t>小时内到达现场。</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0"/>
              </w:rPr>
              <w:t>服务机构通过</w:t>
            </w:r>
            <w:r>
              <w:rPr>
                <w:rFonts w:ascii="calibri" w:hAnsi="calibri" w:cs="calibri" w:eastAsia="calibri"/>
                <w:sz w:val="20"/>
              </w:rPr>
              <w:t>ISO9001</w:t>
            </w:r>
            <w:r>
              <w:rPr>
                <w:rFonts w:ascii="宋体" w:hAnsi="宋体" w:cs="宋体" w:eastAsia="宋体"/>
                <w:sz w:val="20"/>
              </w:rPr>
              <w:t>和医疗器械维修行业</w:t>
            </w:r>
            <w:r>
              <w:rPr>
                <w:rFonts w:ascii="calibri" w:hAnsi="calibri" w:cs="calibri" w:eastAsia="calibri"/>
                <w:sz w:val="20"/>
              </w:rPr>
              <w:t>ISO13485</w:t>
            </w:r>
            <w:r>
              <w:rPr>
                <w:rFonts w:ascii="宋体" w:hAnsi="宋体" w:cs="宋体" w:eastAsia="宋体"/>
                <w:sz w:val="20"/>
              </w:rPr>
              <w:t>、</w:t>
            </w:r>
            <w:r>
              <w:rPr>
                <w:rFonts w:ascii="calibri" w:hAnsi="calibri" w:cs="calibri" w:eastAsia="calibri"/>
                <w:sz w:val="20"/>
              </w:rPr>
              <w:t>ISO27001</w:t>
            </w:r>
            <w:r>
              <w:rPr>
                <w:rFonts w:ascii="宋体" w:hAnsi="宋体" w:cs="宋体" w:eastAsia="宋体"/>
                <w:sz w:val="20"/>
              </w:rPr>
              <w:t>质量管理体系认证，提供复印件。</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0"/>
              </w:rPr>
              <w:t>服务商必须提供数字化远程诊断与维修服务，基于专用路由器，宽带接入式的远端服务器实时自动监测，</w:t>
            </w:r>
            <w:r>
              <w:rPr>
                <w:rFonts w:ascii="calibri" w:hAnsi="calibri" w:cs="calibri" w:eastAsia="calibri"/>
                <w:sz w:val="20"/>
              </w:rPr>
              <w:t>On Watch</w:t>
            </w:r>
            <w:r>
              <w:rPr>
                <w:rFonts w:ascii="宋体" w:hAnsi="宋体" w:cs="宋体" w:eastAsia="宋体"/>
                <w:sz w:val="20"/>
              </w:rPr>
              <w:t>前瞻性预警服务</w:t>
            </w:r>
            <w:r>
              <w:rPr>
                <w:rFonts w:ascii="calibri" w:hAnsi="calibri" w:cs="calibri" w:eastAsia="calibri"/>
                <w:sz w:val="20"/>
              </w:rPr>
              <w:t>,</w:t>
            </w:r>
            <w:r>
              <w:rPr>
                <w:rFonts w:ascii="宋体" w:hAnsi="宋体" w:cs="宋体" w:eastAsia="宋体"/>
                <w:sz w:val="20"/>
              </w:rPr>
              <w:t>在线支持工程师每天会人工登录在保设备协助发现设备潜在故障。投标人提供基于宽带接入的</w:t>
            </w:r>
            <w:r>
              <w:rPr>
                <w:rFonts w:ascii="calibri" w:hAnsi="calibri" w:cs="calibri" w:eastAsia="calibri"/>
                <w:sz w:val="20"/>
              </w:rPr>
              <w:t>CT</w:t>
            </w:r>
            <w:r>
              <w:rPr>
                <w:rFonts w:ascii="宋体" w:hAnsi="宋体" w:cs="宋体" w:eastAsia="宋体"/>
                <w:sz w:val="20"/>
              </w:rPr>
              <w:t xml:space="preserve">原厂的 </w:t>
            </w:r>
            <w:r>
              <w:rPr>
                <w:rFonts w:ascii="calibri" w:hAnsi="calibri" w:cs="calibri" w:eastAsia="calibri"/>
                <w:sz w:val="20"/>
              </w:rPr>
              <w:t xml:space="preserve">InSiteTM </w:t>
            </w:r>
            <w:r>
              <w:rPr>
                <w:rFonts w:ascii="宋体" w:hAnsi="宋体" w:cs="宋体" w:eastAsia="宋体"/>
                <w:sz w:val="20"/>
              </w:rPr>
              <w:t>数字化远程故障筛排系统，提前预知球管打火</w:t>
            </w:r>
            <w:r>
              <w:rPr>
                <w:rFonts w:ascii="calibri" w:hAnsi="calibri" w:cs="calibri" w:eastAsia="calibri"/>
                <w:sz w:val="20"/>
              </w:rPr>
              <w:t>/</w:t>
            </w:r>
            <w:r>
              <w:rPr>
                <w:rFonts w:ascii="宋体" w:hAnsi="宋体" w:cs="宋体" w:eastAsia="宋体"/>
                <w:sz w:val="20"/>
              </w:rPr>
              <w:t>预热失败</w:t>
            </w:r>
            <w:r>
              <w:rPr>
                <w:rFonts w:ascii="calibri" w:hAnsi="calibri" w:cs="calibri" w:eastAsia="calibri"/>
                <w:sz w:val="20"/>
              </w:rPr>
              <w:t>/</w:t>
            </w:r>
            <w:r>
              <w:rPr>
                <w:rFonts w:ascii="宋体" w:hAnsi="宋体" w:cs="宋体" w:eastAsia="宋体"/>
                <w:sz w:val="20"/>
              </w:rPr>
              <w:t>阳极旋转失效</w:t>
            </w:r>
            <w:r>
              <w:rPr>
                <w:rFonts w:ascii="calibri" w:hAnsi="calibri" w:cs="calibri" w:eastAsia="calibri"/>
                <w:sz w:val="20"/>
              </w:rPr>
              <w:t>/</w:t>
            </w:r>
            <w:r>
              <w:rPr>
                <w:rFonts w:ascii="宋体" w:hAnsi="宋体" w:cs="宋体" w:eastAsia="宋体"/>
                <w:sz w:val="20"/>
              </w:rPr>
              <w:t>灯丝断路，球管使用量；数据采集系统（</w:t>
            </w:r>
            <w:r>
              <w:rPr>
                <w:rFonts w:ascii="calibri" w:hAnsi="calibri" w:cs="calibri" w:eastAsia="calibri"/>
                <w:sz w:val="20"/>
              </w:rPr>
              <w:t>Detector/DAS</w:t>
            </w:r>
            <w:r>
              <w:rPr>
                <w:rFonts w:ascii="宋体" w:hAnsi="宋体" w:cs="宋体" w:eastAsia="宋体"/>
                <w:sz w:val="20"/>
              </w:rPr>
              <w:t>）短路</w:t>
            </w:r>
            <w:r>
              <w:rPr>
                <w:rFonts w:ascii="calibri" w:hAnsi="calibri" w:cs="calibri" w:eastAsia="calibri"/>
                <w:sz w:val="20"/>
              </w:rPr>
              <w:t>/</w:t>
            </w:r>
            <w:r>
              <w:rPr>
                <w:rFonts w:ascii="宋体" w:hAnsi="宋体" w:cs="宋体" w:eastAsia="宋体"/>
                <w:sz w:val="20"/>
              </w:rPr>
              <w:t>断路，工作温度超标，编码器失效；图像重建（</w:t>
            </w:r>
            <w:r>
              <w:rPr>
                <w:rFonts w:ascii="calibri" w:hAnsi="calibri" w:cs="calibri" w:eastAsia="calibri"/>
                <w:sz w:val="20"/>
              </w:rPr>
              <w:t>Recon</w:t>
            </w:r>
            <w:r>
              <w:rPr>
                <w:rFonts w:ascii="宋体" w:hAnsi="宋体" w:cs="宋体" w:eastAsia="宋体"/>
                <w:sz w:val="20"/>
              </w:rPr>
              <w:t>）重建速度变慢，重建失败；硬盘</w:t>
            </w:r>
            <w:r>
              <w:rPr>
                <w:rFonts w:ascii="calibri" w:hAnsi="calibri" w:cs="calibri" w:eastAsia="calibri"/>
                <w:sz w:val="20"/>
              </w:rPr>
              <w:t>(Hard disk)</w:t>
            </w:r>
            <w:r>
              <w:rPr>
                <w:rFonts w:ascii="宋体" w:hAnsi="宋体" w:cs="宋体" w:eastAsia="宋体"/>
                <w:sz w:val="20"/>
              </w:rPr>
              <w:t>磁盘阵列损坏；帮医院提早做计划，无计划外停机。</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0"/>
              </w:rPr>
              <w:t>服务商必须提供基于专用路由器，宽带接入式的远端服务器实时自动监测标的设备温湿度实时曲线的软件及硬件</w:t>
            </w:r>
            <w:r>
              <w:rPr>
                <w:rFonts w:ascii="calibri" w:hAnsi="calibri" w:cs="calibri" w:eastAsia="calibri"/>
                <w:sz w:val="20"/>
              </w:rPr>
              <w:t>,</w:t>
            </w:r>
            <w:r>
              <w:rPr>
                <w:rFonts w:ascii="宋体" w:hAnsi="宋体" w:cs="宋体" w:eastAsia="宋体"/>
                <w:sz w:val="20"/>
              </w:rPr>
              <w:t>具备对标的设备的电气环境进行</w:t>
            </w:r>
            <w:r>
              <w:rPr>
                <w:rFonts w:ascii="calibri" w:hAnsi="calibri" w:cs="calibri" w:eastAsia="calibri"/>
                <w:sz w:val="20"/>
              </w:rPr>
              <w:t>24</w:t>
            </w:r>
            <w:r>
              <w:rPr>
                <w:rFonts w:ascii="宋体" w:hAnsi="宋体" w:cs="宋体" w:eastAsia="宋体"/>
                <w:sz w:val="20"/>
              </w:rPr>
              <w:t>小时实时监测能力。</w:t>
            </w:r>
          </w:p>
        </w:tc>
      </w:tr>
      <w:tr>
        <w:tc>
          <w:tcPr>
            <w:tcW w:type="dxa" w:w="2769"/>
          </w:tcPr>
          <w:p/>
        </w:tc>
        <w:tc>
          <w:tcPr>
            <w:tcW w:type="dxa" w:w="2769"/>
          </w:tcPr>
          <w:p>
            <w:pPr>
              <w:pStyle w:val="null3"/>
            </w:pPr>
            <w:r>
              <w:rPr/>
              <w:t>12</w:t>
            </w:r>
          </w:p>
        </w:tc>
        <w:tc>
          <w:tcPr>
            <w:tcW w:type="dxa" w:w="2769"/>
          </w:tcPr>
          <w:p>
            <w:pPr>
              <w:pStyle w:val="null3"/>
              <w:jc w:val="both"/>
            </w:pPr>
            <w:r>
              <w:rPr>
                <w:rFonts w:ascii="calibri" w:hAnsi="calibri" w:cs="calibri" w:eastAsia="calibri"/>
                <w:sz w:val="21"/>
              </w:rPr>
              <w:t>▲</w:t>
            </w:r>
            <w:r>
              <w:rPr>
                <w:rFonts w:ascii="宋体" w:hAnsi="宋体" w:cs="宋体" w:eastAsia="宋体"/>
                <w:sz w:val="20"/>
              </w:rPr>
              <w:t>维修工程师可显示全套原厂诊断软件，并保证能够解决所有需要原厂</w:t>
            </w:r>
            <w:r>
              <w:rPr>
                <w:rFonts w:ascii="calibri" w:hAnsi="calibri" w:cs="calibri" w:eastAsia="calibri"/>
                <w:sz w:val="20"/>
              </w:rPr>
              <w:t>service key</w:t>
            </w:r>
            <w:r>
              <w:rPr>
                <w:rFonts w:ascii="宋体" w:hAnsi="宋体" w:cs="宋体" w:eastAsia="宋体"/>
                <w:sz w:val="20"/>
              </w:rPr>
              <w:t>才能解决的设备故障。</w:t>
            </w:r>
          </w:p>
        </w:tc>
      </w:tr>
      <w:tr>
        <w:tc>
          <w:tcPr>
            <w:tcW w:type="dxa" w:w="2769"/>
          </w:tcPr>
          <w:p/>
        </w:tc>
        <w:tc>
          <w:tcPr>
            <w:tcW w:type="dxa" w:w="2769"/>
          </w:tcPr>
          <w:p>
            <w:pPr>
              <w:pStyle w:val="null3"/>
            </w:pPr>
            <w:r>
              <w:rPr/>
              <w:t>13</w:t>
            </w:r>
          </w:p>
        </w:tc>
        <w:tc>
          <w:tcPr>
            <w:tcW w:type="dxa" w:w="2769"/>
          </w:tcPr>
          <w:p>
            <w:pPr>
              <w:pStyle w:val="null3"/>
              <w:jc w:val="both"/>
            </w:pPr>
            <w:r>
              <w:rPr>
                <w:rFonts w:ascii="calibri" w:hAnsi="calibri" w:cs="calibri" w:eastAsia="calibri"/>
                <w:sz w:val="21"/>
              </w:rPr>
              <w:t>▲</w:t>
            </w:r>
            <w:r>
              <w:rPr>
                <w:rFonts w:ascii="宋体" w:hAnsi="宋体" w:cs="宋体" w:eastAsia="宋体"/>
                <w:sz w:val="20"/>
              </w:rPr>
              <w:t>远程服务要求与设备管理。</w:t>
            </w:r>
          </w:p>
          <w:p>
            <w:pPr>
              <w:pStyle w:val="null3"/>
              <w:jc w:val="both"/>
            </w:pPr>
            <w:r>
              <w:rPr>
                <w:rFonts w:ascii="calibri" w:hAnsi="calibri" w:cs="calibri" w:eastAsia="calibri"/>
                <w:sz w:val="20"/>
              </w:rPr>
              <w:t>13.1</w:t>
            </w:r>
            <w:r>
              <w:rPr>
                <w:rFonts w:ascii="宋体" w:hAnsi="宋体" w:cs="宋体" w:eastAsia="宋体"/>
                <w:sz w:val="20"/>
              </w:rPr>
              <w:t>提供设备运行分析管理和临床支持平台</w:t>
            </w:r>
            <w:r>
              <w:rPr>
                <w:rFonts w:ascii="宋体" w:hAnsi="宋体" w:cs="宋体" w:eastAsia="宋体"/>
                <w:sz w:val="20"/>
              </w:rPr>
              <w:t>。</w:t>
            </w:r>
          </w:p>
          <w:p>
            <w:pPr>
              <w:pStyle w:val="null3"/>
              <w:jc w:val="both"/>
            </w:pPr>
            <w:r>
              <w:rPr>
                <w:rFonts w:ascii="calibri" w:hAnsi="calibri" w:cs="calibri" w:eastAsia="calibri"/>
                <w:sz w:val="20"/>
              </w:rPr>
              <w:t>13.2</w:t>
            </w:r>
            <w:r>
              <w:rPr>
                <w:rFonts w:ascii="宋体" w:hAnsi="宋体" w:cs="宋体" w:eastAsia="宋体"/>
                <w:sz w:val="20"/>
              </w:rPr>
              <w:t>对设备关键部件的监控，电子计算机断层扫描设备</w:t>
            </w:r>
            <w:r>
              <w:rPr>
                <w:rFonts w:ascii="calibri" w:hAnsi="calibri" w:cs="calibri" w:eastAsia="calibri"/>
                <w:sz w:val="20"/>
              </w:rPr>
              <w:t>(CT)</w:t>
            </w:r>
            <w:r>
              <w:rPr>
                <w:rFonts w:ascii="宋体" w:hAnsi="宋体" w:cs="宋体" w:eastAsia="宋体"/>
                <w:sz w:val="20"/>
              </w:rPr>
              <w:t>， 关注磁盘空间，重建系统，球管曝光量等参数。</w:t>
            </w:r>
          </w:p>
          <w:p>
            <w:pPr>
              <w:pStyle w:val="null3"/>
              <w:jc w:val="both"/>
            </w:pPr>
            <w:r>
              <w:rPr>
                <w:rFonts w:ascii="calibri" w:hAnsi="calibri" w:cs="calibri" w:eastAsia="calibri"/>
                <w:sz w:val="20"/>
              </w:rPr>
              <w:t>13.3</w:t>
            </w:r>
            <w:r>
              <w:rPr>
                <w:rFonts w:ascii="宋体" w:hAnsi="宋体" w:cs="宋体" w:eastAsia="宋体"/>
                <w:sz w:val="20"/>
              </w:rPr>
              <w:t>支持记录设备使用量统计，如扫描部位等。</w:t>
            </w:r>
          </w:p>
          <w:p>
            <w:pPr>
              <w:pStyle w:val="null3"/>
              <w:jc w:val="both"/>
            </w:pPr>
            <w:r>
              <w:rPr>
                <w:rFonts w:ascii="calibri" w:hAnsi="calibri" w:cs="calibri" w:eastAsia="calibri"/>
                <w:sz w:val="20"/>
              </w:rPr>
              <w:t>13.4</w:t>
            </w:r>
            <w:r>
              <w:rPr>
                <w:rFonts w:ascii="宋体" w:hAnsi="宋体" w:cs="宋体" w:eastAsia="宋体"/>
                <w:sz w:val="20"/>
              </w:rPr>
              <w:t>应用服务可适配</w:t>
            </w:r>
            <w:r>
              <w:rPr>
                <w:rFonts w:ascii="calibri" w:hAnsi="calibri" w:cs="calibri" w:eastAsia="calibri"/>
                <w:sz w:val="20"/>
              </w:rPr>
              <w:t>PC</w:t>
            </w:r>
            <w:r>
              <w:rPr>
                <w:rFonts w:ascii="宋体" w:hAnsi="宋体" w:cs="宋体" w:eastAsia="宋体"/>
                <w:sz w:val="20"/>
              </w:rPr>
              <w:t>机和手持移动终端设备。</w:t>
            </w:r>
          </w:p>
          <w:p>
            <w:pPr>
              <w:pStyle w:val="null3"/>
              <w:jc w:val="both"/>
            </w:pPr>
            <w:r>
              <w:rPr>
                <w:rFonts w:ascii="calibri" w:hAnsi="calibri" w:cs="calibri" w:eastAsia="calibri"/>
                <w:sz w:val="20"/>
              </w:rPr>
              <w:t>13.5</w:t>
            </w:r>
            <w:r>
              <w:rPr>
                <w:rFonts w:ascii="宋体" w:hAnsi="宋体" w:cs="宋体" w:eastAsia="宋体"/>
                <w:sz w:val="20"/>
              </w:rPr>
              <w:t>设备维保记录与提醒。</w:t>
            </w:r>
          </w:p>
          <w:p>
            <w:pPr>
              <w:pStyle w:val="null3"/>
              <w:jc w:val="both"/>
            </w:pPr>
            <w:r>
              <w:rPr>
                <w:rFonts w:ascii="calibri" w:hAnsi="calibri" w:cs="calibri" w:eastAsia="calibri"/>
                <w:sz w:val="20"/>
              </w:rPr>
              <w:t>13.6</w:t>
            </w:r>
            <w:r>
              <w:rPr>
                <w:rFonts w:ascii="宋体" w:hAnsi="宋体" w:cs="宋体" w:eastAsia="宋体"/>
                <w:sz w:val="20"/>
              </w:rPr>
              <w:t>报修状态提醒 （适用于</w:t>
            </w:r>
            <w:r>
              <w:rPr>
                <w:rFonts w:ascii="calibri" w:hAnsi="calibri" w:cs="calibri" w:eastAsia="calibri"/>
                <w:sz w:val="20"/>
              </w:rPr>
              <w:t>PC</w:t>
            </w:r>
            <w:r>
              <w:rPr>
                <w:rFonts w:ascii="宋体" w:hAnsi="宋体" w:cs="宋体" w:eastAsia="宋体"/>
                <w:sz w:val="20"/>
              </w:rPr>
              <w:t>机和手持移动终端设备）。</w:t>
            </w:r>
          </w:p>
          <w:p>
            <w:pPr>
              <w:pStyle w:val="null3"/>
              <w:jc w:val="both"/>
            </w:pPr>
            <w:r>
              <w:rPr>
                <w:rFonts w:ascii="calibri" w:hAnsi="calibri" w:cs="calibri" w:eastAsia="calibri"/>
                <w:sz w:val="20"/>
              </w:rPr>
              <w:t>13.7</w:t>
            </w:r>
            <w:r>
              <w:rPr>
                <w:rFonts w:ascii="宋体" w:hAnsi="宋体" w:cs="宋体" w:eastAsia="宋体"/>
                <w:sz w:val="20"/>
              </w:rPr>
              <w:t>设备保养预约提示以及历史纪录</w:t>
            </w:r>
          </w:p>
        </w:tc>
      </w:tr>
    </w:tbl>
    <w:p>
      <w:pPr>
        <w:pStyle w:val="null3"/>
        <w:outlineLvl w:val="3"/>
      </w:pPr>
      <w:r>
        <w:rPr>
          <w:sz w:val="24"/>
          <w:b/>
        </w:rPr>
        <w:t>3.2.3人员配置要求</w:t>
      </w:r>
    </w:p>
    <w:p>
      <w:pPr>
        <w:pStyle w:val="null3"/>
      </w:pPr>
      <w:r>
        <w:rPr/>
        <w:t>采购包1：</w:t>
      </w:r>
    </w:p>
    <w:p>
      <w:pPr>
        <w:pStyle w:val="null3"/>
      </w:pPr>
      <w:r>
        <w:rPr/>
        <w:t>满足项目需求，具体详见招标文件要求。</w:t>
      </w:r>
    </w:p>
    <w:p>
      <w:pPr>
        <w:pStyle w:val="null3"/>
        <w:outlineLvl w:val="3"/>
      </w:pPr>
      <w:r>
        <w:rPr>
          <w:sz w:val="24"/>
          <w:b/>
        </w:rPr>
        <w:t>3.2.4设施设备配置要求</w:t>
      </w:r>
    </w:p>
    <w:p>
      <w:pPr>
        <w:pStyle w:val="null3"/>
      </w:pPr>
      <w:r>
        <w:rPr/>
        <w:t>采购包1：</w:t>
      </w:r>
    </w:p>
    <w:p>
      <w:pPr>
        <w:pStyle w:val="null3"/>
      </w:pPr>
      <w:r>
        <w:rPr/>
        <w:t>设施设备满足项目需求，具体详见招标文件要求。</w:t>
      </w:r>
    </w:p>
    <w:p>
      <w:pPr>
        <w:pStyle w:val="null3"/>
        <w:outlineLvl w:val="3"/>
      </w:pPr>
      <w:r>
        <w:rPr>
          <w:sz w:val="24"/>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1年，有效期3年（每年经医院考核合格后可续签）</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（一）维保完成后，由甲乙双方共同验收，甲方填写验收合格并作为对乙方服务的认可。 （二）乙方向甲方提交设备维修过程中的相关资料及换下的故障配件。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项目完成并经采购人验收合格后</w:t>
      </w:r>
      <w:r>
        <w:rPr/>
        <w:t xml:space="preserve"> ，达到付款条件起 </w:t>
      </w:r>
      <w:r>
        <w:rPr/>
        <w:t>7</w:t>
      </w:r>
      <w:r>
        <w:rPr/>
        <w:t xml:space="preserve"> 日内，支付合同总金额的 </w:t>
      </w:r>
      <w:r>
        <w:rPr/>
        <w:t>50.00</w:t>
      </w:r>
      <w:r>
        <w:rPr/>
        <w:t>%。</w:t>
      </w:r>
    </w:p>
    <w:p>
      <w:pPr>
        <w:pStyle w:val="null3"/>
        <w:outlineLvl w:val="3"/>
      </w:pPr>
      <w:r>
        <w:rPr>
          <w:sz w:val="24"/>
          <w:b/>
        </w:rPr>
        <w:t>3.3.6违约责任与解决争议的方法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1.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西安市雁塔区科技二路71号竹园·天寰国际1107室。 3.如投标文件中融资相关内容与新政策要求有出入，按照最新要求执行。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一般资格要求及特殊资格要求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一般资格要求及特殊资格要求</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投标人应授权合法的人员参加投标全过程</w:t>
            </w:r>
          </w:p>
        </w:tc>
        <w:tc>
          <w:tcPr>
            <w:tcW w:type="dxa" w:w="3322"/>
          </w:tcPr>
          <w:p>
            <w:pPr>
              <w:pStyle w:val="null3"/>
            </w:pPr>
            <w:r>
              <w:rPr/>
              <w:t>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t>一般资格要求及特殊资格要求</w:t>
            </w:r>
          </w:p>
        </w:tc>
      </w:tr>
      <w:tr>
        <w:tc>
          <w:tcPr>
            <w:tcW w:type="dxa" w:w="831"/>
          </w:tcPr>
          <w:p>
            <w:pPr>
              <w:pStyle w:val="null3"/>
            </w:pPr>
            <w:r>
              <w:rPr/>
              <w:t>2</w:t>
            </w:r>
          </w:p>
        </w:tc>
        <w:tc>
          <w:tcPr>
            <w:tcW w:type="dxa" w:w="2492"/>
          </w:tcPr>
          <w:p>
            <w:pPr>
              <w:pStyle w:val="null3"/>
            </w:pPr>
            <w:r>
              <w:rPr/>
              <w:t>信用证明</w:t>
            </w:r>
          </w:p>
        </w:tc>
        <w:tc>
          <w:tcPr>
            <w:tcW w:type="dxa" w:w="3322"/>
          </w:tcPr>
          <w:p>
            <w:pPr>
              <w:pStyle w:val="null3"/>
            </w:pPr>
            <w:r>
              <w:rPr/>
              <w:t>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投标人须为具有独立承担民事责任能力的法人、其他组织或自然人</w:t>
            </w:r>
          </w:p>
        </w:tc>
        <w:tc>
          <w:tcPr>
            <w:tcW w:type="dxa" w:w="3322"/>
          </w:tcPr>
          <w:p>
            <w:pPr>
              <w:pStyle w:val="null3"/>
            </w:pPr>
            <w:r>
              <w:rPr/>
              <w:t>出具合法有效的营业执照或事业单位法人证书等国家规定的相关证明，自然人参与的提供其身份证明。</w:t>
            </w:r>
          </w:p>
        </w:tc>
        <w:tc>
          <w:tcPr>
            <w:tcW w:type="dxa" w:w="1661"/>
          </w:tcPr>
          <w:p>
            <w:pPr>
              <w:pStyle w:val="null3"/>
            </w:pPr>
            <w:r>
              <w:rPr/>
              <w:t>一般资格要求及特殊资格要求</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t>一般资格要求及特殊资格要求</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提供自2023年11月1日以来已缴存的任意1个月的社会保障资金缴存单据或社保机构开具的社会保险参保缴费情况证明；依法不需要缴纳社会保障资金的投标人应提供相关证明文件。</w:t>
            </w:r>
          </w:p>
        </w:tc>
        <w:tc>
          <w:tcPr>
            <w:tcW w:type="dxa" w:w="1661"/>
          </w:tcPr>
          <w:p>
            <w:pPr>
              <w:pStyle w:val="null3"/>
            </w:pPr>
            <w:r>
              <w:rPr/>
              <w:t>一般资格要求及特殊资格要求</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提供自2023年11月1日以来已缴纳的任意1个月的依法缴纳税收的相关凭据(时间以税款所属日期为准)，凭据应有税务机关或代收机关的公章或业务专用章；依法免税或无须缴纳税收的投标人，应提供相应证明文件。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t>一般资格要求及特殊资格要求</w:t>
            </w:r>
          </w:p>
        </w:tc>
      </w:tr>
      <w:tr>
        <w:tc>
          <w:tcPr>
            <w:tcW w:type="dxa" w:w="831"/>
          </w:tcPr>
          <w:p>
            <w:pPr>
              <w:pStyle w:val="null3"/>
            </w:pPr>
            <w:r>
              <w:rPr/>
              <w:t>7</w:t>
            </w:r>
          </w:p>
        </w:tc>
        <w:tc>
          <w:tcPr>
            <w:tcW w:type="dxa" w:w="2492"/>
          </w:tcPr>
          <w:p>
            <w:pPr>
              <w:pStyle w:val="null3"/>
            </w:pPr>
            <w:r>
              <w:rPr/>
              <w:t>提供具有履行合同所必需的设备和专业技术能力的书面承诺</w:t>
            </w:r>
          </w:p>
        </w:tc>
        <w:tc>
          <w:tcPr>
            <w:tcW w:type="dxa" w:w="3322"/>
          </w:tcPr>
          <w:p>
            <w:pPr>
              <w:pStyle w:val="null3"/>
            </w:pPr>
            <w:r>
              <w:rPr/>
              <w:t>提供具有履行合同所必需的设备和专业技术能力的书面承诺，加盖投标人公章。</w:t>
            </w:r>
          </w:p>
        </w:tc>
        <w:tc>
          <w:tcPr>
            <w:tcW w:type="dxa" w:w="1661"/>
          </w:tcPr>
          <w:p>
            <w:pPr>
              <w:pStyle w:val="null3"/>
            </w:pPr>
            <w:r>
              <w:rPr/>
              <w:t>一般资格要求及特殊资格要求</w:t>
            </w:r>
          </w:p>
        </w:tc>
      </w:tr>
      <w:tr>
        <w:tc>
          <w:tcPr>
            <w:tcW w:type="dxa" w:w="831"/>
          </w:tcPr>
          <w:p>
            <w:pPr>
              <w:pStyle w:val="null3"/>
            </w:pPr>
            <w:r>
              <w:rPr/>
              <w:t>8</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提供参加政府采购活动前三年内在经营活动中没有重大违法记录的书面声明，加盖投标人公章。</w:t>
            </w:r>
          </w:p>
        </w:tc>
        <w:tc>
          <w:tcPr>
            <w:tcW w:type="dxa" w:w="1661"/>
          </w:tcPr>
          <w:p>
            <w:pPr>
              <w:pStyle w:val="null3"/>
            </w:pPr>
            <w:r>
              <w:rPr/>
              <w:t>一般资格要求及特殊资格要求</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t>一般资格要求及特殊资格要求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符合招标文件要求</w:t>
            </w:r>
          </w:p>
        </w:tc>
        <w:tc>
          <w:tcPr>
            <w:tcW w:type="dxa" w:w="1661"/>
          </w:tcPr>
          <w:p>
            <w:pPr>
              <w:pStyle w:val="null3"/>
            </w:pPr>
            <w:r>
              <w:rPr/>
              <w:t>开标一览表 中小企业声明函 一般资格要求及特殊资格要求 商务应答表 服务内容及服务要求应答表 业绩一览表 总服务方案 投标函 残疾人福利性单位声明函 标的清单 投标文件封面 其他材料及供应商认为有必要说明、阐述的事项 监狱企业的证明文件</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标的清单 投标文件封面</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符合招标文件要求</w:t>
            </w:r>
          </w:p>
        </w:tc>
        <w:tc>
          <w:tcPr>
            <w:tcW w:type="dxa" w:w="1661"/>
          </w:tcPr>
          <w:p>
            <w:pPr>
              <w:pStyle w:val="null3"/>
            </w:pPr>
            <w:r>
              <w:rPr/>
              <w:t>商务应答表 投标文件封面</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t>开标一览表 中小企业声明函 一般资格要求及特殊资格要求 商务应答表 服务内容及服务要求应答表 业绩一览表 总服务方案 投标函 残疾人福利性单位声明函 标的清单 投标文件封面 其他材料及供应商认为有必要说明、阐述的事项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重要技术条款的响应程度</w:t>
            </w:r>
          </w:p>
        </w:tc>
        <w:tc>
          <w:tcPr>
            <w:tcW w:type="dxa" w:w="2492"/>
          </w:tcPr>
          <w:p>
            <w:pPr>
              <w:pStyle w:val="null3"/>
            </w:pPr>
            <w:r>
              <w:rPr/>
              <w:t>完全满足招标文件“第三章 招标项目技术、服务、商务及其他要求”服务要求的得 10 分；采购需求中带“▲”项为本次招标重要技术性能指标要求（共7项），每有一项不满足（负偏离）扣 1 分；其他技术性能指标为一般要求，每有一项不满足（负偏离）扣 0.5 分，扣完为止。 注：须按要求提供相关证明材料，否则将视为负偏离。</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服务内容及服务要求应答表</w:t>
            </w:r>
          </w:p>
        </w:tc>
      </w:tr>
      <w:tr>
        <w:tc>
          <w:tcPr>
            <w:tcW w:type="dxa" w:w="831"/>
            <w:vMerge/>
          </w:tcPr>
          <w:p/>
        </w:tc>
        <w:tc>
          <w:tcPr>
            <w:tcW w:type="dxa" w:w="1661"/>
          </w:tcPr>
          <w:p>
            <w:pPr>
              <w:pStyle w:val="null3"/>
            </w:pPr>
            <w:r>
              <w:rPr/>
              <w:t>维保服务方案</w:t>
            </w:r>
          </w:p>
        </w:tc>
        <w:tc>
          <w:tcPr>
            <w:tcW w:type="dxa" w:w="2492"/>
          </w:tcPr>
          <w:p>
            <w:pPr>
              <w:pStyle w:val="null3"/>
            </w:pPr>
            <w:r>
              <w:rPr/>
              <w:t>根据投标人提供的维保服务方案（包括设备安全检查、运行状态检查以及维修服务、保养方案、履约保障能力等）进行赋分： 1.提供的维保服务方案完整，工作流程、工作方法、计划和保障措施具体可行，维修服务及保养方案详实，针对性、可操作性强得8-12分； 2.提供的维保服务方案完整，工作流程、工作方法、计划和保障措施可行，维修服务及保养方案内容简单，有一定针对性和可操作性得4-8分； 3.提供的维保服务方案存在欠缺，工作流程、工作方法、计划和保障措施粗糙，维修服务及保养方案内容难以保障项目正常运作，未针对本项目具体展开，得1-4分； 4.未提供不得分。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质量控制管理方案</w:t>
            </w:r>
          </w:p>
        </w:tc>
        <w:tc>
          <w:tcPr>
            <w:tcW w:type="dxa" w:w="2492"/>
          </w:tcPr>
          <w:p>
            <w:pPr>
              <w:pStyle w:val="null3"/>
            </w:pPr>
            <w:r>
              <w:rPr/>
              <w:t>根据投标人提供的质量控制管理方案（包括安全检测、性能检测、风险、故障及预防措施等）进行赋分： 1.提供的方案完整，安全检测、性能检测方案合理完善，完全能将采购人的难点风险因素考虑在内且操作便捷高效，安全可行，故障预防措施切实可行，得7-10分； 2.提供的方案基本完整，安全检测、性能检测方案基本完善，操作方便，具有一定可行性，但未能全面分析采购人难点的，故障预防措施基本可行，得3-7分； 3.所提供的方案一般，安全检测、性能检测方案合理性一般，操作不方便，可行性一般，风险、故障及预防措施简单，得1-3分。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针对本项目及采购人实际需求提供详细具体可行的服务措施承诺、对服务期限内服务质量、人员到位情况的承诺、阐明可提供的咨询或后期服务内容。 1.内容详细全面、方案设计合理、架构完整、层次清楚、完善可行的，得4-6分； 2.针对以上方案要求，有1项欠缺的，得2-4分； 3.针对以上方案要求，有2项欠缺的，得1-2分；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备品备件供给及储存保障</w:t>
            </w:r>
          </w:p>
        </w:tc>
        <w:tc>
          <w:tcPr>
            <w:tcW w:type="dxa" w:w="2492"/>
          </w:tcPr>
          <w:p>
            <w:pPr>
              <w:pStyle w:val="null3"/>
            </w:pPr>
            <w:r>
              <w:rPr/>
              <w:t>针对本项目采购需求，提供备品备件存储场所条件、配套设施（提供场所购买或租赁协议、场地环 境等），确保所供产品存量、产量充足，满足采购人需求。评标委员会根据所提供资料进行赋分。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应急方案</w:t>
            </w:r>
          </w:p>
        </w:tc>
        <w:tc>
          <w:tcPr>
            <w:tcW w:type="dxa" w:w="2492"/>
          </w:tcPr>
          <w:p>
            <w:pPr>
              <w:pStyle w:val="null3"/>
            </w:pPr>
            <w:r>
              <w:rPr/>
              <w:t>根据投标人提供的应急方案（包括对维保服务中可能遇到的特殊情况的应急保障措施、突发事件的处理预案、应急人员工作分配服务等内容）进行赋分： 1.方案中均包含上述内容，且根据项目的特点，就维保服务中可能遇到的特殊情况做出的应急保障措施和突发事件的处理预案内容详实，完全满足且优于采购需求的，得7-10分； 2.方案中均包含上述内容，且根据项目的特点，就维保服务中可能遇到的特殊情况做出的应急保障措施和突发事件的处理预案简单，应急人员分工安排合理，基本满足采购需求的，得3-7分； 3.方案中未完全涵盖上述所有内容，方案内容凌乱不清晰，应急人员分工混乱不合理，不满足采购需求的，得1-3分；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人员培训及管理方案1</w:t>
            </w:r>
          </w:p>
        </w:tc>
        <w:tc>
          <w:tcPr>
            <w:tcW w:type="dxa" w:w="2492"/>
          </w:tcPr>
          <w:p>
            <w:pPr>
              <w:pStyle w:val="null3"/>
            </w:pPr>
            <w:r>
              <w:rPr/>
              <w:t>根据投标人提供的工作人员培训及管理方案（包括但不限于培训目标、培训计划、培训内容以及人员管理制度）进行赋分： 1.培训方案完整、详细，能有效提高工作人员的积极性和专业性，人员管理方案详实，能保障项目高效运作，得4-6分； 2.培训方案部分完整，基本能提高工作人员的积极性和专业性，人员管理方案简单，能保障项目正常运作，得得2-4分； 3.培训方案存在欠缺，未能提高工作人员的积极性和专业性，人员管理方案欠缺，难以保障项目正常运作，得1-2分；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人员培训及管理方案2</w:t>
            </w:r>
          </w:p>
        </w:tc>
        <w:tc>
          <w:tcPr>
            <w:tcW w:type="dxa" w:w="2492"/>
          </w:tcPr>
          <w:p>
            <w:pPr>
              <w:pStyle w:val="null3"/>
            </w:pPr>
            <w:r>
              <w:rPr/>
              <w:t>投标人承诺在培训期间以及服务期内提供完整的技术资料，包括操作使用手册、软件功能接口描述和维护维修手册的，得2分，（需提供承诺书并加盖投标人公章）， 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总服务方案</w:t>
            </w:r>
          </w:p>
        </w:tc>
      </w:tr>
      <w:tr>
        <w:tc>
          <w:tcPr>
            <w:tcW w:type="dxa" w:w="831"/>
            <w:vMerge/>
          </w:tcPr>
          <w:p/>
        </w:tc>
        <w:tc>
          <w:tcPr>
            <w:tcW w:type="dxa" w:w="1661"/>
          </w:tcPr>
          <w:p>
            <w:pPr>
              <w:pStyle w:val="null3"/>
            </w:pPr>
            <w:r>
              <w:rPr/>
              <w:t>投入人员配备1</w:t>
            </w:r>
          </w:p>
        </w:tc>
        <w:tc>
          <w:tcPr>
            <w:tcW w:type="dxa" w:w="2492"/>
          </w:tcPr>
          <w:p>
            <w:pPr>
              <w:pStyle w:val="null3"/>
            </w:pPr>
            <w:r>
              <w:rPr/>
              <w:t>针对投标人拟投入工作人员配置结构完整、数量、资质、专业技术能力、从业工作经验等，进行综合赋分。 1.内容完整、全面、详细，管理组织架构合理，人员配备完善，证明材料齐全，满足采购人需求的，得3-5分； 2.内容有欠缺，证明材料有缺失的，得1-3分； 3.未提供不得分。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投入人员配备2</w:t>
            </w:r>
          </w:p>
        </w:tc>
        <w:tc>
          <w:tcPr>
            <w:tcW w:type="dxa" w:w="2492"/>
          </w:tcPr>
          <w:p>
            <w:pPr>
              <w:pStyle w:val="null3"/>
            </w:pPr>
            <w:r>
              <w:rPr/>
              <w:t>拟投入维修工程师具备同品牌维修资质的原厂工程师或持有厂家培训证明的工程师，每提供1名工程师得1分，本项累计最高得4分。 注：须提供原厂服务资质证明或提供经设备厂家培训机构针对与本项目同系列产品的培训合格证书复印件。</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总服务方案</w:t>
            </w:r>
          </w:p>
        </w:tc>
      </w:tr>
      <w:tr>
        <w:tc>
          <w:tcPr>
            <w:tcW w:type="dxa" w:w="831"/>
            <w:vMerge/>
          </w:tcPr>
          <w:p/>
        </w:tc>
        <w:tc>
          <w:tcPr>
            <w:tcW w:type="dxa" w:w="1661"/>
          </w:tcPr>
          <w:p>
            <w:pPr>
              <w:pStyle w:val="null3"/>
            </w:pPr>
            <w:r>
              <w:rPr/>
              <w:t>机械工具配备</w:t>
            </w:r>
          </w:p>
        </w:tc>
        <w:tc>
          <w:tcPr>
            <w:tcW w:type="dxa" w:w="2492"/>
          </w:tcPr>
          <w:p>
            <w:pPr>
              <w:pStyle w:val="null3"/>
            </w:pPr>
            <w:r>
              <w:rPr/>
              <w:t>针对项目情况，配备所需的机械工具，并提供相关证明材料（如购置发票或图片或相关检测报告等）。 1.工具齐全，功能完全满足项目需要，得 2-4分； 2.工具齐全，功能基本满足项目需要，得1-2 分； 3.未提供不得分。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售后服务</w:t>
            </w:r>
          </w:p>
        </w:tc>
        <w:tc>
          <w:tcPr>
            <w:tcW w:type="dxa" w:w="2492"/>
          </w:tcPr>
          <w:p>
            <w:pPr>
              <w:pStyle w:val="null3"/>
            </w:pPr>
            <w:r>
              <w:rPr/>
              <w:t>针对本项目提供科学、有效的售后服务承诺和措施，投标人售后服务机构运行正常，能够派技术人员到场提供技术支持和售后服务（提供证明材料，如项目所在地的售后服务机构或项目所在地分公司或办事处应用技术人员联系方式、厂家维修授权证书等证明材料）由评标委员会综合评审。 1.方案内容完整、全面、详细，满足采购实际需求，计2-5分； 2.方案内容较完整、全面、详细，较满足采购实际需求，计0-2分。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合理化建议</w:t>
            </w:r>
          </w:p>
        </w:tc>
        <w:tc>
          <w:tcPr>
            <w:tcW w:type="dxa" w:w="2492"/>
          </w:tcPr>
          <w:p>
            <w:pPr>
              <w:pStyle w:val="null3"/>
            </w:pPr>
            <w:r>
              <w:rPr/>
              <w:t>针对本项目采购需求及项目实际情况，能够提出有价值的合理化建议，且具体切实可行，有利于提升本项目整体质量。 1.建议合理、切实可行，内容详尽、全面，得3-5分；2.建议基本合理、可行，内容基本详尽、全面，得1-3分； 3.未提供不得分。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企业实力1</w:t>
            </w:r>
          </w:p>
        </w:tc>
        <w:tc>
          <w:tcPr>
            <w:tcW w:type="dxa" w:w="2492"/>
          </w:tcPr>
          <w:p>
            <w:pPr>
              <w:pStyle w:val="null3"/>
            </w:pPr>
            <w:r>
              <w:rPr/>
              <w:t>针对此项目，提供厂家授权，得2分，未提供不得分。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总服务方案</w:t>
            </w:r>
          </w:p>
        </w:tc>
      </w:tr>
      <w:tr>
        <w:tc>
          <w:tcPr>
            <w:tcW w:type="dxa" w:w="831"/>
            <w:vMerge/>
          </w:tcPr>
          <w:p/>
        </w:tc>
        <w:tc>
          <w:tcPr>
            <w:tcW w:type="dxa" w:w="1661"/>
          </w:tcPr>
          <w:p>
            <w:pPr>
              <w:pStyle w:val="null3"/>
            </w:pPr>
            <w:r>
              <w:rPr/>
              <w:t>企业实力2</w:t>
            </w:r>
          </w:p>
        </w:tc>
        <w:tc>
          <w:tcPr>
            <w:tcW w:type="dxa" w:w="2492"/>
          </w:tcPr>
          <w:p>
            <w:pPr>
              <w:pStyle w:val="null3"/>
            </w:pPr>
            <w:r>
              <w:rPr/>
              <w:t>供应商提供自2021年11月至今承担过类似服务项目业绩，并提供相关业绩证明材料（以合同为准），每提供1份得3分，此项最高6分。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 格分为满分。其他投标人的价格分统一按照下列公式计算：投标报 价得分=（评标基准价/投标报价） ×10。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详见附件：标的清单</w:t>
      </w:r>
    </w:p>
    <w:p>
      <w:pPr>
        <w:pStyle w:val="null3"/>
        <w:ind w:firstLine="960"/>
      </w:pPr>
      <w:r>
        <w:rPr/>
        <w:t>详见附件：开标一览表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详见附件：服务内容及服务要求应答表</w:t>
      </w:r>
    </w:p>
    <w:p>
      <w:pPr>
        <w:pStyle w:val="null3"/>
        <w:ind w:firstLine="960"/>
      </w:pPr>
      <w:r>
        <w:rPr/>
        <w:t>详见附件：商务应答表</w:t>
      </w:r>
    </w:p>
    <w:p>
      <w:pPr>
        <w:pStyle w:val="null3"/>
        <w:ind w:firstLine="960"/>
      </w:pPr>
      <w:r>
        <w:rPr/>
        <w:t>详见附件：总服务方案</w:t>
      </w:r>
    </w:p>
    <w:p>
      <w:pPr>
        <w:pStyle w:val="null3"/>
        <w:ind w:firstLine="960"/>
      </w:pPr>
      <w:r>
        <w:rPr/>
        <w:t>详见附件：业绩一览表</w:t>
      </w:r>
    </w:p>
    <w:p>
      <w:pPr>
        <w:pStyle w:val="null3"/>
        <w:ind w:firstLine="960"/>
      </w:pPr>
      <w:r>
        <w:rPr/>
        <w:t>详见附件：一般资格要求及特殊资格要求</w:t>
      </w:r>
    </w:p>
    <w:p>
      <w:pPr>
        <w:pStyle w:val="null3"/>
        <w:ind w:firstLine="960"/>
      </w:pPr>
      <w:r>
        <w:rPr/>
        <w:t>详见附件：其他材料及供应商认为有必要说明、阐述的事项</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