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汉中市2025-2026年职工长期护理保险承办服务项目</w:t>
      </w:r>
    </w:p>
    <w:p>
      <w:pPr>
        <w:pStyle w:val="null3"/>
        <w:jc w:val="center"/>
        <w:outlineLvl w:val="2"/>
      </w:pPr>
      <w:r>
        <w:rPr>
          <w:sz w:val="28"/>
          <w:b/>
        </w:rPr>
        <w:t>采购项目编号：</w:t>
      </w:r>
      <w:r>
        <w:rPr>
          <w:sz w:val="28"/>
          <w:b/>
        </w:rPr>
        <w:t>SCZB2024-ZB-2630-2</w:t>
      </w:r>
      <w:r>
        <w:br/>
      </w:r>
      <w:r>
        <w:br/>
      </w:r>
      <w:r>
        <w:br/>
      </w:r>
    </w:p>
    <w:p>
      <w:pPr>
        <w:pStyle w:val="null3"/>
        <w:jc w:val="center"/>
        <w:outlineLvl w:val="2"/>
      </w:pPr>
      <w:r>
        <w:rPr>
          <w:sz w:val="28"/>
          <w:b/>
        </w:rPr>
        <w:t>汉中市医疗保障局</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2024年12月02日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汉中市医疗保障局</w:t>
      </w:r>
      <w:r>
        <w:rPr/>
        <w:t>委托，拟对</w:t>
      </w:r>
      <w:r>
        <w:rPr/>
        <w:t>汉中市2025-2026年职工长期护理保险承办服务项目</w:t>
      </w:r>
      <w:r>
        <w:rPr/>
        <w:t>进行国内公开招标，兹邀请符合本次招标要求的供应商参加投标。</w:t>
      </w:r>
    </w:p>
    <w:p>
      <w:pPr>
        <w:pStyle w:val="null3"/>
        <w:outlineLvl w:val="2"/>
      </w:pPr>
      <w:r>
        <w:rPr>
          <w:sz w:val="28"/>
          <w:b/>
        </w:rPr>
        <w:t>一、采购项目编号：</w:t>
      </w:r>
      <w:r>
        <w:rPr>
          <w:sz w:val="28"/>
          <w:b/>
        </w:rPr>
        <w:t>SCZB2024-ZB-2630-2</w:t>
      </w:r>
    </w:p>
    <w:p>
      <w:pPr>
        <w:pStyle w:val="null3"/>
        <w:outlineLvl w:val="2"/>
      </w:pPr>
      <w:r>
        <w:rPr>
          <w:sz w:val="28"/>
          <w:b/>
        </w:rPr>
        <w:t>二、采购项目名称：</w:t>
      </w:r>
      <w:r>
        <w:rPr>
          <w:sz w:val="28"/>
          <w:b/>
        </w:rPr>
        <w:t>汉中市2025-2026年职工长期护理保险承办服务项目</w:t>
      </w:r>
    </w:p>
    <w:p>
      <w:pPr>
        <w:pStyle w:val="null3"/>
        <w:outlineLvl w:val="2"/>
      </w:pPr>
      <w:r>
        <w:rPr>
          <w:sz w:val="28"/>
          <w:b/>
        </w:rPr>
        <w:t>三、招标项目简介</w:t>
      </w:r>
    </w:p>
    <w:p>
      <w:pPr>
        <w:pStyle w:val="null3"/>
        <w:ind w:firstLine="480"/>
      </w:pPr>
      <w:r>
        <w:rPr/>
        <w:t>提供汉中市职工长期护理保承办服务，包括但不限于受理政策咨询及举报投诉、受理待遇申请、审核申请资料、组织失能等级评估、配合医保部门开展长期护理保险基金监管工作、费用结算、组织开展定点服务机构协议履行情况考核工作、建立完善信息系统、长期护理保险运行分析。采购包1为年度筹资额的60%，采购包2为年度筹资额的40%。</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1、特定资格要求1：投标人在递交投标文件截止时间前被“信用中国”网站（www.credi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t>2、特定资格要求2：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t>3、特定资格要求3：投标人须为保险公司总公司或总公司授权的唯一地市级及以上分支机构。分支机构参与投标时需提供总公司授权书</w:t>
      </w:r>
    </w:p>
    <w:p>
      <w:pPr>
        <w:pStyle w:val="null3"/>
      </w:pPr>
      <w:r>
        <w:rPr/>
        <w:t>4、特定资格要求4：投标人单位负责人为同一人或者 存在直接控股、管理关系的不同投标人，不得同时参加本次采购活动。</w:t>
      </w:r>
    </w:p>
    <w:p>
      <w:pPr>
        <w:pStyle w:val="null3"/>
      </w:pPr>
      <w:r>
        <w:rPr/>
        <w:t>5、特定资格要求5：为本项目提供整体设计、规范编制或者项目管理、监理、检测等服务的供应商，不得再参加该采购项目的其他采购活动。</w:t>
      </w:r>
    </w:p>
    <w:p>
      <w:pPr>
        <w:pStyle w:val="null3"/>
      </w:pPr>
      <w:r>
        <w:rPr/>
        <w:t>采购包2：</w:t>
      </w:r>
    </w:p>
    <w:p>
      <w:pPr>
        <w:pStyle w:val="null3"/>
      </w:pPr>
      <w:r>
        <w:rPr/>
        <w:t>1、特定资格要求1：投标人在递交投标文件截止时间前被“信用中国”网站（www.credi tchina.gov.cn）和中国政府采购网（www.ccgp.gov.cn）上被列入失信被执行人、重大税收违法失信主体、政府采购严重违法失信行为记录名单的，不得参加投标。</w:t>
      </w:r>
    </w:p>
    <w:p>
      <w:pPr>
        <w:pStyle w:val="null3"/>
      </w:pPr>
      <w:r>
        <w:rPr/>
        <w:t>2、特定资格要求2：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t>3、特定资格要求3：投标人须为保险公司总公司或总公司授权的唯一地市级及以上分支机构。分支机构参与投标时需提供总公司授权书</w:t>
      </w:r>
    </w:p>
    <w:p>
      <w:pPr>
        <w:pStyle w:val="null3"/>
      </w:pPr>
      <w:r>
        <w:rPr/>
        <w:t>4、特定资格要求4：投标人单位负责人为同一人或者 存在直接控股、管理关系的不同投标人，不得同时参加本次采购活动。</w:t>
      </w:r>
    </w:p>
    <w:p>
      <w:pPr>
        <w:pStyle w:val="null3"/>
      </w:pPr>
      <w:r>
        <w:rPr/>
        <w:t>5、特定资格要求5：为本项目提供整体设计、规范编制或者项目管理、监理、检测等服务的供应商，不得再参加该采购项目的其他采购活动。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汉中市医疗保障局</w:t>
      </w:r>
    </w:p>
    <w:p>
      <w:pPr>
        <w:pStyle w:val="null3"/>
      </w:pPr>
      <w:r>
        <w:rPr/>
        <w:t xml:space="preserve"> 地址： </w:t>
      </w:r>
      <w:r>
        <w:rPr/>
        <w:t>陕西省汉中市汉台区民主街46号</w:t>
      </w:r>
    </w:p>
    <w:p>
      <w:pPr>
        <w:pStyle w:val="null3"/>
      </w:pPr>
      <w:r>
        <w:rPr/>
        <w:t xml:space="preserve"> 邮编： </w:t>
      </w:r>
      <w:r>
        <w:rPr/>
        <w:t>723000</w:t>
      </w:r>
    </w:p>
    <w:p>
      <w:pPr>
        <w:pStyle w:val="null3"/>
      </w:pPr>
      <w:r>
        <w:rPr/>
        <w:t xml:space="preserve"> 联系人： </w:t>
      </w:r>
      <w:r>
        <w:rPr/>
        <w:t>王老师</w:t>
      </w:r>
    </w:p>
    <w:p>
      <w:pPr>
        <w:pStyle w:val="null3"/>
      </w:pPr>
      <w:r>
        <w:rPr/>
        <w:t xml:space="preserve"> 联系电话： </w:t>
      </w:r>
      <w:r>
        <w:rPr/>
        <w:t>0916-2626288</w:t>
      </w:r>
    </w:p>
    <w:p>
      <w:pPr>
        <w:pStyle w:val="null3"/>
        <w:outlineLvl w:val="2"/>
      </w:pPr>
      <w:r>
        <w:rPr>
          <w:sz w:val="28"/>
          <w:b/>
        </w:rPr>
        <w:t>代理机构：</w:t>
      </w:r>
      <w:r>
        <w:rPr>
          <w:sz w:val="28"/>
          <w:b/>
        </w:rPr>
        <w:t>陕西省采购招标有限责任公司</w:t>
      </w:r>
    </w:p>
    <w:p>
      <w:pPr>
        <w:pStyle w:val="null3"/>
      </w:pPr>
      <w:r>
        <w:rPr/>
        <w:t xml:space="preserve"> 地址： </w:t>
      </w:r>
      <w:r>
        <w:rPr/>
        <w:t>西安市高新二路2号山西证券大厦8层</w:t>
      </w:r>
    </w:p>
    <w:p>
      <w:pPr>
        <w:pStyle w:val="null3"/>
      </w:pPr>
      <w:r>
        <w:rPr/>
        <w:t xml:space="preserve"> 邮编： </w:t>
      </w:r>
      <w:r>
        <w:rPr/>
        <w:t>710075</w:t>
      </w:r>
    </w:p>
    <w:p>
      <w:pPr>
        <w:pStyle w:val="null3"/>
      </w:pPr>
      <w:r>
        <w:rPr/>
        <w:t xml:space="preserve"> 联系人： </w:t>
      </w:r>
      <w:r>
        <w:rPr/>
        <w:t>熊磊、刘艳</w:t>
      </w:r>
    </w:p>
    <w:p>
      <w:pPr>
        <w:pStyle w:val="null3"/>
      </w:pPr>
      <w:r>
        <w:rPr/>
        <w:t xml:space="preserve"> 联系电话： </w:t>
      </w:r>
      <w:r>
        <w:rPr/>
        <w:t>029-88481271</w:t>
      </w:r>
    </w:p>
    <w:p>
      <w:pPr>
        <w:pStyle w:val="null3"/>
        <w:outlineLvl w:val="2"/>
      </w:pPr>
      <w:r>
        <w:rPr>
          <w:sz w:val="28"/>
          <w:b/>
        </w:rPr>
        <w:t>采购监督机构：</w:t>
      </w:r>
      <w:r>
        <w:rPr>
          <w:sz w:val="28"/>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采购包1：1,350,000.00元</w:t>
            </w:r>
          </w:p>
          <w:p>
            <w:pPr>
              <w:pStyle w:val="null3"/>
            </w:pPr>
            <w:r>
              <w:rPr/>
              <w:t>采购包2：900,000.00元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采购包2保证金金额：15,000.00元</w:t>
            </w:r>
          </w:p>
          <w:p>
            <w:pPr>
              <w:pStyle w:val="null3"/>
            </w:pPr>
            <w:r>
              <w:rPr/>
              <w:t>缴交渠道：转账、支票、汇票等（需通过实体账户、户名及开户行信息）</w:t>
            </w:r>
          </w:p>
          <w:p>
            <w:pPr>
              <w:pStyle w:val="null3"/>
            </w:pPr>
            <w:r>
              <w:rPr/>
              <w:t>开户名称：陕西省采购招标有限责任公司</w:t>
            </w:r>
          </w:p>
          <w:p>
            <w:pPr>
              <w:pStyle w:val="null3"/>
            </w:pPr>
            <w:r>
              <w:rPr/>
              <w:t>开户银行：中国银行西安南郊支行营业部</w:t>
            </w:r>
          </w:p>
          <w:p>
            <w:pPr>
              <w:pStyle w:val="null3"/>
            </w:pPr>
            <w:r>
              <w:rPr/>
              <w:t>银行账号：102061557922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代理服务费收费标准：参照国家计委计价格[2002]1980号文件规定收费标准的67%（按采购包）收取。中标单位的招标代理服务费缴纳信息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汉中市医疗保障局</w:t>
      </w:r>
      <w:r>
        <w:rPr/>
        <w:t>和</w:t>
      </w:r>
      <w:r>
        <w:rPr/>
        <w:t>陕西省采购招标有限责任公司</w:t>
      </w:r>
      <w:r>
        <w:rPr/>
        <w:t>享有。对招标文件中供应商参加本次政府采购活动应当具备的条件，招标项目技术、服务、商务及其他要求，评标细则及标准由</w:t>
      </w:r>
      <w:r>
        <w:rPr/>
        <w:t>汉中市医疗保障局</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汉中市医疗保障局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详见采购合同</w:t>
      </w:r>
    </w:p>
    <w:p>
      <w:pPr>
        <w:pStyle w:val="null3"/>
      </w:pPr>
      <w:r>
        <w:rPr/>
        <w:t>采购包2：</w:t>
      </w:r>
    </w:p>
    <w:p>
      <w:pPr>
        <w:pStyle w:val="null3"/>
      </w:pPr>
      <w:r>
        <w:rPr/>
        <w:t>详见采购合同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答复主体：采购单位</w:t>
      </w:r>
    </w:p>
    <w:p>
      <w:pPr>
        <w:pStyle w:val="null3"/>
      </w:pPr>
      <w:r>
        <w:rPr/>
        <w:t>联系人：陕西省采购招标有限责任公司综合办公室</w:t>
      </w:r>
    </w:p>
    <w:p>
      <w:pPr>
        <w:pStyle w:val="null3"/>
      </w:pPr>
      <w:r>
        <w:rPr/>
        <w:t>联系电话：02988481271</w:t>
      </w:r>
    </w:p>
    <w:p>
      <w:pPr>
        <w:pStyle w:val="null3"/>
      </w:pPr>
      <w:r>
        <w:rPr/>
        <w:t>地址：西安市高新二路2号山西证券大厦8层</w:t>
      </w:r>
    </w:p>
    <w:p>
      <w:pPr>
        <w:pStyle w:val="null3"/>
      </w:pPr>
      <w:r>
        <w:rPr/>
        <w:t>邮编：710075</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提供汉中市职工长期护理保承办服务，包括但不限于受理政策咨询及举报投诉、受理待遇申请、审核申请资料、组织失能等级评估、配合医保部门开展长期护理保险基金监管工作、费用结算、组织开展定点服务机构协议履行情况考核工作、建立完善信息系统、长期护理保险运行分析。采购包1为年度筹资额的60%，采购包2为年度筹资额的40%。</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1,350,000.00</w:t>
      </w:r>
    </w:p>
    <w:p>
      <w:pPr>
        <w:pStyle w:val="null3"/>
      </w:pPr>
      <w:r>
        <w:rPr/>
        <w:t>采购包最高限价（元）: 1,350,000.00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1,350,000.00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rPr>
              <w:t>采购包1：2025-2026年职工长期护理保险承办服务项目（包1）</w:t>
            </w:r>
          </w:p>
          <w:p>
            <w:pPr>
              <w:pStyle w:val="null3"/>
            </w:pPr>
            <w:r>
              <w:rPr>
                <w:b/>
              </w:rPr>
              <w:t>一、项目概述</w:t>
            </w:r>
          </w:p>
          <w:p>
            <w:pPr>
              <w:pStyle w:val="null3"/>
            </w:pPr>
            <w:r>
              <w:rPr/>
              <w:t>长期护理保险是指因为年老、疾病、伤残等导致长期重度失能的参保人，享有基本生活照料和与之密切相关的医疗护理提供服务保障。为有序推进并实施汉中市长期护理保险制度，进一步健全更加公平可持续的社会保障体系，根据《国家医保局 财政部关于扩大长期护理保险制度试点的指导意见》（医保发〔2020〕37号）、《国家医保局办公室 民政部办公厅关于印发长期护理保险失能等级评估标准（试行）》（医保办发〔2021〕37号）、《关于汉中市长期护理保险试点工作方案的通知》（汉政办发〔2020〕21号）、《汉中市长期护理保险实施办法》（汉市医保发〔2022〕94号）《汉中市长期护理保险基金管理办法》（汉财办社〔2020〕243号）等文件精神，为确保2025-2026年长期护理保险工作顺利开展，我局拟采用公开招标方式选定2家商保公司为第三方承办机构。负责长期护理保险的经办工作，包括但不限于受理政策咨询及举报投诉、受理待遇申请、审核申请资料、组织失能等级评估、配合医保部门开展长期护理保险基金监管工作、费用结算、组织开展定点服务机构协议履行情况考核工作、建立完善信息系统、长期护理保险运行分析。</w:t>
            </w:r>
          </w:p>
          <w:p>
            <w:pPr>
              <w:pStyle w:val="null3"/>
            </w:pPr>
            <w:r>
              <w:rPr>
                <w:b/>
              </w:rPr>
              <w:t>二、项目预算</w:t>
            </w:r>
          </w:p>
          <w:p>
            <w:pPr>
              <w:pStyle w:val="null3"/>
            </w:pPr>
            <w:r>
              <w:rPr/>
              <w:t>总预算：225万元。其中包1：135万元，为为年度实际筹资额的60%。</w:t>
            </w:r>
          </w:p>
          <w:p>
            <w:pPr>
              <w:pStyle w:val="null3"/>
            </w:pPr>
            <w:r>
              <w:rPr>
                <w:b/>
              </w:rPr>
              <w:t>三、承办服务对象</w:t>
            </w:r>
          </w:p>
          <w:p>
            <w:pPr>
              <w:pStyle w:val="null3"/>
            </w:pPr>
            <w:r>
              <w:rPr/>
              <w:t>汉中市职工长期护理保险参保人员中经失能等级评估结果为重度失能的参保人员。</w:t>
            </w:r>
          </w:p>
          <w:p>
            <w:pPr>
              <w:pStyle w:val="null3"/>
            </w:pPr>
            <w:r>
              <w:rPr>
                <w:b/>
              </w:rPr>
              <w:t>四、承办服务人数</w:t>
            </w:r>
          </w:p>
          <w:p>
            <w:pPr>
              <w:pStyle w:val="null3"/>
            </w:pPr>
            <w:r>
              <w:rPr/>
              <w:t>约37.5 万人/年（具体以当年实际征缴人数为准）。</w:t>
            </w:r>
          </w:p>
          <w:p>
            <w:pPr>
              <w:pStyle w:val="null3"/>
            </w:pPr>
            <w:r>
              <w:rPr>
                <w:b/>
              </w:rPr>
              <w:t>五、承办服务期限</w:t>
            </w:r>
          </w:p>
          <w:p>
            <w:pPr>
              <w:pStyle w:val="null3"/>
            </w:pPr>
            <w:r>
              <w:rPr/>
              <w:t>承办服务期两年，自2025年1月1日起至2026年12月31日止。承办服务合同一次签两年，工作协议1年一签。</w:t>
            </w:r>
          </w:p>
          <w:p>
            <w:pPr>
              <w:pStyle w:val="null3"/>
            </w:pPr>
            <w:r>
              <w:rPr/>
              <w:t>政府采购合同签订后，供应商须于2024年12月31日前完成长期护理保险承办所必需的准备工作（包含联合成立长护险服务中心），能够于2025年1月1日正式启动承办服务工作。其中包1中标供应商必须于2024年12月31日前完成汉中市长护系统本地化改造和数据迁移，确保系统于2025年1月1日起正式使用。</w:t>
            </w:r>
          </w:p>
          <w:p>
            <w:pPr>
              <w:pStyle w:val="null3"/>
            </w:pPr>
            <w:r>
              <w:rPr>
                <w:b/>
              </w:rPr>
              <w:t>六、服务地点</w:t>
            </w:r>
          </w:p>
          <w:p>
            <w:pPr>
              <w:pStyle w:val="null3"/>
            </w:pPr>
            <w:r>
              <w:rPr/>
              <w:t>根据项目需求。</w:t>
            </w:r>
          </w:p>
          <w:p>
            <w:pPr>
              <w:pStyle w:val="null3"/>
            </w:pPr>
            <w:r>
              <w:rPr>
                <w:b/>
              </w:rPr>
              <w:t>七、承办服务费</w:t>
            </w:r>
          </w:p>
          <w:p>
            <w:pPr>
              <w:pStyle w:val="null3"/>
            </w:pPr>
            <w:r>
              <w:rPr/>
              <w:t>（一）报价要求：本项目采用费率报价，报价上限为年度实际筹资金额的3%，投标报价有效范围为3%（含）以下，报价超出3%的均视为无效投标。</w:t>
            </w:r>
          </w:p>
          <w:p>
            <w:pPr>
              <w:pStyle w:val="null3"/>
            </w:pPr>
            <w:r>
              <w:rPr>
                <w:b/>
              </w:rPr>
              <w:t>特别说明：依据《中华人民共和国政府采购法》第二条规定：本法所称采购，是指以合同方式有偿取得货物、工程和服务的行为，包括购买、租赁、委托、雇用等。并且本项目要求服务人员为专职人员，非兼职人员，故投标人报价不得为0%，报价为0%视为无效投标。若报价极低的或明显低于承办服务成本的，投标人须提供相关证明材料，用以证明其报价的合理性，如不能提供证明材料或证明材料依据不充分的，视为无效投标。</w:t>
            </w:r>
          </w:p>
          <w:p>
            <w:pPr>
              <w:pStyle w:val="null3"/>
            </w:pPr>
            <w:r>
              <w:rPr/>
              <w:t>（二）承办服务费年度最高限额为67.5万元，两年共计135万元，实际以当年长护险年度实际筹资金额总额*60%*中标报价为准。如当年长护险年度实际筹资金额总额*60%*中标报价的金额高于67.5万元，承办服务费按67.5万元支付（确定）。承办服务费不提前支付，年终经医保、财政部门决算后按决算结果执行。</w:t>
            </w:r>
          </w:p>
          <w:p>
            <w:pPr>
              <w:pStyle w:val="null3"/>
            </w:pPr>
            <w:r>
              <w:rPr/>
              <w:t>（三）承办服务费为采购人向供应商支付的全部款项（包括但不限于人力成本、车辆、信息系统、运营成本以及承办长期护理保险各项运行成本和收益）。</w:t>
            </w:r>
          </w:p>
          <w:p>
            <w:pPr>
              <w:pStyle w:val="null3"/>
            </w:pPr>
            <w:r>
              <w:rPr>
                <w:b/>
              </w:rPr>
              <w:t>八、承办资金要求</w:t>
            </w:r>
          </w:p>
          <w:p>
            <w:pPr>
              <w:pStyle w:val="null3"/>
            </w:pPr>
            <w:r>
              <w:rPr/>
              <w:t>（一）总体要求</w:t>
            </w:r>
          </w:p>
          <w:p>
            <w:pPr>
              <w:pStyle w:val="null3"/>
            </w:pPr>
            <w:r>
              <w:rPr/>
              <w:t>基金拨付采用预拨制，市医保经办中心根据上一年度基金支出情况结合当年实际向市财政提交用款计划，年内按上年基金实际支出的90%预拨，其余部分年终决算后按决算结果执行。</w:t>
            </w:r>
          </w:p>
          <w:p>
            <w:pPr>
              <w:pStyle w:val="null3"/>
            </w:pPr>
            <w:r>
              <w:rPr/>
              <w:t>市医保经办机构按照财政拨付金额按6:4的比例分别拨付承办公司长护专户，承办公司具体对长护待遇和评估费用进行支付，市医保经办中心稽核管理。年度终了后，市医保经办机构按照市财政、医保、税务部门规定要求，编制年度基金决算草案，报告基金年度运行及管理情况。年度基金决算草案经市医疗保障、税务部门审校，由市财政部门审定，经市人大常委会审批，并报上级相关部门备案。最后根据采购合同、年度考核情况支付承办服务费用，承办服务费用财政不再单独拨款，承办方根据财政批复的年度决算和清算报告从承办各方长护险支出户中直接划转。</w:t>
            </w:r>
          </w:p>
          <w:p>
            <w:pPr>
              <w:pStyle w:val="null3"/>
            </w:pPr>
            <w:r>
              <w:rPr/>
              <w:t>（二）专户管理</w:t>
            </w:r>
          </w:p>
          <w:p>
            <w:pPr>
              <w:pStyle w:val="null3"/>
            </w:pPr>
            <w:r>
              <w:rPr/>
              <w:t>供应商应按要求设立长期护理保险资金支出专户，实行单独核算，专账管理，确保资金安全，保证偿付能力，接受财政、审计、监察部门和医疗保险管理部门的监督检查。</w:t>
            </w:r>
          </w:p>
          <w:p>
            <w:pPr>
              <w:pStyle w:val="null3"/>
            </w:pPr>
            <w:r>
              <w:rPr/>
              <w:t>（三）资金垫付</w:t>
            </w:r>
          </w:p>
          <w:p>
            <w:pPr>
              <w:pStyle w:val="null3"/>
            </w:pPr>
            <w:r>
              <w:rPr/>
              <w:t>供应商应建立资金垫付机制并做出具体承诺（承诺书最低须由投标人的省级公司出具并加盖公章），在长期护理保险资金未拨付到位期间，供应商应先行垫付费用（所垫付费用按包1包2比例承担），确保及时拨付到参保人及护理机构，不得影响定点护理机构和参保人的权益。若因资金垫付不及时，造成群体性上访事件或不良社会影响的，采购人有权解除中标合同，并追究相关责任。</w:t>
            </w:r>
          </w:p>
          <w:p>
            <w:pPr>
              <w:pStyle w:val="null3"/>
            </w:pPr>
            <w:r>
              <w:rPr/>
              <w:t>（四）资金清算</w:t>
            </w:r>
          </w:p>
          <w:p>
            <w:pPr>
              <w:pStyle w:val="null3"/>
            </w:pPr>
            <w:r>
              <w:rPr/>
              <w:t>长期护理保险资金专户年度决算后有结余（含利息）的，中标方应将结余资金（含利息）及时返还长期护理保险基金财政专户。如发生基金当年入不敷出的，首先从中标方经办服务费抵扣；仍有差额时，由基金与中标方按3:7比例分担。因中标方监管不力、审核不严等因素造成长期护理保险基金损失的，由中标方全部承担。</w:t>
            </w:r>
          </w:p>
          <w:p>
            <w:pPr>
              <w:pStyle w:val="null3"/>
            </w:pPr>
            <w:r>
              <w:rPr>
                <w:b/>
              </w:rPr>
              <w:t>九、承办能力要求</w:t>
            </w:r>
          </w:p>
          <w:p>
            <w:pPr>
              <w:pStyle w:val="null3"/>
            </w:pPr>
            <w:r>
              <w:rPr/>
              <w:t>（一）总体要求</w:t>
            </w:r>
          </w:p>
          <w:p>
            <w:pPr>
              <w:pStyle w:val="null3"/>
              <w:outlineLvl w:val="3"/>
            </w:pPr>
            <w:r>
              <w:rPr>
                <w:sz w:val="24"/>
                <w:b/>
              </w:rPr>
              <w:t>包括综合偿付能力、风险综合评级能力、资金垫付能力（包含垫资额和垫资时长）、社会影响力、项目经验（包含全国经验和汉中经验）；服务部分包括服务能力水平和项目实施方案，其中服务能力水平具体包含：专业管理部门、专项服务团队、专业人员（必须包含项目负责人）、本地化服务、办公场所及硬件设备、团队管理、信息系统。项目实施方案具体包含：服务网点设置方案、经办服务流程方案、政策咨询、举报投诉、应急方案、失能等级评估方案、配合开展基金监管方案、费用结算方案、定点服务机构考核方案、长期护理保险运行分析方案、牵头组织协调经办服务工作方案、配合经办服务工作方案、履约考核、增值服务方案、培训及宣传方案、档案管理方案、保密措施、财务管理制度。</w:t>
            </w:r>
          </w:p>
          <w:p>
            <w:pPr>
              <w:pStyle w:val="null3"/>
            </w:pPr>
            <w:r>
              <w:rPr/>
              <w:t>（二）具体要求</w:t>
            </w:r>
          </w:p>
          <w:p>
            <w:pPr>
              <w:pStyle w:val="null3"/>
              <w:outlineLvl w:val="3"/>
            </w:pPr>
            <w:r>
              <w:rPr>
                <w:sz w:val="24"/>
                <w:b/>
              </w:rPr>
              <w:t>1.在医保经办机构指导下，由中标方包1牵头在汉中市区建立长期护理保险经办服务中心，中标方包2配合包1中标方组建服务中心，按比例招聘人员，并合署办公。服务中心负责具体承办全市长期护理保险经办服务工作。</w:t>
            </w:r>
          </w:p>
          <w:p>
            <w:pPr>
              <w:pStyle w:val="null3"/>
              <w:outlineLvl w:val="3"/>
            </w:pPr>
            <w:r>
              <w:rPr>
                <w:sz w:val="24"/>
                <w:b/>
              </w:rPr>
              <w:t>2.供应商应按市级统筹的管理模式，组建长护保险专职服务队伍，统一办理长护保险业务。专职服务队伍中，应配备一定比例的医疗（含药学、医技）、护理、康复、财务等专业背景的人员，能为长期护理保险承办提供便捷高效和专业的服务。总人数不少于35人，包1 不少于21人（医护康专业不少于6人，财务1人、有长护险工作经验的5人，省市长护险专家需提供资格证明），包2不少于14人（医护康专业不少于4人，财务1人、有长护险工作经验的3人，省市长护险专家需提供资格证明）。</w:t>
            </w:r>
          </w:p>
          <w:p>
            <w:pPr>
              <w:pStyle w:val="null3"/>
              <w:outlineLvl w:val="3"/>
            </w:pPr>
            <w:r>
              <w:rPr>
                <w:sz w:val="24"/>
                <w:b/>
              </w:rPr>
              <w:t>3.在市域内各县区医保经办中心设立服务窗口，派驻专职工作人员，负责该县区长护保险相关申请、受理、审核等业务，解释和宣传长护保险政策。</w:t>
            </w:r>
          </w:p>
          <w:p>
            <w:pPr>
              <w:pStyle w:val="null3"/>
              <w:outlineLvl w:val="3"/>
            </w:pPr>
            <w:r>
              <w:rPr>
                <w:sz w:val="24"/>
                <w:b/>
              </w:rPr>
              <w:t>4.服务窗口人力资源、软硬件设施设备、办公场地租赁、经办服务工作用车等费用由中标方自行承担，具体承担费用按包1包2比例进行划分。车辆各1辆。</w:t>
            </w:r>
          </w:p>
          <w:p>
            <w:pPr>
              <w:pStyle w:val="null3"/>
              <w:outlineLvl w:val="3"/>
            </w:pPr>
            <w:r>
              <w:rPr>
                <w:sz w:val="24"/>
                <w:b/>
              </w:rPr>
              <w:t>5.包1中标方牵头方制定全市统一的服务网点人员架构设置、岗位职责、岗位工作标准及服务流程等，报市级医保经办机构备案后执行。中标方包2配合包1中标方进行人员岗位安置。</w:t>
            </w:r>
          </w:p>
          <w:p>
            <w:pPr>
              <w:pStyle w:val="null3"/>
            </w:pPr>
            <w:r>
              <w:rPr/>
              <w:t>6.建立完善信息系统。包1中标方开发建设长期护理保险管理信息系统（含用于居家护理服务管理稽查的app软件），其功能模块应该包括系统框架结构、业务流程设计、参保数据管理、申请受理管理、失能评估管理、服务机构管理、护理服务和护理过程跟踪管理、服务评价管理、结算支付管理、档案管理、稽核巡查和智能监控等方面。同时要根据政策变动和业务需求适时升级，不断提升信息系统对经办业务的支持力度和日常维护。包2中标方需按照信息系统的要求，做好日常经办工作和包1中标方的其他配合工作，提出优化完善意见。</w:t>
            </w:r>
          </w:p>
          <w:p>
            <w:pPr>
              <w:pStyle w:val="null3"/>
            </w:pPr>
            <w:r>
              <w:rPr/>
              <w:t>7.承办服务内容。由包1中标方牵头组织经办服务工作方案（标书中须包含详细的工作方案）、包2中标方配合出台经办服务工作方案（标书中须包含如何配合包1中标方的工作方案）、包1包2要建立中标方的合作和争议机制。具体承办工作由包1包2中标方协作完成。</w:t>
            </w:r>
          </w:p>
          <w:p>
            <w:pPr>
              <w:pStyle w:val="null3"/>
            </w:pPr>
            <w:r>
              <w:rPr/>
              <w:t>（1）建立标准化经办服务流程。在中标方包1牵头下要制定长期护理保险内部管理办法，建立标准化的经办服务流程，提高经办服务质量。</w:t>
            </w:r>
          </w:p>
          <w:p>
            <w:pPr>
              <w:pStyle w:val="null3"/>
            </w:pPr>
            <w:r>
              <w:rPr/>
              <w:t>（2）受理待遇申请、审核申请资料。各服务窗口受理长期护理保险待遇申请，将申请信息录入长期护理保险信息系统，并按要求在规定时间内完成审核。</w:t>
            </w:r>
          </w:p>
          <w:p>
            <w:pPr>
              <w:pStyle w:val="null3"/>
            </w:pPr>
            <w:r>
              <w:rPr/>
              <w:t>（3）组织全过程失能等级评估。申请人经审核符合失能等级评定条件的，中标方负责按要求组织开展失能等级评估，包括但不限于做好评定信息采集全过程监督、评定情况记录及相关材料的归档管理等工作。</w:t>
            </w:r>
          </w:p>
          <w:p>
            <w:pPr>
              <w:pStyle w:val="null3"/>
            </w:pPr>
            <w:r>
              <w:rPr/>
              <w:t>（4）配合医保部门开展长期护理保险基金监管工作。要配合医保部门通过护理台账审核、现场稽核、明察暗访、随机抽查、电话回访、生存状况核查等方式开展长期护理保险基金监管工作。</w:t>
            </w:r>
          </w:p>
          <w:p>
            <w:pPr>
              <w:pStyle w:val="null3"/>
            </w:pPr>
            <w:r>
              <w:rPr/>
              <w:t>（5）费用结算。中标方按政策要求及时、足额予以结算和支付。</w:t>
            </w:r>
          </w:p>
          <w:p>
            <w:pPr>
              <w:pStyle w:val="null3"/>
            </w:pPr>
            <w:r>
              <w:rPr/>
              <w:t>（6）受理政策咨询及举报投诉。各服务窗口要求开通经办服务电话，受理长期护理保险政策咨询、举报投诉，并按要求予以办结。</w:t>
            </w:r>
          </w:p>
          <w:p>
            <w:pPr>
              <w:pStyle w:val="null3"/>
            </w:pPr>
            <w:r>
              <w:rPr/>
              <w:t>（7）档案管理与数据统计分析。按照标准化、科学化的档案管理要求，在日常经办过程中采取“一人一档”方式，为每个失能人员建立了纸质及电子档案，内容包括申请人个人基本信息资料、待遇申请表、评定结论（包括复议）、待遇享受、核查记录、相关视频影像等资料。严格保密档案资料，全市所有档案统一保管、专区存放，专人管理。档案所有权归市医保经办中心，双方合作期间，档案由中标方保管，存在市长护中心，如不再继续合作，应将档案、系统数据等资料及时移交给市医保经办中心。</w:t>
            </w:r>
          </w:p>
          <w:p>
            <w:pPr>
              <w:pStyle w:val="null3"/>
            </w:pPr>
            <w:r>
              <w:rPr/>
              <w:t>（7）组织开展定点服务机构协议履行情况考核工作。按相关政策要求组织对定点服务机构协议履行情况进行考核，并将考核结果报送市医保经办机构。</w:t>
            </w:r>
          </w:p>
          <w:p>
            <w:pPr>
              <w:pStyle w:val="null3"/>
            </w:pPr>
            <w:r>
              <w:rPr/>
              <w:t>（8）长期护理保险运行分析。定期完成对长期护理保险实施情况、基金运行、承保经办服务的运行分析等报告。</w:t>
            </w:r>
          </w:p>
          <w:p>
            <w:pPr>
              <w:pStyle w:val="null3"/>
            </w:pPr>
            <w:r>
              <w:rPr/>
              <w:t>（三)包1包2中标公司职责</w:t>
            </w:r>
          </w:p>
          <w:p>
            <w:pPr>
              <w:pStyle w:val="null3"/>
            </w:pPr>
            <w:r>
              <w:rPr/>
              <w:t>受医保经办机构委托商保公司主要承办：长护险政策宣传与咨询；定点服务机构日常管理、费用结算并配合做好年度考核；失能评定的受理、初审与公示送达，失能评定资料整理存档；长期失能人员待遇与服务提供方式的选择；长护服务质量监管、费用审核、结算与支付；失能参保人员的实名制管理和生存查证；护理服务质量举报投诉受理和满意度调查及评价；居家护理人员和机构护理服务人员的培训；长护险信息系统建设及运维；长护险全过程纸质、视频及电子文件的整理归集和建档（备份)；助浴护理服务和护理辅具项目有关的管理、审批、结算、稽核等工作；其他协商需要委托承办的业务。</w:t>
            </w:r>
          </w:p>
          <w:p>
            <w:pPr>
              <w:pStyle w:val="null3"/>
            </w:pPr>
            <w:r>
              <w:rPr/>
              <w:t>包1包2中标公司要共同成立长期护理保险承办服务中心，购买办公软硬件设施（包括办公电脑、摄像机、照相机、录音笔、行政执法记录仪、高拍仪、打印机、复印机、传真机和扫描仪等）以及办公车辆，满足日常工作需求。按照要求划分职能和配备全职工作人员，在市长护中心配备承办业务足够的工作人员，分设管理岗、受理岗、失能评定承办岗、审核岗、财务岗、咨询回访岗、稽核调查岗等岗位，负责统筹安排全市长护险日常经办事务，在各级医保经办机构派驻专职人员实行联合办公开展工作。严格按照长护险规定的项目和标准支出，不得擅自增加支出项目、随意提高补偿标准；强化内部控制管理，建立规范的支出测算、审核、审批，确保长护险资金安全。按政府财务统计的时限规定提供报表，无条件向医保经办中心提供本项目产生的全部数据信息，资料报表和档案等。接受市医保经办中心的监督考核并按考核结果支付承办服务费用；履行招标文件增值服务关于亏损规定的分担方案执行承诺，并建立资金先行支付机制，不得因长护险筹集资金未到位，暂停长护险工作，影响社会和谐与参保人的利益。</w:t>
            </w:r>
          </w:p>
          <w:p>
            <w:pPr>
              <w:pStyle w:val="null3"/>
            </w:pPr>
            <w:r>
              <w:rPr/>
              <w:t>具体经办工作上，市长护中心严格执行长护险政策、经办规程和管理办法，制定配套的承办工作管理办法并落实; 做好失能鉴定前的初步审查，包括入户调查、社区(邻里)调查、社区公示等；负责咨询受理，组织上门评估，协助失能评定委员会的专家评审和综合评定，将评估结果通知被评估人；开发建设长护险信息系统，并做好相关的升级、维护工作；做好长护保险待遇核查和基金支出的结算工作，重点对居家护理服务和人员生存情况进行核查，服务质量进行巡查稽核; 做好业务档案管理和个人信息保护工作;配合经办机构做好财务、政策宣传、信访接待工作受理鉴定、失能等级申诉争议、护理服务满意度调查评估等工作。包1包2中标公司必须精诚合作、密切配合，共同完成承办工作。包1中标公司提供免费使用的长护险信息系统并做好相关的升级、维护工作，中标公司制定内部岗位职责和内部考核指标，制定明确的长护险专户资金支付流程、长护中心费用分摊办法，共同做好长护中心管理工作。</w:t>
            </w:r>
          </w:p>
          <w:p>
            <w:pPr>
              <w:pStyle w:val="null3"/>
            </w:pPr>
            <w:r>
              <w:rPr/>
              <w:t>（四）长护险经办流程</w:t>
            </w:r>
          </w:p>
          <w:p>
            <w:pPr>
              <w:pStyle w:val="null3"/>
            </w:pPr>
            <w:r>
              <w:rPr/>
              <w:t>1. 参保缴费：长护险参保范围与职工基本医保参保范围一致，凡参加职工医保的必须同步参加长护保险，当年死亡的，当年继续参保，从死亡的下一年起停止参保。参保缴费采取按年申报、年度一次缴费方式在申报职工基本医疗保险时一并申报长护险。个人缴费部分由医保经办机构在划拨个人账户资金时直接扣减50元，年底由财政部门直接划转至长护险基金财政专户，缴费不再区分在职和退休，退休人员也必须缴纳长护险个人部分，当年死亡的，当年继续缴费，从死亡的下一年起停止缴费。未建立个人账户的参保人员，在每年缴纳职工医疗保险费时，在税务部门按标准缴纳。经有关部门认定并能提供认定证明的困难退休职工，个人缴纳25元。单位缴费部分按照当年参保人数与财政协商后由市财政部门从基本医疗保险统筹基金直接划转至长护险基金财政专户。财政补助一是按照参保人数，以企业参保地为准由参保地财政落实财政补助资金并直接上缴至基金财政专户，二是按照困难退休职工人数，补助个人缴纳部分的25元。</w:t>
            </w:r>
          </w:p>
          <w:p>
            <w:pPr>
              <w:pStyle w:val="null3"/>
            </w:pPr>
            <w:r>
              <w:rPr/>
              <w:t>2. 失能认定：在具体操作中，失能评定流程为提交申请--受理初审（前置调查）--上门评估--专家评审--综合鉴定--结果公示等环节。【待遇申请】参保人因老年、疾病、伤残等原因导致失能，经规范诊疗、失能状态持续6个月以上符合待遇申请条件的参保人员，其家属或代理人携带申请人参保凭证、身份证，诊断证明、病案，填写《汉中市长期护理保险参保人员失能评定申请表》等资料就近向各医保经办机构长护险窗口提交资料，申请人不在区分参保属地申请受理，也可通过参保人APP通过手机客户端进行申请受理。申请时申请人按照日常生活功能指数评价量表从进食、穿衣、大小便控制、用厕、洗澡、床椅转动等6个方面按照独立、需要帮助、依赖三个角度进行自评。工作人员现场对资料进行审核，对申请人提供材料不完整或不符合失能评定条件的，一次性告知其需要补正的全部材料或不符合失能评定条件的具体原因。经自评等级符合政策规定的失能评估标准时，进入失能等级评定环节。对不能确定是否符合失能等级评定条件的，安排前置调查，通过入户调查、邻里走访等进行初步审核，填写《前置调查报告》，调查不符合上门评估标准的不再安排上门评估。为减少群众多次申请跑路，在受理申请环节，申请人根据失能人员需求可一次性填写护理耗材配送或辅具租赁申请。【上门评估与异地评估】经初审符合失能评定条件的，失能评定委员会从评估人员库中随机抽取1名评估人员，同时指派1名工作人员组成评估小组，通过审核资料、调阅申请人治疗档案、现场评估等途径采集评估信息，评估人员进行邻里、社区走访，了解申请人生活自理情况，并列入评定依据。上门评估资料经评估人员签字确认后，上传至失能评定信息系统。评估人员本着客观、公正的原则采集评估信息，做好评定情况记录，并对评估结论的真实性负责。工作人员应做好评估信息采集全过程监督以及相关材料的归档管理等工作。需要进行有关检查和诊断的，申请人应提供有关检查和诊断证明。依托两家商保公司全国多地网点，实施异地实地上门评估，后期逐步采取异地实地上门评估和线上视频评估相结合的方式，按照线上录屏、线下录评估过程的模式，确保异地评估工作顺利开展。【综合鉴定】失能评定委员会每月一次对上门评估卷宗逐一进行审核讨论，做出评估结论。综合鉴定分为两个阶段，第一阶段为专家评审阶段，失能评定委员会办公室从评估专家库中随机抽取3名评估专家，通过对上门评估参保人的评估量表、评定分数、病案资料、影像视频等进行逐一讨论审核并签字确认，做出专家评定结论。第二阶段为综合评定阶段，将上门评估情况及专家评审相关情况上报市医疗保障局失能评定委员会研究审定，做出最终评定结论，出具评定结论。【结果公示】申请人经评定符合长护保险待遇享受条件的，评定结论在申请人常住地、市医疗保障部门门户网站等范围内公示，公示时间不少于7天，公示无异议后在10日内将评定结论送达申请人或其合法委托人。为确保参保人的权益，考虑到评估结论的谨慎性和个别申请人可能对评定结论有异议的，我们设置了【救济安排】环节进行政策救济。一是全过程自我纠偏。在各个评定环节发现可能存在有异议的，及时主动的复核纠偏，同时，按一定的比例定期或不定期对上门评估进行随机抽检，对有疑义卷宗进行上门复论送达后5个工作日内提出复评查。二是异议复审。经过自我纠偏后参保人仍有异议的可在评定结论送达后5个工作日内再次提出评定申请。复评时，从评定专家库中抽取1名评定专家与工作人员组成上门评定专家组对申请人进行现场调查复评并出具评定意见，由失能评定复议委员会做出复议最终结论，复议结论不再进行公示，但不影响复议后申请人6个月后再次提出失能评估申请。</w:t>
            </w:r>
          </w:p>
          <w:p>
            <w:pPr>
              <w:pStyle w:val="null3"/>
              <w:outlineLvl w:val="3"/>
            </w:pPr>
            <w:r>
              <w:rPr>
                <w:sz w:val="24"/>
                <w:b/>
              </w:rPr>
              <w:t>3. 护理服务：经评估符合待遇享受条件的人员，在公示结束后次月开始享受长护险待遇，根据自身情况选择相应护理服务。【机构护理服务】由服务机构为失能人员办理入住手续，并根据失能人员护理需求进行护理服务，并接受家属对服务质量的评价反馈。【机构上门护理服务】服务机构按照长护中心的派单名单，安排护理人员根据失能人员的病情和护理需求向失能人员或家属征询意见并制定服务计划，填写《汉中市长期护理保险护理服务申请表》，签订服务合同和上门护理服务风险知情书。服务机构将服务计划、护理人员等资料录入信息系统，并及时维护和更新。护理人员依据护理服务任务，提前与失能人员或家属预约上门服务时间。上门服务时需正规着装，佩戴工作牌，出示相关证件，进行手机APP定位打卡计时。结束护理服务后，护理人员填写护理记录，由失能人员或家属签字确认，形成上门护理服务确认单并再次进行APP打卡。【居家自主护理服务】除满足失能人居住地距离县城偏远无护理机构愿意提供上门服务的；有60岁以内且身体健康的自主照料人员（仅指直系亲属、家政人员、保姆），居住汉中市以外地区的，其他经认定可开展自主护理的四类人员，一般严格限制居家自主护理人数。家庭照护人员由长护中心负责按期进行培训、管理、考核，自主照护按月进行生存认证，补助费用在生存认证后的次月按月进行支付。【服务方式变更】服务计划调整：居家护理服务计划周期最短为一个月。失能人员因病情或身体机能发生变化需要调整服务计划时，失能人员或家属应在每月25号之前向护理服务机构提出，服务机构在当月底前完成服务计划的重新定制，录入系统后次月按照新服务计划执行。护理人员变更：待遇享受人员或家属提出变更护理人员，服务机构应与待遇享受人员或家属及时沟通，详细了解变更原因，及时核查，根据待遇享受人员或家属提出的问题和需求，安排专人进行解决。确实需要更换护理人员的，安排更换。护理机构变更：待遇享受人员或家属因居住地址发生变化要求变更护理机构的，向长护中心提出选择新的服务机构重新制定计划。服务终止：待遇享受人员因住院、外出、去世等原因需要终止服务的，应及时向协议服务机构提出申请。如需恢复，可重新申请恢复护理计划。【上门助浴服务】符合条件的失能人员可电话或前往经办窗口提出助浴服务申请，长护中心在核对信息后1个工作日内通知助浴服务机构。服务机构预约上门服务时间，进行浴前评估，按照《助浴护理服务工作规范》签署风险告知书，并展开相应的服务。【护理耗材及辅具租赁】符合条件的失能人员根据需求，可就近向长护窗口提出护理耗材或辅具租赁服务申请并填写相关的申请表。长护中心在做好信息核对后的3个工作日内，组织人员进行评估审核。包括但不限于查阅申请人评估时的病例和失能评估资料，必要时要指派人员入户核查。长护中心根据审核情况出具适配结论，对不符合适配要求的，要书面告知理由。申请人从签订护理耗材或辅具租赁服务协议之日起在有效的年度限额内享受待遇。</w:t>
            </w:r>
          </w:p>
          <w:p>
            <w:pPr>
              <w:pStyle w:val="null3"/>
            </w:pPr>
            <w:r>
              <w:rPr/>
              <w:t>4. 待遇审核及结算：符合规定的护理服务费用，按“月度拨付，年度考核、年终清算”的流程，服务机构于次月5日前将上月发生的护理费用在经办系统进行申报，并报送上月的费用结算单及加盖印章的汇总表。长护中心及时对计算机数据库数据、报表数据和结算申报表数据进行核对审核，按照医保待遇与长护待遇不重复享受原则，结合稽核回访情况，对符合规定的费用，由长护中心在10个工作日按合规费用的95%予以支付，其余5%作为服务质量保证金，于年底评估考核后进行结算。失能评定费用按照每人次200元（上门评估120元、专家评审80元）、异议复评每人次300元（由评估专家进行上门评估220元、专家评审80元），费用由长护中心按月汇总，次月直接支付给评人员和评估专家。居家自主护理和自主护理与上门结合方式的自主护理部分由家属按月进行手机端APP生存认证后按月支付给失能人员本人的社保卡和银行卡账户。</w:t>
            </w:r>
          </w:p>
          <w:p>
            <w:pPr>
              <w:pStyle w:val="null3"/>
            </w:pPr>
            <w:r>
              <w:rPr/>
              <w:t>5. 基金拨付及决算：基金拨付采用预拨制，市医保经办中心根据上一年度基金支出情况结合当年实际向市财政提交用款计划，年内按上年基金实际支出的90%预拨，其余部分年终决算后按决算结果执行。</w:t>
            </w:r>
          </w:p>
          <w:p>
            <w:pPr>
              <w:pStyle w:val="null3"/>
            </w:pPr>
            <w:r>
              <w:rPr/>
              <w:t>市医保经办机构按照财政拨付金额按6:4的比例分别拨付承办公司长护专户，承办公司具体对长护待遇和评估费用进行支付，市医保经办中心稽核管理。年度终了后，市医保经办机构按照市财政、医保、税务部门规定要求，编制年度基金决算草案，报告基金年度运行及管理情况。年度基金决算草案经市医疗保障、税务部门审校，由市财政部门审定，经市人大常委会审批，并报上级相关部门备案。最后根据采购合同、年度考核情况支付承办服务费用，承办服务费用财政不再单独拨款，承办方根据财政批复的年度决算和清算报告从承办各方长护险支出户中直接划转。</w:t>
            </w:r>
          </w:p>
          <w:p>
            <w:pPr>
              <w:pStyle w:val="null3"/>
            </w:pPr>
            <w:r>
              <w:rPr/>
              <w:t>6. 档案管理与数据统计分析：按照标准化、科学化的档案管理要求，在日常经办过程中采取“一人一档”方式，为每个失能人员建立了纸质及电子档案，内容包括申请人个人基本信息资料、待遇申请表、评定结论（包括复议）、待遇享受、核查记录、相关视频影像等资料。严格保密档案资料，全市所有档案统一保管、专区存放，专人管理。档案所有权归市医保经办中心，双方合作期间，档案由商保公司保管，存在在市长护中心，如不再继续合作，应将档案、系统数据等资料及时移交给市医保经办中心。强化对失能数据的统计分析，通过长护政策运行过程获取的各类信息，包括失能人员性别、年龄、失能原因、统计报表等数据，定期对重度失能人员失能原因及年龄分布进行分析，撰写分析报告，为政府政策制定老年人的疾病预防和健康管理提供参考。</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rPr>
              <w:t>采购包2：2025-2026年职工长期护理保险承办服务项目（包2）</w:t>
            </w:r>
          </w:p>
          <w:p>
            <w:pPr>
              <w:pStyle w:val="null3"/>
            </w:pPr>
            <w:r>
              <w:rPr>
                <w:b/>
              </w:rPr>
              <w:t>一、项目概述</w:t>
            </w:r>
          </w:p>
          <w:p>
            <w:pPr>
              <w:pStyle w:val="null3"/>
            </w:pPr>
            <w:r>
              <w:rPr/>
              <w:t>长期护理保险是指因为年老、疾病、伤残等导致长期重度失能的参保人，享有基本生活照料和与之密切相关的医疗护理提供服务保障。为有序推进并实施汉中市长期护理保险制度，进一步健全更加公平可持续的社会保障体系，根据《国家医保局 财政部关于扩大长期护理保险制度试点的指导意见》（医保发〔2020〕37号）、《国家医保局办公室 民政部办公厅关于印发长期护理保险失能等级评估标准（试行）》（医保办发〔2021〕37号）、《关于汉中市长期护理保险试点工作方案的通知》（汉政办发〔2020〕21号）、《汉中市长期护理保险实施办法》（汉市医保发〔2022〕94号）《汉中市长期护理保险基金管理办法》（汉财办社〔2020〕243号）等文件精神，为确保2025-2026年长期护理保险工作顺利开展，我局拟采用公开招标方式选定2家商保公司为第三方承办机构。负责长期护理保险的经办工作，包括但不限于受理政策咨询及举报投诉、受理待遇申请、审核申请资料、组织失能等级评估、配合医保部门开展长期护理保险基金监管工作、费用结算、组织开展定点服务机构协议履行情况考核工作、建立完善信息系统、长期护理保险运行分析。</w:t>
            </w:r>
          </w:p>
          <w:p>
            <w:pPr>
              <w:pStyle w:val="null3"/>
            </w:pPr>
            <w:r>
              <w:rPr>
                <w:b/>
              </w:rPr>
              <w:t>二、项目预算</w:t>
            </w:r>
          </w:p>
          <w:p>
            <w:pPr>
              <w:pStyle w:val="null3"/>
            </w:pPr>
            <w:r>
              <w:rPr/>
              <w:t>总预算：225万元。其中包2：90万元，为为年度实际筹资额的40%。</w:t>
            </w:r>
          </w:p>
          <w:p>
            <w:pPr>
              <w:pStyle w:val="null3"/>
            </w:pPr>
            <w:r>
              <w:rPr>
                <w:b/>
              </w:rPr>
              <w:t>三、承办服务对象</w:t>
            </w:r>
          </w:p>
          <w:p>
            <w:pPr>
              <w:pStyle w:val="null3"/>
            </w:pPr>
            <w:r>
              <w:rPr/>
              <w:t>汉中市职工长期护理保险参保人员中经失能等级评估结果为重度失能的参保人员。</w:t>
            </w:r>
          </w:p>
          <w:p>
            <w:pPr>
              <w:pStyle w:val="null3"/>
            </w:pPr>
            <w:r>
              <w:rPr>
                <w:b/>
              </w:rPr>
              <w:t>四、承办服务人数</w:t>
            </w:r>
          </w:p>
          <w:p>
            <w:pPr>
              <w:pStyle w:val="null3"/>
            </w:pPr>
            <w:r>
              <w:rPr/>
              <w:t>约37.5 万人/年（具体以当年实际征缴人数为准）。</w:t>
            </w:r>
          </w:p>
          <w:p>
            <w:pPr>
              <w:pStyle w:val="null3"/>
            </w:pPr>
            <w:r>
              <w:rPr>
                <w:b/>
              </w:rPr>
              <w:t>五、承办服务期限</w:t>
            </w:r>
          </w:p>
          <w:p>
            <w:pPr>
              <w:pStyle w:val="null3"/>
            </w:pPr>
            <w:r>
              <w:rPr/>
              <w:t>承办服务期两年，自2025年1月1日起至2026年12月31日止。承办服务合同一次签两年，工作协议1年一签。</w:t>
            </w:r>
          </w:p>
          <w:p>
            <w:pPr>
              <w:pStyle w:val="null3"/>
            </w:pPr>
            <w:r>
              <w:rPr/>
              <w:t>政府采购合同签订后，供应商须于2024年12月31日前完成长期护理保险承办所必需的准备工作（包含联合成立长护险服务中心），能够于2025年1月1日正式启动承办服务工作。其中包1中标供应商必须于2024年12月31日前完成汉中市长护系统本地化改造和数据迁移，确保系统于2025年1月1日起正式使用。</w:t>
            </w:r>
          </w:p>
          <w:p>
            <w:pPr>
              <w:pStyle w:val="null3"/>
            </w:pPr>
            <w:r>
              <w:rPr>
                <w:b/>
              </w:rPr>
              <w:t>六、服务地点</w:t>
            </w:r>
          </w:p>
          <w:p>
            <w:pPr>
              <w:pStyle w:val="null3"/>
            </w:pPr>
            <w:r>
              <w:rPr/>
              <w:t>根据项目需求。</w:t>
            </w:r>
          </w:p>
          <w:p>
            <w:pPr>
              <w:pStyle w:val="null3"/>
            </w:pPr>
            <w:r>
              <w:rPr>
                <w:b/>
              </w:rPr>
              <w:t>七、承办服务费</w:t>
            </w:r>
          </w:p>
          <w:p>
            <w:pPr>
              <w:pStyle w:val="null3"/>
            </w:pPr>
            <w:r>
              <w:rPr/>
              <w:t>（一）报价要求：本项目采用费率报价，报价上限为年度实际筹资金额的3%，投标报价有效范围为3%（含）以下，报价超出3%的均视为无效投标。</w:t>
            </w:r>
          </w:p>
          <w:p>
            <w:pPr>
              <w:pStyle w:val="null3"/>
            </w:pPr>
            <w:r>
              <w:rPr>
                <w:b/>
              </w:rPr>
              <w:t>特别说明：依据《中华人民共和国政府采购法》第二条规定：本法所称采购，是指以合同方式有偿取得货物、工程和服务的行为，包括购买、租赁、委托、雇用等。并且本项目要求服务人员为专职人员，非兼职人员，故投标人报价不得为0%，报价为0%视为无效投标。若报价极低的或明显低于承办服务成本的，投标人须提供相关证明材料，用以证明其报价的合理性，如不能提供证明材料或证明材料依据不充分的，视为无效投标。</w:t>
            </w:r>
          </w:p>
          <w:p>
            <w:pPr>
              <w:pStyle w:val="null3"/>
            </w:pPr>
            <w:r>
              <w:rPr/>
              <w:t>（二）承办服务费年度最高限额为45万元，两年共计90万元，实际以当年长护险年度实际筹资金额总额*40%*中标报价为准。如当年长护险年度实际筹资金额总额*40%*中标报价的金额高于45万元，承办服务费按45万元支付（确定）。承办服务费不提前支付，年终经医保、财政部门决算后按决算结果执行。</w:t>
            </w:r>
          </w:p>
          <w:p>
            <w:pPr>
              <w:pStyle w:val="null3"/>
            </w:pPr>
            <w:r>
              <w:rPr/>
              <w:t>（三）承办服务费为采购人向供应商支付的全部款项（包括但不限于人力成本、车辆、信息系统、运营成本以及承办长期护理保险各项运行成本和收益）。</w:t>
            </w:r>
          </w:p>
          <w:p>
            <w:pPr>
              <w:pStyle w:val="null3"/>
            </w:pPr>
            <w:r>
              <w:rPr>
                <w:b/>
              </w:rPr>
              <w:t>八、承办资金要求</w:t>
            </w:r>
          </w:p>
          <w:p>
            <w:pPr>
              <w:pStyle w:val="null3"/>
            </w:pPr>
            <w:r>
              <w:rPr/>
              <w:t>（一）总体要求</w:t>
            </w:r>
          </w:p>
          <w:p>
            <w:pPr>
              <w:pStyle w:val="null3"/>
            </w:pPr>
            <w:r>
              <w:rPr/>
              <w:t>基金拨付采用预拨制，市医保经办中心根据上一年度基金支出情况结合当年实际向市财政提交用款计划，年内按上年基金实际支出的90%预拨，其余部分年终决算后按决算结果执行。</w:t>
            </w:r>
          </w:p>
          <w:p>
            <w:pPr>
              <w:pStyle w:val="null3"/>
            </w:pPr>
            <w:r>
              <w:rPr/>
              <w:t>市医保经办机构按照财政拨付金额按6:4的比例分别拨付承办公司长护专户，承办公司具体对长护待遇和评估费用进行支付，市医保经办中心稽核管理。年度终了后，市医保经办机构按照市财政、医保、税务部门规定要求，编制年度基金决算草案，报告基金年度运行及管理情况。年度基金决算草案经市医疗保障、税务部门审校，由市财政部门审定，经市人大常委会审批，并报上级相关部门备案。最后根据采购合同、年度考核情况支付承办服务费用，承办服务费用财政不再单独拨款，承办方根据财政批复的年度决算和清算报告从承办各方长护险支出户中直接划转。</w:t>
            </w:r>
          </w:p>
          <w:p>
            <w:pPr>
              <w:pStyle w:val="null3"/>
            </w:pPr>
            <w:r>
              <w:rPr/>
              <w:t>（二）专户管理</w:t>
            </w:r>
          </w:p>
          <w:p>
            <w:pPr>
              <w:pStyle w:val="null3"/>
            </w:pPr>
            <w:r>
              <w:rPr/>
              <w:t>供应商应按要求设立长期护理保险资金支出专户，实行单独核算，专账管理，确保资金安全，保证偿付能力，接受财政、审计、监察部门和医疗保险管理部门的监督检查。</w:t>
            </w:r>
          </w:p>
          <w:p>
            <w:pPr>
              <w:pStyle w:val="null3"/>
            </w:pPr>
            <w:r>
              <w:rPr/>
              <w:t>（三）资金垫付</w:t>
            </w:r>
          </w:p>
          <w:p>
            <w:pPr>
              <w:pStyle w:val="null3"/>
            </w:pPr>
            <w:r>
              <w:rPr/>
              <w:t>供应商应建立资金垫付机制并做出具体承诺（承诺书最低须由投标人的省级公司出具并加盖公章），在长期护理保险资金未拨付到位期间，供应商应先行垫付费用（所垫付费用按包1包2比例承担），确保及时拨付到参保人及护理机构，不得影响定点护理机构和参保人的权益。若因资金垫付不及时，造成群体性上访事件或不良社会影响的，采购人有权解除中标合同，并追究相关责任。</w:t>
            </w:r>
          </w:p>
          <w:p>
            <w:pPr>
              <w:pStyle w:val="null3"/>
            </w:pPr>
            <w:r>
              <w:rPr/>
              <w:t>（四）资金清算</w:t>
            </w:r>
          </w:p>
          <w:p>
            <w:pPr>
              <w:pStyle w:val="null3"/>
            </w:pPr>
            <w:r>
              <w:rPr/>
              <w:t>长期护理保险资金专户年度决算后有结余（含利息）的，中标方应将结余资金（含利息）及时返还长期护理保险基金财政专户。如发生基金当年入不敷出的，首先从中标方经办服务费抵扣；仍有差额时，由基金与中标方按3:7比例分担。因中标方监管不力、审核不严等因素造成长期护理保险基金损失的，由中标方全部承担。</w:t>
            </w:r>
          </w:p>
          <w:p>
            <w:pPr>
              <w:pStyle w:val="null3"/>
            </w:pPr>
            <w:r>
              <w:rPr>
                <w:b/>
              </w:rPr>
              <w:t>九、承办能力要求</w:t>
            </w:r>
          </w:p>
          <w:p>
            <w:pPr>
              <w:pStyle w:val="null3"/>
            </w:pPr>
            <w:r>
              <w:rPr/>
              <w:t>（一）总体要求</w:t>
            </w:r>
          </w:p>
          <w:p>
            <w:pPr>
              <w:pStyle w:val="null3"/>
              <w:outlineLvl w:val="3"/>
            </w:pPr>
            <w:r>
              <w:rPr>
                <w:sz w:val="24"/>
                <w:b/>
              </w:rPr>
              <w:t>包括综合偿付能力、风险综合评级能力、资金垫付能力（包含垫资额和垫资时长）、社会影响力、项目经验（包含全国经验和汉中经验）；服务部分包括服务能力水平和项目实施方案，其中服务能力水平具体包含：专业管理部门、专项服务团队、专业人员（必须包含项目负责人）、本地化服务、办公场所及硬件设备、团队管理、信息系统。项目实施方案具体包含：服务网点设置方案、经办服务流程方案、政策咨询、举报投诉、应急方案、失能等级评估方案、配合开展基金监管方案、费用结算方案、定点服务机构考核方案、长期护理保险运行分析方案、牵头组织协调经办服务工作方案、配合经办服务工作方案、履约考核、增值服务方案、培训及宣传方案、档案管理方案、保密措施、财务管理制度。</w:t>
            </w:r>
          </w:p>
          <w:p>
            <w:pPr>
              <w:pStyle w:val="null3"/>
            </w:pPr>
            <w:r>
              <w:rPr/>
              <w:t>（二）具体要求</w:t>
            </w:r>
          </w:p>
          <w:p>
            <w:pPr>
              <w:pStyle w:val="null3"/>
              <w:outlineLvl w:val="3"/>
            </w:pPr>
            <w:r>
              <w:rPr>
                <w:sz w:val="24"/>
                <w:b/>
              </w:rPr>
              <w:t>1.在医保经办机构指导下，由中标方包1牵头在汉中市区建立长期护理保险经办服务中心，中标方包2配合包1中标方组建服务中心，按比例招聘人员，并合署办公。服务中心负责具体承办全市长期护理保险经办服务工作。</w:t>
            </w:r>
          </w:p>
          <w:p>
            <w:pPr>
              <w:pStyle w:val="null3"/>
              <w:outlineLvl w:val="3"/>
            </w:pPr>
            <w:r>
              <w:rPr>
                <w:sz w:val="24"/>
                <w:b/>
              </w:rPr>
              <w:t>2.供应商应按市级统筹的管理模式，组建长护保险专职服务队伍，统一办理长护保险业务。专职服务队伍中，应配备一定比例的医疗（含药学、医技）、护理、康复、财务等专业背景的人员，能为长期护理保险承办提供便捷高效和专业的服务。总人数不少于35人，包1 不少于21人（医护康专业不少于6人，财务1人、有长护险工作经验的5人，省市长护险专家需提供资格证明），包2不少于14人（医护康专业不少于4人，财务1人、有长护险工作经验的3人，省市长护险专家需提供资格证明）。</w:t>
            </w:r>
          </w:p>
          <w:p>
            <w:pPr>
              <w:pStyle w:val="null3"/>
              <w:outlineLvl w:val="3"/>
            </w:pPr>
            <w:r>
              <w:rPr>
                <w:sz w:val="24"/>
                <w:b/>
              </w:rPr>
              <w:t>3.在市域内各县区医保经办中心设立服务窗口，派驻专职工作人员，负责该县区长护保险相关申请、受理、审核等业务，解释和宣传长护保险政策。</w:t>
            </w:r>
          </w:p>
          <w:p>
            <w:pPr>
              <w:pStyle w:val="null3"/>
              <w:outlineLvl w:val="3"/>
            </w:pPr>
            <w:r>
              <w:rPr>
                <w:sz w:val="24"/>
                <w:b/>
              </w:rPr>
              <w:t>4.服务窗口人力资源、软硬件设施设备、办公场地租赁、经办服务工作用车等费用由中标方自行承担，具体承担费用按包1包2比例进行划分。车辆各1辆。</w:t>
            </w:r>
          </w:p>
          <w:p>
            <w:pPr>
              <w:pStyle w:val="null3"/>
              <w:outlineLvl w:val="3"/>
            </w:pPr>
            <w:r>
              <w:rPr>
                <w:sz w:val="24"/>
                <w:b/>
              </w:rPr>
              <w:t>5.包1中标方牵头方制定全市统一的服务网点人员架构设置、岗位职责、岗位工作标准及服务流程等，报市级医保经办机构备案后执行。中标方包2配合包1中标方进行人员岗位安置。</w:t>
            </w:r>
          </w:p>
          <w:p>
            <w:pPr>
              <w:pStyle w:val="null3"/>
            </w:pPr>
            <w:r>
              <w:rPr/>
              <w:t>6.建立完善信息系统。包1中标方开发建设长期护理保险管理信息系统（含用于居家护理服务管理稽查的app软件），其功能模块应该包括系统框架结构、业务流程设计、参保数据管理、申请受理管理、失能评估管理、服务机构管理、护理服务和护理过程跟踪管理、服务评价管理、结算支付管理、档案管理、稽核巡查和智能监控等方面。同时要根据政策变动和业务需求适时升级，不断提升信息系统对经办业务的支持力度和日常维护。包2中标方需按照信息系统的要求，做好日常经办工作和包1中标方的其他配合工作，提出优化完善意见。</w:t>
            </w:r>
          </w:p>
          <w:p>
            <w:pPr>
              <w:pStyle w:val="null3"/>
            </w:pPr>
            <w:r>
              <w:rPr/>
              <w:t>7.承办服务内容。由包1中标方牵头组织经办服务工作方案（标书中须包含详细的工作方案）、包2中标方配合出台经办服务工作方案（标书中须包含如何配合包1中标方的工作方案）、包1包2要建立中标方的合作和争议机制。具体承办工作由包1包2中标方协作完成。</w:t>
            </w:r>
          </w:p>
          <w:p>
            <w:pPr>
              <w:pStyle w:val="null3"/>
            </w:pPr>
            <w:r>
              <w:rPr/>
              <w:t>（1）建立标准化经办服务流程。在中标方包1牵头下要制定长期护理保险内部管理办法，建立标准化的经办服务流程，提高经办服务质量。</w:t>
            </w:r>
          </w:p>
          <w:p>
            <w:pPr>
              <w:pStyle w:val="null3"/>
            </w:pPr>
            <w:r>
              <w:rPr/>
              <w:t>（2）受理待遇申请、审核申请资料。各服务窗口受理长期护理保险待遇申请，将申请信息录入长期护理保险信息系统，并按要求在规定时间内完成审核。</w:t>
            </w:r>
          </w:p>
          <w:p>
            <w:pPr>
              <w:pStyle w:val="null3"/>
            </w:pPr>
            <w:r>
              <w:rPr/>
              <w:t>（3）组织全过程失能等级评估。申请人经审核符合失能等级评定条件的，中标方负责按要求组织开展失能等级评估，包括但不限于做好评定信息采集全过程监督、评定情况记录及相关材料的归档管理等工作。</w:t>
            </w:r>
          </w:p>
          <w:p>
            <w:pPr>
              <w:pStyle w:val="null3"/>
            </w:pPr>
            <w:r>
              <w:rPr/>
              <w:t>（4）配合医保部门开展长期护理保险基金监管工作。要配合医保部门通过护理台账审核、现场稽核、明察暗访、随机抽查、电话回访、生存状况核查等方式开展长期护理保险基金监管工作。</w:t>
            </w:r>
          </w:p>
          <w:p>
            <w:pPr>
              <w:pStyle w:val="null3"/>
            </w:pPr>
            <w:r>
              <w:rPr/>
              <w:t>（5）费用结算。中标方按政策要求及时、足额予以结算和支付。</w:t>
            </w:r>
          </w:p>
          <w:p>
            <w:pPr>
              <w:pStyle w:val="null3"/>
            </w:pPr>
            <w:r>
              <w:rPr/>
              <w:t>（6）受理政策咨询及举报投诉。各服务窗口要求开通经办服务电话，受理长期护理保险政策咨询、举报投诉，并按要求予以办结。</w:t>
            </w:r>
          </w:p>
          <w:p>
            <w:pPr>
              <w:pStyle w:val="null3"/>
            </w:pPr>
            <w:r>
              <w:rPr/>
              <w:t>（7）档案管理与数据统计分析。按照标准化、科学化的档案管理要求，在日常经办过程中采取“一人一档”方式，为每个失能人员建立了纸质及电子档案，内容包括申请人个人基本信息资料、待遇申请表、评定结论（包括复议）、待遇享受、核查记录、相关视频影像等资料。严格保密档案资料，全市所有档案统一保管、专区存放，专人管理。档案所有权归市医保经办中心，双方合作期间，档案由中标方保管，存在市长护中心，如不再继续合作，应将档案、系统数据等资料及时移交给市医保经办中心。</w:t>
            </w:r>
          </w:p>
          <w:p>
            <w:pPr>
              <w:pStyle w:val="null3"/>
            </w:pPr>
            <w:r>
              <w:rPr/>
              <w:t>（7）组织开展定点服务机构协议履行情况考核工作。按相关政策要求组织对定点服务机构协议履行情况进行考核，并将考核结果报送市医保经办机构。</w:t>
            </w:r>
          </w:p>
          <w:p>
            <w:pPr>
              <w:pStyle w:val="null3"/>
            </w:pPr>
            <w:r>
              <w:rPr/>
              <w:t>（8）长期护理保险运行分析。定期完成对长期护理保险实施情况、基金运行、承保经办服务的运行分析等报告。</w:t>
            </w:r>
          </w:p>
          <w:p>
            <w:pPr>
              <w:pStyle w:val="null3"/>
            </w:pPr>
            <w:r>
              <w:rPr/>
              <w:t>（三)包1包2中标公司职责</w:t>
            </w:r>
          </w:p>
          <w:p>
            <w:pPr>
              <w:pStyle w:val="null3"/>
            </w:pPr>
            <w:r>
              <w:rPr/>
              <w:t>受医保经办机构委托商保公司主要承办：长护险政策宣传与咨询；定点服务机构日常管理、费用结算并配合做好年度考核；失能评定的受理、初审与公示送达，失能评定资料整理存档；长期失能人员待遇与服务提供方式的选择；长护服务质量监管、费用审核、结算与支付；失能参保人员的实名制管理和生存查证；护理服务质量举报投诉受理和满意度调查及评价；居家护理人员和机构护理服务人员的培训；长护险信息系统建设及运维；长护险全过程纸质、视频及电子文件的整理归集和建档（备份)；助浴护理服务和护理辅具项目有关的管理、审批、结算、稽核等工作；其他协商需要委托承办的业务。</w:t>
            </w:r>
          </w:p>
          <w:p>
            <w:pPr>
              <w:pStyle w:val="null3"/>
            </w:pPr>
            <w:r>
              <w:rPr/>
              <w:t>包1包2中标公司要共同成立长期护理保险承办服务中心，购买办公软硬件设施（包括办公电脑、摄像机、照相机、录音笔、行政执法记录仪、高拍仪、打印机、复印机、传真机和扫描仪等）以及办公车辆，满足日常工作需求。按照要求划分职能和配备全职工作人员，在市长护中心配备承办业务足够的工作人员，分设管理岗、受理岗、失能评定承办岗、审核岗、财务岗、咨询回访岗、稽核调查岗等岗位，负责统筹安排全市长护险日常经办事务，在各级医保经办机构派驻专职人员实行联合办公开展工作。严格按照长护险规定的项目和标准支出，不得擅自增加支出项目、随意提高补偿标准；强化内部控制管理，建立规范的支出测算、审核、审批，确保长护险资金安全。按政府财务统计的时限规定提供报表，无条件向医保经办中心提供本项目产生的全部数据信息，资料报表和档案等。接受市医保经办中心的监督考核并按考核结果支付承办服务费用；履行招标文件增值服务关于亏损规定的分担方案执行承诺，并建立资金先行支付机制，不得因长护险筹集资金未到位，暂停长护险工作，影响社会和谐与参保人的利益。</w:t>
            </w:r>
          </w:p>
          <w:p>
            <w:pPr>
              <w:pStyle w:val="null3"/>
            </w:pPr>
            <w:r>
              <w:rPr/>
              <w:t>具体经办工作上，市长护中心严格执行长护险政策、经办规程和管理办法，制定配套的承办工作管理办法并落实; 做好失能鉴定前的初步审查，包括入户调查、社区(邻里)调查、社区公示等；负责咨询受理，组织上门评估，协助失能评定委员会的专家评审和综合评定，将评估结果通知被评估人；开发建设长护险信息系统，并做好相关的升级、维护工作；做好长护保险待遇核查和基金支出的结算工作，重点对居家护理服务和人员生存情况进行核查，服务质量进行巡查稽核; 做好业务档案管理和个人信息保护工作;配合经办机构做好财务、政策宣传、信访接待工作受理鉴定、失能等级申诉争议、护理服务满意度调查评估等工作。包1包2中标公司必须精诚合作、密切配合，共同完成承办工作。包1中标公司提供免费使用的长护险信息系统并做好相关的升级、维护工作，中标公司制定内部岗位职责和内部考核指标，制定明确的长护险专户资金支付流程、长护中心费用分摊办法，共同做好长护中心管理工作。</w:t>
            </w:r>
          </w:p>
          <w:p>
            <w:pPr>
              <w:pStyle w:val="null3"/>
            </w:pPr>
            <w:r>
              <w:rPr/>
              <w:t>（四）长护险经办流程</w:t>
            </w:r>
          </w:p>
          <w:p>
            <w:pPr>
              <w:pStyle w:val="null3"/>
            </w:pPr>
            <w:r>
              <w:rPr/>
              <w:t>1. 参保缴费：长护险参保范围与职工基本医保参保范围一致，凡参加职工医保的必须同步参加长护保险，当年死亡的，当年继续参保，从死亡的下一年起停止参保。参保缴费采取按年申报、年度一次缴费方式在申报职工基本医疗保险时一并申报长护险。个人缴费部分由医保经办机构在划拨个人账户资金时直接扣减50元，年底由财政部门直接划转至长护险基金财政专户，缴费不再区分在职和退休，退休人员也必须缴纳长护险个人部分，当年死亡的，当年继续缴费，从死亡的下一年起停止缴费。未建立个人账户的参保人员，在每年缴纳职工医疗保险费时，在税务部门按标准缴纳。经有关部门认定并能提供认定证明的困难退休职工，个人缴纳25元。单位缴费部分按照当年参保人数与财政协商后由市财政部门从基本医疗保险统筹基金直接划转至长护险基金财政专户。财政补助一是按照参保人数，以企业参保地为准由参保地财政落实财政补助资金并直接上缴至基金财政专户，二是按照困难退休职工人数，补助个人缴纳部分的25元。</w:t>
            </w:r>
          </w:p>
          <w:p>
            <w:pPr>
              <w:pStyle w:val="null3"/>
            </w:pPr>
            <w:r>
              <w:rPr/>
              <w:t>2. 失能认定：在具体操作中，失能评定流程为提交申请--受理初审（前置调查）--上门评估--专家评审--综合鉴定--结果公示等环节。【待遇申请】参保人因老年、疾病、伤残等原因导致失能，经规范诊疗、失能状态持续6个月以上符合待遇申请条件的参保人员，其家属或代理人携带申请人参保凭证、身份证，诊断证明、病案，填写《汉中市长期护理保险参保人员失能评定申请表》等资料就近向各医保经办机构长护险窗口提交资料，申请人不在区分参保属地申请受理，也可通过参保人APP通过手机客户端进行申请受理。申请时申请人按照日常生活功能指数评价量表从进食、穿衣、大小便控制、用厕、洗澡、床椅转动等6个方面按照独立、需要帮助、依赖三个角度进行自评。工作人员现场对资料进行审核，对申请人提供材料不完整或不符合失能评定条件的，一次性告知其需要补正的全部材料或不符合失能评定条件的具体原因。经自评等级符合政策规定的失能评估标准时，进入失能等级评定环节。对不能确定是否符合失能等级评定条件的，安排前置调查，通过入户调查、邻里走访等进行初步审核，填写《前置调查报告》，调查不符合上门评估标准的不再安排上门评估。为减少群众多次申请跑路，在受理申请环节，申请人根据失能人员需求可一次性填写护理耗材配送或辅具租赁申请。【上门评估与异地评估】经初审符合失能评定条件的，失能评定委员会从评估人员库中随机抽取1名评估人员，同时指派1名工作人员组成评估小组，通过审核资料、调阅申请人治疗档案、现场评估等途径采集评估信息，评估人员进行邻里、社区走访，了解申请人生活自理情况，并列入评定依据。上门评估资料经评估人员签字确认后，上传至失能评定信息系统。评估人员本着客观、公正的原则采集评估信息，做好评定情况记录，并对评估结论的真实性负责。工作人员应做好评估信息采集全过程监督以及相关材料的归档管理等工作。需要进行有关检查和诊断的，申请人应提供有关检查和诊断证明。依托两家商保公司全国多地网点，实施异地实地上门评估，后期逐步采取异地实地上门评估和线上视频评估相结合的方式，按照线上录屏、线下录评估过程的模式，确保异地评估工作顺利开展。【综合鉴定】失能评定委员会每月一次对上门评估卷宗逐一进行审核讨论，做出评估结论。综合鉴定分为两个阶段，第一阶段为专家评审阶段，失能评定委员会办公室从评估专家库中随机抽取3名评估专家，通过对上门评估参保人的评估量表、评定分数、病案资料、影像视频等进行逐一讨论审核并签字确认，做出专家评定结论。第二阶段为综合评定阶段，将上门评估情况及专家评审相关情况上报市医疗保障局失能评定委员会研究审定，做出最终评定结论，出具评定结论。【结果公示】申请人经评定符合长护保险待遇享受条件的，评定结论在申请人常住地、市医疗保障部门门户网站等范围内公示，公示时间不少于7天，公示无异议后在10日内将评定结论送达申请人或其合法委托人。为确保参保人的权益，考虑到评估结论的谨慎性和个别申请人可能对评定结论有异议的，我们设置了【救济安排】环节进行政策救济。一是全过程自我纠偏。在各个评定环节发现可能存在有异议的，及时主动的复核纠偏，同时，按一定的比例定期或不定期对上门评估进行随机抽检，对有疑义卷宗进行上门复论送达后5个工作日内提出复评查。二是异议复审。经过自我纠偏后参保人仍有异议的可在评定结论送达后5个工作日内再次提出评定申请。复评时，从评定专家库中抽取1名评定专家与工作人员组成上门评定专家组对申请人进行现场调查复评并出具评定意见，由失能评定复议委员会做出复议最终结论，复议结论不再进行公示，但不影响复议后申请人6个月后再次提出失能评估申请。</w:t>
            </w:r>
          </w:p>
          <w:p>
            <w:pPr>
              <w:pStyle w:val="null3"/>
              <w:outlineLvl w:val="3"/>
            </w:pPr>
            <w:r>
              <w:rPr>
                <w:sz w:val="24"/>
                <w:b/>
              </w:rPr>
              <w:t>3. 护理服务：经评估符合待遇享受条件的人员，在公示结束后次月开始享受长护险待遇，根据自身情况选择相应护理服务。【机构护理服务】由服务机构为失能人员办理入住手续，并根据失能人员护理需求进行护理服务，并接受家属对服务质量的评价反馈。【机构上门护理服务】服务机构按照长护中心的派单名单，安排护理人员根据失能人员的病情和护理需求向失能人员或家属征询意见并制定服务计划，填写《汉中市长期护理保险护理服务申请表》，签订服务合同和上门护理服务风险知情书。服务机构将服务计划、护理人员等资料录入信息系统，并及时维护和更新。护理人员依据护理服务任务，提前与失能人员或家属预约上门服务时间。上门服务时需正规着装，佩戴工作牌，出示相关证件，进行手机APP定位打卡计时。结束护理服务后，护理人员填写护理记录，由失能人员或家属签字确认，形成上门护理服务确认单并再次进行APP打卡。【居家自主护理服务】除满足失能人居住地距离县城偏远无护理机构愿意提供上门服务的；有60岁以内且身体健康的自主照料人员（仅指直系亲属、家政人员、保姆），居住汉中市以外地区的，其他经认定可开展自主护理的四类人员，一般严格限制居家自主护理人数。家庭照护人员由长护中心负责按期进行培训、管理、考核，自主照护按月进行生存认证，补助费用在生存认证后的次月按月进行支付。【服务方式变更】服务计划调整：居家护理服务计划周期最短为一个月。失能人员因病情或身体机能发生变化需要调整服务计划时，失能人员或家属应在每月25号之前向护理服务机构提出，服务机构在当月底前完成服务计划的重新定制，录入系统后次月按照新服务计划执行。护理人员变更：待遇享受人员或家属提出变更护理人员，服务机构应与待遇享受人员或家属及时沟通，详细了解变更原因，及时核查，根据待遇享受人员或家属提出的问题和需求，安排专人进行解决。确实需要更换护理人员的，安排更换。护理机构变更：待遇享受人员或家属因居住地址发生变化要求变更护理机构的，向长护中心提出选择新的服务机构重新制定计划。服务终止：待遇享受人员因住院、外出、去世等原因需要终止服务的，应及时向协议服务机构提出申请。如需恢复，可重新申请恢复护理计划。【上门助浴服务】符合条件的失能人员可电话或前往经办窗口提出助浴服务申请，长护中心在核对信息后1个工作日内通知助浴服务机构。服务机构预约上门服务时间，进行浴前评估，按照《助浴护理服务工作规范》签署风险告知书，并展开相应的服务。【护理耗材及辅具租赁】符合条件的失能人员根据需求，可就近向长护窗口提出护理耗材或辅具租赁服务申请并填写相关的申请表。长护中心在做好信息核对后的3个工作日内，组织人员进行评估审核。包括但不限于查阅申请人评估时的病例和失能评估资料，必要时要指派人员入户核查。长护中心根据审核情况出具适配结论，对不符合适配要求的，要书面告知理由。申请人从签订护理耗材或辅具租赁服务协议之日起在有效的年度限额内享受待遇。</w:t>
            </w:r>
          </w:p>
          <w:p>
            <w:pPr>
              <w:pStyle w:val="null3"/>
            </w:pPr>
            <w:r>
              <w:rPr/>
              <w:t>4. 待遇审核及结算：符合规定的护理服务费用，按“月度拨付，年度考核、年终清算”的流程，服务机构于次月5日前将上月发生的护理费用在经办系统进行申报，并报送上月的费用结算单及加盖印章的汇总表。长护中心及时对计算机数据库数据、报表数据和结算申报表数据进行核对审核，按照医保待遇与长护待遇不重复享受原则，结合稽核回访情况，对符合规定的费用，由长护中心在10个工作日按合规费用的95%予以支付，其余5%作为服务质量保证金，于年底评估考核后进行结算。失能评定费用按照每人次200元（上门评估120元、专家评审80元）、异议复评每人次300元（由评估专家进行上门评估220元、专家评审80元），费用由长护中心按月汇总，次月直接支付给评人员和评估专家。居家自主护理和自主护理与上门结合方式的自主护理部分由家属按月进行手机端APP生存认证后按月支付给失能人员本人的社保卡和银行卡账户。</w:t>
            </w:r>
          </w:p>
          <w:p>
            <w:pPr>
              <w:pStyle w:val="null3"/>
            </w:pPr>
            <w:r>
              <w:rPr/>
              <w:t>5. 基金拨付及决算：基金拨付采用预拨制，市医保经办中心根据上一年度基金支出情况结合当年实际向市财政提交用款计划，年内按上年基金实际支出的90%预拨，其余部分年终决算后按决算结果执行。</w:t>
            </w:r>
          </w:p>
          <w:p>
            <w:pPr>
              <w:pStyle w:val="null3"/>
            </w:pPr>
            <w:r>
              <w:rPr/>
              <w:t>市医保经办机构按照财政拨付金额按6:4的比例分别拨付承办公司长护专户，承办公司具体对长护待遇和评估费用进行支付，市医保经办中心稽核管理。年度终了后，市医保经办机构按照市财政、医保、税务部门规定要求，编制年度基金决算草案，报告基金年度运行及管理情况。年度基金决算草案经市医疗保障、税务部门审校，由市财政部门审定，经市人大常委会审批，并报上级相关部门备案。最后根据采购合同、年度考核情况支付承办服务费用，承办服务费用财政不再单独拨款，承办方根据财政批复的年度决算和清算报告从承办各方长护险支出户中直接划转。</w:t>
            </w:r>
          </w:p>
          <w:p>
            <w:pPr>
              <w:pStyle w:val="null3"/>
            </w:pPr>
            <w:r>
              <w:rPr/>
              <w:t>6. 档案管理与数据统计分析：按照标准化、科学化的档案管理要求，在日常经办过程中采取“一人一档”方式，为每个失能人员建立了纸质及电子档案，内容包括申请人个人基本信息资料、待遇申请表、评定结论（包括复议）、待遇享受、核查记录、相关视频影像等资料。严格保密档案资料，全市所有档案统一保管、专区存放，专人管理。档案所有权归市医保经办中心，双方合作期间，档案由商保公司保管，存在在市长护中心，如不再继续合作，应将档案、系统数据等资料及时移交给市医保经办中心。强化对失能数据的统计分析，通过长护政策运行过程获取的各类信息，包括失能人员性别、年龄、失能原因、统计报表等数据，定期对重度失能人员失能原因及年龄分布进行分析，撰写分析报告，为政府政策制定老年人的疾病预防和健康管理提供参考。</w:t>
            </w:r>
          </w:p>
        </w:tc>
      </w:tr>
    </w:tbl>
    <w:p>
      <w:pPr>
        <w:pStyle w:val="null3"/>
        <w:outlineLvl w:val="3"/>
      </w:pPr>
      <w:r>
        <w:rPr>
          <w:sz w:val="24"/>
          <w:b/>
        </w:rPr>
        <w:t>3.2.3人员配置要求</w:t>
      </w:r>
    </w:p>
    <w:p>
      <w:pPr>
        <w:pStyle w:val="null3"/>
      </w:pPr>
      <w:r>
        <w:rPr/>
        <w:t>采购包1：</w:t>
      </w:r>
    </w:p>
    <w:p>
      <w:pPr>
        <w:pStyle w:val="null3"/>
      </w:pPr>
      <w:r>
        <w:rPr/>
        <w:t>详见3.2.2服务要求</w:t>
      </w:r>
    </w:p>
    <w:p>
      <w:pPr>
        <w:pStyle w:val="null3"/>
      </w:pPr>
      <w:r>
        <w:rPr/>
        <w:t>采购包2：</w:t>
      </w:r>
    </w:p>
    <w:p>
      <w:pPr>
        <w:pStyle w:val="null3"/>
      </w:pPr>
      <w:r>
        <w:rPr/>
        <w:t>详见3.2.2服务要求</w:t>
      </w:r>
    </w:p>
    <w:p>
      <w:pPr>
        <w:pStyle w:val="null3"/>
        <w:outlineLvl w:val="3"/>
      </w:pPr>
      <w:r>
        <w:rPr>
          <w:sz w:val="24"/>
          <w:b/>
        </w:rPr>
        <w:t>3.2.4设施设备配置要求</w:t>
      </w:r>
    </w:p>
    <w:p>
      <w:pPr>
        <w:pStyle w:val="null3"/>
      </w:pPr>
      <w:r>
        <w:rPr/>
        <w:t>采购包1：</w:t>
      </w:r>
    </w:p>
    <w:p>
      <w:pPr>
        <w:pStyle w:val="null3"/>
      </w:pPr>
      <w:r>
        <w:rPr/>
        <w:t>详见3.2.2服务要求</w:t>
      </w:r>
    </w:p>
    <w:p>
      <w:pPr>
        <w:pStyle w:val="null3"/>
      </w:pPr>
      <w:r>
        <w:rPr/>
        <w:t>采购包2：</w:t>
      </w:r>
    </w:p>
    <w:p>
      <w:pPr>
        <w:pStyle w:val="null3"/>
      </w:pPr>
      <w:r>
        <w:rPr/>
        <w:t>详见3.2.2服务要求</w:t>
      </w:r>
    </w:p>
    <w:p>
      <w:pPr>
        <w:pStyle w:val="null3"/>
        <w:outlineLvl w:val="3"/>
      </w:pPr>
      <w:r>
        <w:rPr>
          <w:sz w:val="24"/>
          <w:b/>
        </w:rPr>
        <w:t>3.2.5其他要求</w:t>
      </w:r>
    </w:p>
    <w:p>
      <w:pPr>
        <w:pStyle w:val="null3"/>
      </w:pPr>
      <w:r>
        <w:rPr/>
        <w:t>采购包1：</w:t>
      </w:r>
    </w:p>
    <w:p>
      <w:pPr>
        <w:pStyle w:val="null3"/>
      </w:pPr>
      <w:r>
        <w:rPr/>
        <w:t>详见3.2.2服务要求</w:t>
      </w:r>
    </w:p>
    <w:p>
      <w:pPr>
        <w:pStyle w:val="null3"/>
      </w:pPr>
      <w:r>
        <w:rPr/>
        <w:t>采购包2：</w:t>
      </w:r>
    </w:p>
    <w:p>
      <w:pPr>
        <w:pStyle w:val="null3"/>
      </w:pPr>
      <w:r>
        <w:rPr/>
        <w:t>详见3.2.2服务要求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承办服务期两年，自2025年1月1日起至2026年12月31日止。承办服务合同一次签两年，工作协议1年一签。 政府采购合同签订后，供应商须于2024年12月31日前完成长期护理保险承办所必需的准备工作（包含联合成立长护险服务中心），能够于2025年1月1日正式启动承办服务工作。其中包1中标供应商必须于2024年12月31日前完成汉中市长护系统本地化改造和数据迁移，确保系统于2025年1月1日起正式使用。</w:t>
      </w:r>
    </w:p>
    <w:p>
      <w:pPr>
        <w:pStyle w:val="null3"/>
      </w:pPr>
      <w:r>
        <w:rPr/>
        <w:t>采购包2：</w:t>
      </w:r>
    </w:p>
    <w:p>
      <w:pPr>
        <w:pStyle w:val="null3"/>
      </w:pPr>
      <w:r>
        <w:rPr/>
        <w:t>承办服务期两年，自2025年1月1日起至2026年12月31日止。承办服务合同一次签两年，工作协议1年一签。 政府采购合同签订后，供应商须于2024年12月31日前完成长期护理保险承办所必需的准备工作（包含联合成立长护险服务中心），能够于2025年1月1日正式启动承办服务工作。其中包1中标供应商必须于2024年12月31日前完成汉中市长护系统本地化改造和数据迁移，确保系统于2025年1月1日起正式使用。</w:t>
      </w:r>
    </w:p>
    <w:p>
      <w:pPr>
        <w:pStyle w:val="null3"/>
        <w:outlineLvl w:val="3"/>
      </w:pPr>
      <w:r>
        <w:rPr>
          <w:sz w:val="24"/>
          <w:b/>
        </w:rPr>
        <w:t>3.3.2服务地点</w:t>
      </w:r>
    </w:p>
    <w:p>
      <w:pPr>
        <w:pStyle w:val="null3"/>
      </w:pPr>
      <w:r>
        <w:rPr/>
        <w:t>采购包1：</w:t>
      </w:r>
    </w:p>
    <w:p>
      <w:pPr>
        <w:pStyle w:val="null3"/>
      </w:pPr>
      <w:r>
        <w:rPr/>
        <w:t>根据采购需求</w:t>
      </w:r>
    </w:p>
    <w:p>
      <w:pPr>
        <w:pStyle w:val="null3"/>
      </w:pPr>
      <w:r>
        <w:rPr/>
        <w:t>采购包2：</w:t>
      </w:r>
    </w:p>
    <w:p>
      <w:pPr>
        <w:pStyle w:val="null3"/>
      </w:pPr>
      <w:r>
        <w:rPr/>
        <w:t>根据采购需求</w:t>
      </w:r>
    </w:p>
    <w:p>
      <w:pPr>
        <w:pStyle w:val="null3"/>
        <w:outlineLvl w:val="3"/>
      </w:pPr>
      <w:r>
        <w:rPr>
          <w:sz w:val="24"/>
          <w:b/>
        </w:rPr>
        <w:t>3.3.3考核（验收）标准和方法</w:t>
      </w:r>
    </w:p>
    <w:p>
      <w:pPr>
        <w:pStyle w:val="null3"/>
      </w:pPr>
      <w:r>
        <w:rPr/>
        <w:t>采购包1：</w:t>
      </w:r>
    </w:p>
    <w:p>
      <w:pPr>
        <w:pStyle w:val="null3"/>
      </w:pPr>
      <w:r>
        <w:rPr/>
        <w:t>详见采购合同</w:t>
      </w:r>
    </w:p>
    <w:p>
      <w:pPr>
        <w:pStyle w:val="null3"/>
      </w:pPr>
      <w:r>
        <w:rPr/>
        <w:t>采购包2：</w:t>
      </w:r>
    </w:p>
    <w:p>
      <w:pPr>
        <w:pStyle w:val="null3"/>
      </w:pPr>
      <w:r>
        <w:rPr/>
        <w:t>详见采购合同</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承办服务费不提前支付，年终经医保、财政部门决算后按决算结果执行</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承办服务费不提前支付，年终经医保、财政部门决算后按决算结果执行</w:t>
      </w:r>
      <w:r>
        <w:rPr/>
        <w:t xml:space="preserve"> ，达到付款条件起 </w:t>
      </w:r>
      <w:r>
        <w:rPr/>
        <w:t>30</w:t>
      </w:r>
      <w:r>
        <w:rPr/>
        <w:t xml:space="preserve"> 日内，支付合同总金额的 </w:t>
      </w:r>
      <w:r>
        <w:rPr/>
        <w:t>100.00</w:t>
      </w:r>
      <w:r>
        <w:rPr/>
        <w:t>%。</w:t>
      </w:r>
    </w:p>
    <w:p>
      <w:pPr>
        <w:pStyle w:val="null3"/>
        <w:outlineLvl w:val="3"/>
      </w:pPr>
      <w:r>
        <w:rPr>
          <w:sz w:val="24"/>
          <w:b/>
        </w:rPr>
        <w:t>3.3.6违约责任与解决争议的方法</w:t>
      </w:r>
    </w:p>
    <w:p>
      <w:pPr>
        <w:pStyle w:val="null3"/>
      </w:pPr>
      <w:r>
        <w:rPr/>
        <w:t>采购包1：</w:t>
      </w:r>
    </w:p>
    <w:p>
      <w:pPr>
        <w:pStyle w:val="null3"/>
      </w:pPr>
      <w:r>
        <w:rPr/>
        <w:t>详见采购合同</w:t>
      </w:r>
    </w:p>
    <w:p>
      <w:pPr>
        <w:pStyle w:val="null3"/>
      </w:pPr>
      <w:r>
        <w:rPr/>
        <w:t>采购包2：</w:t>
      </w:r>
    </w:p>
    <w:p>
      <w:pPr>
        <w:pStyle w:val="null3"/>
      </w:pPr>
      <w:r>
        <w:rPr/>
        <w:t>详见采购合同</w:t>
      </w:r>
    </w:p>
    <w:p>
      <w:pPr>
        <w:pStyle w:val="null3"/>
        <w:jc w:val="left"/>
        <w:outlineLvl w:val="2"/>
      </w:pPr>
      <w:r>
        <w:rPr>
          <w:sz w:val="28"/>
          <w:b/>
        </w:rPr>
        <w:t>3.5其他要求</w:t>
      </w:r>
    </w:p>
    <w:p>
      <w:pPr>
        <w:pStyle w:val="null3"/>
      </w:pPr>
      <w:r>
        <w:rPr/>
        <w:t>投标人可就本项目2个采购包投标，但每家投标人只能中标1个采购包，评标将按采购包1、2顺序进行，同时参加两个采购包投标的投标人若在前一个包作为第一中标候选人被推荐，后一个包可继续参与评审，但不作为中标候选人推荐。</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1.投标人合法注册的法人或其他组织的营业执照等证明文件，自然人的身份证明； 3.提供开标前六个月内任意一个月依法缴纳税收和社会保障资金的证明材料复印件； 4.具备履行合同所必需的设备和专业技术能力的承诺书； 5.投标人参加政府采购活动前3年内在经营活动中没有重大违法记录的书面声明书。</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2.投标人提供2023年度的财务审计报告复印件，或本年度基本开户银行出具的资信证明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1.投标人合法注册的法人或其他组织的营业执照等证明文件，自然人的身份证明； 3.提供开标前六个月内任意一个月依法缴纳税收和社会保障资金的证明材料复印件； 4.具备履行合同所必需的设备和专业技术能力的承诺书； 5.投标人参加政府采购活动前3年内在经营活动中没有重大违法记录的书面声明书。</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2.投标人提供2023年度的财务审计报告复印件，或本年度基本开户银行出具的资信证明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特定资格要求1</w:t>
            </w:r>
          </w:p>
        </w:tc>
        <w:tc>
          <w:tcPr>
            <w:tcW w:type="dxa" w:w="3322"/>
          </w:tcPr>
          <w:p>
            <w:pPr>
              <w:pStyle w:val="null3"/>
            </w:pPr>
            <w:r>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特定资格要求2</w:t>
            </w:r>
          </w:p>
        </w:tc>
        <w:tc>
          <w:tcPr>
            <w:tcW w:type="dxa" w:w="3322"/>
          </w:tcPr>
          <w:p>
            <w:pPr>
              <w:pStyle w:val="null3"/>
            </w:pPr>
            <w:r>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特定资格要求3</w:t>
            </w:r>
          </w:p>
        </w:tc>
        <w:tc>
          <w:tcPr>
            <w:tcW w:type="dxa" w:w="3322"/>
          </w:tcPr>
          <w:p>
            <w:pPr>
              <w:pStyle w:val="null3"/>
            </w:pPr>
            <w:r>
              <w:rPr/>
              <w:t>投标人须为保险公司总公司或总公司授权的唯一地市级及以上分支机构。分支机构参与投标时需提供总公司授权书</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特定资格要求4</w:t>
            </w:r>
          </w:p>
        </w:tc>
        <w:tc>
          <w:tcPr>
            <w:tcW w:type="dxa" w:w="3322"/>
          </w:tcPr>
          <w:p>
            <w:pPr>
              <w:pStyle w:val="null3"/>
            </w:pPr>
            <w:r>
              <w:rPr/>
              <w:t>投标人单位负责人为同一人或者 存在直接控股、管理关系的不同投标人，不得同时参加本次采购活动。</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特定资格要求5</w:t>
            </w:r>
          </w:p>
        </w:tc>
        <w:tc>
          <w:tcPr>
            <w:tcW w:type="dxa" w:w="3322"/>
          </w:tcPr>
          <w:p>
            <w:pPr>
              <w:pStyle w:val="null3"/>
            </w:pPr>
            <w:r>
              <w:rPr/>
              <w:t>为本项目提供整体设计、规范编制或者项目管理、监理、检测等服务的供应商，不得再参加该采购项目的其他采购活动。</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特定资格要求1</w:t>
            </w:r>
          </w:p>
        </w:tc>
        <w:tc>
          <w:tcPr>
            <w:tcW w:type="dxa" w:w="3322"/>
          </w:tcPr>
          <w:p>
            <w:pPr>
              <w:pStyle w:val="null3"/>
            </w:pPr>
            <w:r>
              <w:rPr/>
              <w:t>投标人在递交投标文件截止时间前被“信用中国”网站（www.credi tchina.gov.cn）和中国政府采购网（www.ccgp.gov.cn）上被列入失信被执行人、重大税收违法失信主体、政府采购严重违法失信行为记录名单的，不得参加投标。</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特定资格要求2</w:t>
            </w:r>
          </w:p>
        </w:tc>
        <w:tc>
          <w:tcPr>
            <w:tcW w:type="dxa" w:w="3322"/>
          </w:tcPr>
          <w:p>
            <w:pPr>
              <w:pStyle w:val="null3"/>
            </w:pPr>
            <w:r>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特定资格要求3</w:t>
            </w:r>
          </w:p>
        </w:tc>
        <w:tc>
          <w:tcPr>
            <w:tcW w:type="dxa" w:w="3322"/>
          </w:tcPr>
          <w:p>
            <w:pPr>
              <w:pStyle w:val="null3"/>
            </w:pPr>
            <w:r>
              <w:rPr/>
              <w:t>投标人须为保险公司总公司或总公司授权的唯一地市级及以上分支机构。分支机构参与投标时需提供总公司授权书</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特定资格要求4</w:t>
            </w:r>
          </w:p>
        </w:tc>
        <w:tc>
          <w:tcPr>
            <w:tcW w:type="dxa" w:w="3322"/>
          </w:tcPr>
          <w:p>
            <w:pPr>
              <w:pStyle w:val="null3"/>
            </w:pPr>
            <w:r>
              <w:rPr/>
              <w:t>投标人单位负责人为同一人或者 存在直接控股、管理关系的不同投标人，不得同时参加本次采购活动。</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特定资格要求5</w:t>
            </w:r>
          </w:p>
        </w:tc>
        <w:tc>
          <w:tcPr>
            <w:tcW w:type="dxa" w:w="3322"/>
          </w:tcPr>
          <w:p>
            <w:pPr>
              <w:pStyle w:val="null3"/>
            </w:pPr>
            <w:r>
              <w:rPr/>
              <w:t>为本项目提供整体设计、规范编制或者项目管理、监理、检测等服务的供应商，不得再参加该采购项目的其他采购活动。</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投标文件按照招标文件要求签署、盖章。</w:t>
            </w:r>
          </w:p>
        </w:tc>
        <w:tc>
          <w:tcPr>
            <w:tcW w:type="dxa" w:w="1661"/>
          </w:tcPr>
          <w:p>
            <w:pPr>
              <w:pStyle w:val="null3"/>
            </w:pPr>
            <w:r>
              <w:rPr/>
              <w:t>开标一览表 投标函 投标文件封面</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投标人的投标报价未超出上限费率（3%）。</w:t>
            </w:r>
          </w:p>
        </w:tc>
        <w:tc>
          <w:tcPr>
            <w:tcW w:type="dxa" w:w="1661"/>
          </w:tcPr>
          <w:p>
            <w:pPr>
              <w:pStyle w:val="null3"/>
            </w:pPr>
            <w:r>
              <w:rPr/>
              <w:t>开标一览表 投标函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投标有效期符合招标文件要求的（提交投标文件的截止之日起不少于90天）</w:t>
            </w:r>
          </w:p>
        </w:tc>
        <w:tc>
          <w:tcPr>
            <w:tcW w:type="dxa" w:w="1661"/>
          </w:tcPr>
          <w:p>
            <w:pPr>
              <w:pStyle w:val="null3"/>
            </w:pPr>
            <w:r>
              <w:rPr/>
              <w:t>开标一览表 投标函</w:t>
            </w:r>
          </w:p>
        </w:tc>
      </w:tr>
      <w:tr>
        <w:tc>
          <w:tcPr>
            <w:tcW w:type="dxa" w:w="831"/>
          </w:tcPr>
          <w:p>
            <w:pPr>
              <w:pStyle w:val="null3"/>
            </w:pPr>
            <w:r>
              <w:rPr/>
              <w:t>5</w:t>
            </w:r>
          </w:p>
        </w:tc>
        <w:tc>
          <w:tcPr>
            <w:tcW w:type="dxa" w:w="2492"/>
          </w:tcPr>
          <w:p>
            <w:pPr>
              <w:pStyle w:val="null3"/>
            </w:pPr>
            <w:r>
              <w:rPr/>
              <w:t>报价合理性</w:t>
            </w:r>
          </w:p>
        </w:tc>
        <w:tc>
          <w:tcPr>
            <w:tcW w:type="dxa" w:w="3322"/>
          </w:tcPr>
          <w:p>
            <w:pPr>
              <w:pStyle w:val="null3"/>
            </w:pPr>
            <w:r>
              <w:rPr/>
              <w:t>投标人的报价没有出现明显低于其他通过符合性审查投标人的报价，没有影响产品质量且能诚信履约，投标人能证明其报价合理性。</w:t>
            </w:r>
          </w:p>
        </w:tc>
        <w:tc>
          <w:tcPr>
            <w:tcW w:type="dxa" w:w="1661"/>
          </w:tcPr>
          <w:p>
            <w:pPr>
              <w:pStyle w:val="null3"/>
            </w:pPr>
            <w:r>
              <w:rPr/>
              <w:t>开标一览表 投标函</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投标保证金提交的金额、形式符合招标文件要求。</w:t>
            </w:r>
          </w:p>
        </w:tc>
        <w:tc>
          <w:tcPr>
            <w:tcW w:type="dxa" w:w="1661"/>
          </w:tcPr>
          <w:p>
            <w:pPr>
              <w:pStyle w:val="null3"/>
            </w:pPr>
            <w:r>
              <w:rPr/>
              <w:t>投标保证金</w:t>
            </w:r>
          </w:p>
        </w:tc>
      </w:tr>
      <w:tr>
        <w:tc>
          <w:tcPr>
            <w:tcW w:type="dxa" w:w="831"/>
          </w:tcPr>
          <w:p>
            <w:pPr>
              <w:pStyle w:val="null3"/>
            </w:pPr>
            <w:r>
              <w:rPr/>
              <w:t>7</w:t>
            </w:r>
          </w:p>
        </w:tc>
        <w:tc>
          <w:tcPr>
            <w:tcW w:type="dxa" w:w="2492"/>
          </w:tcPr>
          <w:p>
            <w:pPr>
              <w:pStyle w:val="null3"/>
            </w:pPr>
            <w:r>
              <w:rPr/>
              <w:t>投标内容</w:t>
            </w:r>
          </w:p>
        </w:tc>
        <w:tc>
          <w:tcPr>
            <w:tcW w:type="dxa" w:w="3322"/>
          </w:tcPr>
          <w:p>
            <w:pPr>
              <w:pStyle w:val="null3"/>
            </w:pPr>
            <w:r>
              <w:rPr/>
              <w:t>投标内容未出现漏项或与要求不符或投标内容的技术指标达不到招标文件要求，未造成采购档次降低或影响服务质量。</w:t>
            </w:r>
          </w:p>
        </w:tc>
        <w:tc>
          <w:tcPr>
            <w:tcW w:type="dxa" w:w="1661"/>
          </w:tcPr>
          <w:p>
            <w:pPr>
              <w:pStyle w:val="null3"/>
            </w:pPr>
            <w:r>
              <w:rPr/>
              <w:t>服务内容及服务邀请应答表 商务应答表 服务方案</w:t>
            </w:r>
          </w:p>
        </w:tc>
      </w:tr>
      <w:tr>
        <w:tc>
          <w:tcPr>
            <w:tcW w:type="dxa" w:w="831"/>
          </w:tcPr>
          <w:p>
            <w:pPr>
              <w:pStyle w:val="null3"/>
            </w:pPr>
            <w:r>
              <w:rPr/>
              <w:t>8</w:t>
            </w:r>
          </w:p>
        </w:tc>
        <w:tc>
          <w:tcPr>
            <w:tcW w:type="dxa" w:w="2492"/>
          </w:tcPr>
          <w:p>
            <w:pPr>
              <w:pStyle w:val="null3"/>
            </w:pPr>
            <w:r>
              <w:rPr/>
              <w:t>付款方式</w:t>
            </w:r>
          </w:p>
        </w:tc>
        <w:tc>
          <w:tcPr>
            <w:tcW w:type="dxa" w:w="3322"/>
          </w:tcPr>
          <w:p>
            <w:pPr>
              <w:pStyle w:val="null3"/>
            </w:pPr>
            <w:r>
              <w:rPr/>
              <w:t>付款方式为实质性条款，投标人必须完全响应，不允许偏离，否则按照废标处理。</w:t>
            </w:r>
          </w:p>
        </w:tc>
        <w:tc>
          <w:tcPr>
            <w:tcW w:type="dxa" w:w="1661"/>
          </w:tcPr>
          <w:p>
            <w:pPr>
              <w:pStyle w:val="null3"/>
            </w:pPr>
            <w:r>
              <w:rPr/>
              <w:t>服务内容及服务邀请应答表 商务应答表</w:t>
            </w:r>
          </w:p>
        </w:tc>
      </w:tr>
      <w:tr>
        <w:tc>
          <w:tcPr>
            <w:tcW w:type="dxa" w:w="831"/>
          </w:tcPr>
          <w:p>
            <w:pPr>
              <w:pStyle w:val="null3"/>
            </w:pPr>
            <w:r>
              <w:rPr/>
              <w:t>9</w:t>
            </w:r>
          </w:p>
        </w:tc>
        <w:tc>
          <w:tcPr>
            <w:tcW w:type="dxa" w:w="2492"/>
          </w:tcPr>
          <w:p>
            <w:pPr>
              <w:pStyle w:val="null3"/>
            </w:pPr>
            <w:r>
              <w:rPr/>
              <w:t>其它情形</w:t>
            </w:r>
          </w:p>
        </w:tc>
        <w:tc>
          <w:tcPr>
            <w:tcW w:type="dxa" w:w="3322"/>
          </w:tcPr>
          <w:p>
            <w:pPr>
              <w:pStyle w:val="null3"/>
            </w:pPr>
            <w:r>
              <w:rPr/>
              <w:t>不存在其它不符合法律法规或招标文件规定的投标无效条款。</w:t>
            </w:r>
          </w:p>
        </w:tc>
        <w:tc>
          <w:tcPr>
            <w:tcW w:type="dxa" w:w="1661"/>
          </w:tcPr>
          <w:p>
            <w:pPr>
              <w:pStyle w:val="null3"/>
            </w:pPr>
            <w:r>
              <w:rPr/>
              <w:t>服务内容及服务邀请应答表 投标函 商务应答表 服务方案</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投标文件按照招标文件要求签署、盖章。</w:t>
            </w:r>
          </w:p>
        </w:tc>
        <w:tc>
          <w:tcPr>
            <w:tcW w:type="dxa" w:w="1661"/>
          </w:tcPr>
          <w:p>
            <w:pPr>
              <w:pStyle w:val="null3"/>
            </w:pPr>
            <w:r>
              <w:rPr/>
              <w:t>开标一览表 投标函 投标文件封面</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投标人的投标报价未超出上限费率（3%）。</w:t>
            </w:r>
          </w:p>
        </w:tc>
        <w:tc>
          <w:tcPr>
            <w:tcW w:type="dxa" w:w="1661"/>
          </w:tcPr>
          <w:p>
            <w:pPr>
              <w:pStyle w:val="null3"/>
            </w:pPr>
            <w:r>
              <w:rPr/>
              <w:t>开标一览表 投标函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投标有效期符合招标文件要求的（提交投标文件的截止之日起不少于90天）</w:t>
            </w:r>
          </w:p>
        </w:tc>
        <w:tc>
          <w:tcPr>
            <w:tcW w:type="dxa" w:w="1661"/>
          </w:tcPr>
          <w:p>
            <w:pPr>
              <w:pStyle w:val="null3"/>
            </w:pPr>
            <w:r>
              <w:rPr/>
              <w:t>开标一览表 投标函</w:t>
            </w:r>
          </w:p>
        </w:tc>
      </w:tr>
      <w:tr>
        <w:tc>
          <w:tcPr>
            <w:tcW w:type="dxa" w:w="831"/>
          </w:tcPr>
          <w:p>
            <w:pPr>
              <w:pStyle w:val="null3"/>
            </w:pPr>
            <w:r>
              <w:rPr/>
              <w:t>5</w:t>
            </w:r>
          </w:p>
        </w:tc>
        <w:tc>
          <w:tcPr>
            <w:tcW w:type="dxa" w:w="2492"/>
          </w:tcPr>
          <w:p>
            <w:pPr>
              <w:pStyle w:val="null3"/>
            </w:pPr>
            <w:r>
              <w:rPr/>
              <w:t>报价合理性</w:t>
            </w:r>
          </w:p>
        </w:tc>
        <w:tc>
          <w:tcPr>
            <w:tcW w:type="dxa" w:w="3322"/>
          </w:tcPr>
          <w:p>
            <w:pPr>
              <w:pStyle w:val="null3"/>
            </w:pPr>
            <w:r>
              <w:rPr/>
              <w:t>投标人的报价没有出现明显低于其他通过符合性审查投标人的报价，没有影响产品质量且能诚信履约，投标人能证明其报价合理性。</w:t>
            </w:r>
          </w:p>
        </w:tc>
        <w:tc>
          <w:tcPr>
            <w:tcW w:type="dxa" w:w="1661"/>
          </w:tcPr>
          <w:p>
            <w:pPr>
              <w:pStyle w:val="null3"/>
            </w:pPr>
            <w:r>
              <w:rPr/>
              <w:t>开标一览表 投标函</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投标保证金提交的金额、形式符合招标文件要求。</w:t>
            </w:r>
          </w:p>
        </w:tc>
        <w:tc>
          <w:tcPr>
            <w:tcW w:type="dxa" w:w="1661"/>
          </w:tcPr>
          <w:p>
            <w:pPr>
              <w:pStyle w:val="null3"/>
            </w:pPr>
            <w:r>
              <w:rPr/>
              <w:t>投标保证金</w:t>
            </w:r>
          </w:p>
        </w:tc>
      </w:tr>
      <w:tr>
        <w:tc>
          <w:tcPr>
            <w:tcW w:type="dxa" w:w="831"/>
          </w:tcPr>
          <w:p>
            <w:pPr>
              <w:pStyle w:val="null3"/>
            </w:pPr>
            <w:r>
              <w:rPr/>
              <w:t>7</w:t>
            </w:r>
          </w:p>
        </w:tc>
        <w:tc>
          <w:tcPr>
            <w:tcW w:type="dxa" w:w="2492"/>
          </w:tcPr>
          <w:p>
            <w:pPr>
              <w:pStyle w:val="null3"/>
            </w:pPr>
            <w:r>
              <w:rPr/>
              <w:t>投标内容</w:t>
            </w:r>
          </w:p>
        </w:tc>
        <w:tc>
          <w:tcPr>
            <w:tcW w:type="dxa" w:w="3322"/>
          </w:tcPr>
          <w:p>
            <w:pPr>
              <w:pStyle w:val="null3"/>
            </w:pPr>
            <w:r>
              <w:rPr/>
              <w:t>投标内容未出现漏项或与要求不符或投标内容的技术指标达不到招标文件要求，未造成采购档次降低或影响服务质量。</w:t>
            </w:r>
          </w:p>
        </w:tc>
        <w:tc>
          <w:tcPr>
            <w:tcW w:type="dxa" w:w="1661"/>
          </w:tcPr>
          <w:p>
            <w:pPr>
              <w:pStyle w:val="null3"/>
            </w:pPr>
            <w:r>
              <w:rPr/>
              <w:t>服务内容及服务邀请应答表 商务应答表 服务方案</w:t>
            </w:r>
          </w:p>
        </w:tc>
      </w:tr>
      <w:tr>
        <w:tc>
          <w:tcPr>
            <w:tcW w:type="dxa" w:w="831"/>
          </w:tcPr>
          <w:p>
            <w:pPr>
              <w:pStyle w:val="null3"/>
            </w:pPr>
            <w:r>
              <w:rPr/>
              <w:t>8</w:t>
            </w:r>
          </w:p>
        </w:tc>
        <w:tc>
          <w:tcPr>
            <w:tcW w:type="dxa" w:w="2492"/>
          </w:tcPr>
          <w:p>
            <w:pPr>
              <w:pStyle w:val="null3"/>
            </w:pPr>
            <w:r>
              <w:rPr/>
              <w:t>付款方式</w:t>
            </w:r>
          </w:p>
        </w:tc>
        <w:tc>
          <w:tcPr>
            <w:tcW w:type="dxa" w:w="3322"/>
          </w:tcPr>
          <w:p>
            <w:pPr>
              <w:pStyle w:val="null3"/>
            </w:pPr>
            <w:r>
              <w:rPr/>
              <w:t>付款方式为实质性条款，投标人必须完全响应，不允许偏离，否则按照废标处理。</w:t>
            </w:r>
          </w:p>
        </w:tc>
        <w:tc>
          <w:tcPr>
            <w:tcW w:type="dxa" w:w="1661"/>
          </w:tcPr>
          <w:p>
            <w:pPr>
              <w:pStyle w:val="null3"/>
            </w:pPr>
            <w:r>
              <w:rPr/>
              <w:t>服务内容及服务邀请应答表 商务应答表</w:t>
            </w:r>
          </w:p>
        </w:tc>
      </w:tr>
      <w:tr>
        <w:tc>
          <w:tcPr>
            <w:tcW w:type="dxa" w:w="831"/>
          </w:tcPr>
          <w:p>
            <w:pPr>
              <w:pStyle w:val="null3"/>
            </w:pPr>
            <w:r>
              <w:rPr/>
              <w:t>9</w:t>
            </w:r>
          </w:p>
        </w:tc>
        <w:tc>
          <w:tcPr>
            <w:tcW w:type="dxa" w:w="2492"/>
          </w:tcPr>
          <w:p>
            <w:pPr>
              <w:pStyle w:val="null3"/>
            </w:pPr>
            <w:r>
              <w:rPr/>
              <w:t>其它情形</w:t>
            </w:r>
          </w:p>
        </w:tc>
        <w:tc>
          <w:tcPr>
            <w:tcW w:type="dxa" w:w="3322"/>
          </w:tcPr>
          <w:p>
            <w:pPr>
              <w:pStyle w:val="null3"/>
            </w:pPr>
            <w:r>
              <w:rPr/>
              <w:t>不存在其它不符合法律法规或招标文件规定的投标无效条款。</w:t>
            </w:r>
          </w:p>
        </w:tc>
        <w:tc>
          <w:tcPr>
            <w:tcW w:type="dxa" w:w="1661"/>
          </w:tcPr>
          <w:p>
            <w:pPr>
              <w:pStyle w:val="null3"/>
            </w:pPr>
            <w:r>
              <w:rPr/>
              <w:t>服务内容及服务邀请应答表 投标函 商务应答表 服务方案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总体服务方案</w:t>
            </w:r>
          </w:p>
        </w:tc>
        <w:tc>
          <w:tcPr>
            <w:tcW w:type="dxa" w:w="2492"/>
          </w:tcPr>
          <w:p>
            <w:pPr>
              <w:pStyle w:val="null3"/>
            </w:pPr>
            <w:r>
              <w:rPr/>
              <w:t>根据投标人针对本项目的总体服务方案，方案内容包括： ①总体实施计划：对承办项目的整体思路、工作重点、阶段性工作安排进行论述； ②具体服务流程：根据业务推进运营具体的服务工作环节进行梳理； ③失能评估方案：长护险失能评估开展、评估管理； ④定点机构管理：护理机构的日常监督、考核的方案； ⑤服务监督稽核方案：对失能人员、护理人员等的稽核巡查方案； ⑥服务质量保障措施：经办运营质效的保障措施； ⑦培训及宣传方案：服务期间内项目的培训计划和方案，宣传计划、方案和次数； ⑧经办中心建设方案：包含但不限于办公场所、办公设备、车辆等情况； ⑨群众满意度回访和服务质量评价方案：包含但不限于回访制度，服务评价制度，工作流程，回访率等。 根据方案内容进行评分。 评审标准：1.方案充实完善、措施得当、可操作性强、内容丰富、适合实际，得15.01-18分； 2.方案较充实完善、措施较得当、可操作性较强、内容较丰富、较适合实际，得10.01-15分； 3.方案基本完善、措施基本得当、具有可操作性、内容较一般、基本适合实际，得5.01-10分； 4.方案不完善、措施一般、可操作性较差、内容一般、脱离实际，得0-5分。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牵头组织经办方案</w:t>
            </w:r>
          </w:p>
        </w:tc>
        <w:tc>
          <w:tcPr>
            <w:tcW w:type="dxa" w:w="2492"/>
          </w:tcPr>
          <w:p>
            <w:pPr>
              <w:pStyle w:val="null3"/>
            </w:pPr>
            <w:r>
              <w:rPr/>
              <w:t>根据投标人提供的牵头组织经办工作方案进行综合评审。包括牵头组建汉中市长护险经办服务中心和建立全市统一规范的经办工作实施方案。包括但不限于组织机构、任务划分、人员整合、岗位职责，经办标准、经办流程、监督管理、网点设置、宣传培训、投诉处理等长护险全流程经办过程和投标人认为后续可能遇到的需和包2中标方协调的各类问题，根据方案内容进行评分。 评审标准： 1.针对项目实际情况拟定的牵头组织方案和经办中心组建方案，制度的内容详细具体，符合招标人及项目特点，操作性强，也明确了各环节、各任务中各方的责任及应承担的义务，能为项目有序实施提供保障，得6.01-8分 2.投标人提出的牵头组织方案具有合理性及一定的可操作性，对于可能出现的问题预判不够详尽，可能不能很好的协调好各方之间的利害关系，得3.01-6分。 3.未提供牵头组织方案，或提供的组织方案对于可能出现的问题权责划分不清晰，可能会对后续保险运行产生负面影响，得0-3分。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财务管理制度方案</w:t>
            </w:r>
          </w:p>
        </w:tc>
        <w:tc>
          <w:tcPr>
            <w:tcW w:type="dxa" w:w="2492"/>
          </w:tcPr>
          <w:p>
            <w:pPr>
              <w:pStyle w:val="null3"/>
            </w:pPr>
            <w:r>
              <w:rPr/>
              <w:t>根据项目需求和财务管理制度，投标人应制定完善的财务管理制度方案。包括但不限于资金监管制度、专项资金管理制度，实行专人管理、专户存储、单独核算、专项使用、全过程监控、信息调度、数据统计、基金运行分析等，根据方案内容进行评分。 评审标准： 1.方案科学完整，流程合理，可行性强、完全能够满足业务需要，得4.01-5分。 2.方案比较完整，流程比较合理，可行性较强，基本满足业务需要，得2.01-4分。 3.方案基本完整、流程基本合理、可行性一般，得0-2分。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项目服务团队</w:t>
            </w:r>
          </w:p>
        </w:tc>
        <w:tc>
          <w:tcPr>
            <w:tcW w:type="dxa" w:w="2492"/>
          </w:tcPr>
          <w:p>
            <w:pPr>
              <w:pStyle w:val="null3"/>
            </w:pPr>
            <w:r>
              <w:rPr/>
              <w:t>（一）项目负责人（仅限已就职投标人所在的公司）： 根据投标人为本项目配备的长期护理保险项目负责人进行评分： 具有大专及以上学历得1分，具有类似项目工作经验得2分，本项最高得3分。 注：须提供项目负责人的身份证、学历证、类似项目证明材料（证明材料为合同或委托方出具的其它证明材料，其中应明确体现负责人姓名）、2024年任意连续三个月社保缴纳证明材料。 （二）团队综合实力： 根据服务团队（不含项目负责人）综合实力进行评分： 1.投标人配备至少21人的专职服务团队，得5分，少1人不得分。 2.服务团队中配备至少6名医学专业背景的人员、1名财会专业背景的人员，得4分，每少1人扣1分，扣完为止。 3.服务团队中配备至少5名有健康保险类项目工作经验的，得2分，每少1人扣1分，扣完为止。 注：须提供团队成员名单及人员资料，人员资料包括身份证、学历证、职称证书（若有）、资格证书（若有）、参与过的类似项目工作经验证明材料（需体现人员姓名）、2024年任意连续三个月社保缴纳证明材料。 （三）投标人上级公司能够提供相关工作经验的专家支持（须提供相关证明材料及社保缴费证明材料，应明确体现该项目成员姓名），得1分，未提供不得分。 （四）团队管理方案 投标人根据本项目招标需求提出切实可行的团队管理制度，包括但不限于管理理念、人员分工、岗位职责、工作对接流程、绩效考核、奖惩机制等，根据方案内容进行评分。 1.管理方案要素完整、内容详细具体，能保证项目的顺利有序实施，得3.01-4分； 2.管理方案中包括了人员分工、岗位职责、工作对接流程等主要方面的工作，基本保证项目的正常进行，得2.01-3分； 3.未提供管理方案，或提供的管理方案粗略、简单复制、不能达到本项目实际管理需求，得0-2分。 （五）承诺书 投标人不得随意更换拟派往本项目的项目负责人。团队人员有变动的，投标人可更换相关人员，并及时增补综合素质同等或有优于该人员的新成员，承诺内容齐全得1分，未承诺或承诺不齐全不得分。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信息系统</w:t>
            </w:r>
          </w:p>
        </w:tc>
        <w:tc>
          <w:tcPr>
            <w:tcW w:type="dxa" w:w="2492"/>
          </w:tcPr>
          <w:p>
            <w:pPr>
              <w:pStyle w:val="null3"/>
            </w:pPr>
            <w:r>
              <w:rPr/>
              <w:t>1.根据投标人的长期护理保险管理信息系统建设方案，包括但不限于框架结构、业务流程设计、参保数据管理、申请受理管理、失能评估管理、服务机构管理、护理服务和护理过程跟踪管理、服务评价管理、结算支付管理、档案管理、稽核巡查、智能监控等，根据方案内容进行评分。 方案内容详细，系统功能完善，可行性强，完全满足采购人要求得6.01-8分。 方案内容比较详细，系统功能比较完善，可行性较强，基本满足采购人要求得3.01-6分。 方案内容基本详细，系统功能基本完善，可行性一般，满足采购人最低要求得0-3分。 2.承诺在2024年12月31日前，完成系统本地化改造和数据迁移工作的，保证在2025年1月1日起正常使用的得1分。提供承诺书，未提供不得分。 3.针对长护险经办管理系统存在的不足能够提出可行性的整改建议及技术支持和应急方案的，得0-1分。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项目经验</w:t>
            </w:r>
          </w:p>
        </w:tc>
        <w:tc>
          <w:tcPr>
            <w:tcW w:type="dxa" w:w="2492"/>
          </w:tcPr>
          <w:p>
            <w:pPr>
              <w:pStyle w:val="null3"/>
            </w:pPr>
            <w:r>
              <w:rPr/>
              <w:t>1.投标人或其总公司或省市级机构2021年1月1日以来在中国境内（港澳台地区除外）具有类似项目合作经验，注明用户单位和联系方式。每有一个城市合作经验得0.5分，最高3分。（同一个市级城市不同县区的按照一个案例计算） 2.投标人自2021年1月1日以来具有从事过健康险类项目经办运营经验的，每一项目得1分，最高得2分。 注：以合同签订时间为准，合同扫描件至少应包含合同首页、合同金额所在页、签字盖章页，否则不予认可。</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本地化服务</w:t>
            </w:r>
          </w:p>
        </w:tc>
        <w:tc>
          <w:tcPr>
            <w:tcW w:type="dxa" w:w="2492"/>
          </w:tcPr>
          <w:p>
            <w:pPr>
              <w:pStyle w:val="null3"/>
            </w:pPr>
            <w:r>
              <w:rPr/>
              <w:t>根据投标人本地化服务网络（分支机构、服务网点）情况打分（以供应商提供的营业执照为准；有服务合作机构的，提供合作协议等证明材料）；依据《保险公司管理规定》，县区分支机构包括支公司或营业部或营销服务部）： 1.取得汉中市域内经营资格并设立市级分支机构，得3分。 2.投标人在汉中市各县区设有分支机构服务本项目的，每个县区得0.3分，最高得2分；各县区已有专项服务网点（支公司或营业部或营销服务部以外的服务网点）或有服务合作机构的，每个县区得0.1分，最高得1分。该项最高得2分。 （服务合作机构，请提供合作协议等证明材料）</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内控制度建设方案</w:t>
            </w:r>
          </w:p>
        </w:tc>
        <w:tc>
          <w:tcPr>
            <w:tcW w:type="dxa" w:w="2492"/>
          </w:tcPr>
          <w:p>
            <w:pPr>
              <w:pStyle w:val="null3"/>
            </w:pPr>
            <w:r>
              <w:rPr/>
              <w:t>投标人按照招标文件要求提供详细的长期护理保险相关内控制度建设方案情况。包含但不限于该项目业务专项管理、独立核算、团队分工、费用结算、基金安全、档案管理、数据统计、报表报送、投诉处理方案、应急处置预案、回访和满意度评价、保密措施、内控自我评估报告等，根据方案内容进行评分。 评审标准： 1.方案科学完整，流程合理，可行性强、完全能够满足业务需要得4.01-6分。 2.方案比较完整，流程较合理，可行性较强，基本满足业务需要得2.01-4分。 3.方案基本完整、流程基本合理、可行性一般、得分0-2。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资金先行垫付能力</w:t>
            </w:r>
          </w:p>
        </w:tc>
        <w:tc>
          <w:tcPr>
            <w:tcW w:type="dxa" w:w="2492"/>
          </w:tcPr>
          <w:p>
            <w:pPr>
              <w:pStyle w:val="null3"/>
            </w:pPr>
            <w:r>
              <w:rPr/>
              <w:t>根据投标人承诺的资金先行垫付能力打分： 1．承诺的资金先行垫付额度超过1500万（含）的，得4分； 2．承诺的资金先行垫付额度在1000万（含）-1500万之间的，得2分； 3．承诺的资金先行垫付额度在500万（含）-1000万之间的，得1分； 4．低于500万或未承诺的不得分。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综合偿付能力</w:t>
            </w:r>
          </w:p>
        </w:tc>
        <w:tc>
          <w:tcPr>
            <w:tcW w:type="dxa" w:w="2492"/>
          </w:tcPr>
          <w:p>
            <w:pPr>
              <w:pStyle w:val="null3"/>
            </w:pPr>
            <w:r>
              <w:rPr/>
              <w:t>根据投标人提供的其总公司2023年度末综合偿付能力充足率情况，按以下规则打分： 1.综合偿付能力充足率＜150%,得0分； 2.150%≤综合偿付能力充足率＜180%,得1分； 3.180%≤综合偿付能力充足率＜210%,得2分； 4.综合偿付能力充足率≥210%,得3分。 注：提供总公司经审计的2023年度偿付能力报告复印件并加盖公章。未提供不得分。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风险综合评级</w:t>
            </w:r>
          </w:p>
        </w:tc>
        <w:tc>
          <w:tcPr>
            <w:tcW w:type="dxa" w:w="2492"/>
          </w:tcPr>
          <w:p>
            <w:pPr>
              <w:pStyle w:val="null3"/>
            </w:pPr>
            <w:r>
              <w:rPr/>
              <w:t>根据投标人提供的其总公司2022年第三季度至2024年第二季度共8个季度风险综合评级情况，按以下规则打分： 1.每个季度风险综合评级均为A的，得3分； 2.每出现1个季度评级为B的，扣0.1分； 3.每出现1个季度评级为C的，扣0.5分，扣完为止； 4.8个季度中有1个季度评级为D的，此项得0分。 注：提供国家金融监督管理总局（原中国银行保险监督管理委员会）偿二代监管信息系统查询截图并加盖公章。未提供的不得分。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社会影响力和责任</w:t>
            </w:r>
          </w:p>
        </w:tc>
        <w:tc>
          <w:tcPr>
            <w:tcW w:type="dxa" w:w="2492"/>
          </w:tcPr>
          <w:p>
            <w:pPr>
              <w:pStyle w:val="null3"/>
            </w:pPr>
            <w:r>
              <w:rPr/>
              <w:t>1. 投标人或其省级公司在2022-2023年度获得省级的政府层面社会荣誉的，得2分。 2. 投标人或其省级公司在2022-2023年度获得市级的政府层面社会荣誉的，得1分。 注：该项最高得2分；同时有省级和市级荣誉的，只计省级荣誉。</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增值服务</w:t>
            </w:r>
          </w:p>
        </w:tc>
        <w:tc>
          <w:tcPr>
            <w:tcW w:type="dxa" w:w="2492"/>
          </w:tcPr>
          <w:p>
            <w:pPr>
              <w:pStyle w:val="null3"/>
            </w:pPr>
            <w:r>
              <w:rPr/>
              <w:t>投标人针对长期护理保险经办工作中，随着政策的不断深入完善，提供经办服务之外的创新服务，包括但不限于参保创新服务、基金创新监管、定点护理机构创新管理、经办服务数据创新分析、课题研究等进行打分： 1、创新方案内容全面、可实操落地的，促进政策完善的，得1分； 2、创新方案内容基本可行，但促进作用不大，得0.5分； 3、创新方案内容简单，无实际意义，不得分。</w:t>
            </w:r>
          </w:p>
        </w:tc>
        <w:tc>
          <w:tcPr>
            <w:tcW w:type="dxa" w:w="831"/>
          </w:tcPr>
          <w:p>
            <w:pPr>
              <w:pStyle w:val="null3"/>
              <w:jc w:val="right"/>
            </w:pPr>
            <w:r>
              <w:rPr/>
              <w:t>1.0000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满足招标文件要求且评审价格最低的投标报价费率为评标基准价，其价格分为满分。其他投标人的价格分统一按照下列公式计算：投标报价费率得分=（评标基准价/投标报价费率）× 价格分值 本项目非专门面向中小企业采购，投标人如果为小微企业、或监狱企业、或残疾人福利企业，则投标人的投标总报价扣除10%后参与评审。 注意：本项目所属行业为“其他未列明行业”，请投标人依据“关于印发中小企业划型标准规定的通知(工信部联企业〔2011〕300号)”行业划分规模及标准，结合企业自身情况按需提供相关声明函。</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本项目非专门面向中小企业采购，投标人如果为小微企业、或监狱企业、或残疾人福利企业，则投标人的投标总报价扣除10%后参与评审</w:t>
            </w:r>
          </w:p>
        </w:tc>
        <w:tc>
          <w:tcPr>
            <w:tcW w:type="dxa" w:w="1661"/>
          </w:tcPr>
          <w:p>
            <w:pPr>
              <w:pStyle w:val="null3"/>
            </w:pPr>
            <w:r>
              <w:rPr/>
              <w:t>开标一览表 承诺函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总体服务方案</w:t>
            </w:r>
          </w:p>
        </w:tc>
        <w:tc>
          <w:tcPr>
            <w:tcW w:type="dxa" w:w="2492"/>
          </w:tcPr>
          <w:p>
            <w:pPr>
              <w:pStyle w:val="null3"/>
            </w:pPr>
            <w:r>
              <w:rPr/>
              <w:t>根据投标人针对本项目的总体服务方案，方案内容包括： ①总体实施计划：对承办项目的整体思路、工作重点、阶段性工作安排进行论述； ②具体服务流程：根据业务推进运营具体的服务工作环节进行梳理； ③失能评估方案：长护险失能评估开展、评估管理； ④定点机构管理：护理机构的日常监督、考核的方案； ⑤服务监督稽核方案：对失能人员、护理人员等的稽核巡查方案； ⑥服务质量保障措施：经办运营质效的保障措施； ⑦培训及宣传方案：服务期间内项目的培训计划和方案，宣传计划、方案和次数； ⑧经办中心建设方案：包含但不限于办公场所、办公设备、车辆等情况； ⑨群众满意度回访和服务质量评价方案：包含但不限于回访制度，服务评价制度，工作流程，回访率等。 根据方案内容进行评分。 评审标准：1.方案充实完善、措施得当、可操作性强、内容丰富、适合实际，得15.01-18分； 2.方案较充实完善、措施较得当、可操作性较强、内容较丰富、较适合实际，得10.01-15分； 3.方案基本完善、措施基本得当、具有可操作性、内容较一般、基本适合实际，得5.01-10分； 4.方案不完善、措施一般、可操作性较差、内容一般、脱离实际，得0-5分。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配合经办工作方案</w:t>
            </w:r>
          </w:p>
        </w:tc>
        <w:tc>
          <w:tcPr>
            <w:tcW w:type="dxa" w:w="2492"/>
          </w:tcPr>
          <w:p>
            <w:pPr>
              <w:pStyle w:val="null3"/>
            </w:pPr>
            <w:r>
              <w:rPr/>
              <w:t>根据投标人提供的配合经办工作方案进行综合评审。包括配合包1中标人组建汉中市长护险经办服务中心和建立全市统一规范的经办工作实施方案。包括但不限于组织机构、任务划分、人员整合、岗位职责，经办标准、经办流程、监督管理、网点设置、宣传培训、投诉处理等长护险全流程经办过程和投标人认为后续可能遇到的需和包1中标方协调的各类问题，根据方案内容进行评分。 评审标准： 1.针对项目实际情况拟定的配合组织协调方案和经办中心组建方案，制度的内容详细具体，符合招标人及项目特点，操作性强，也明确了各环节、各任务中各方的责任及应承担的义务，能为项目有序实施提供保障，得10.01-13分 2.投标人提出的组织协调方案具有合理性及一定的可操作性，对于可能出现的问题预判不够详尽，可能不能很好的协调好各方之间的利害关系，得5.01-10分。 3.未提供配合组织协调方案，或提供的组织协调方案对于可能出现的问题权责划分不清晰，可能会对后续保险运行产生负面影响，得0-5分。</w:t>
            </w:r>
          </w:p>
        </w:tc>
        <w:tc>
          <w:tcPr>
            <w:tcW w:type="dxa" w:w="831"/>
          </w:tcPr>
          <w:p>
            <w:pPr>
              <w:pStyle w:val="null3"/>
              <w:jc w:val="right"/>
            </w:pPr>
            <w:r>
              <w:rPr/>
              <w:t>13.0000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财务管理制度方案</w:t>
            </w:r>
          </w:p>
        </w:tc>
        <w:tc>
          <w:tcPr>
            <w:tcW w:type="dxa" w:w="2492"/>
          </w:tcPr>
          <w:p>
            <w:pPr>
              <w:pStyle w:val="null3"/>
            </w:pPr>
            <w:r>
              <w:rPr/>
              <w:t>根据项目需求和财务管理制度，投标人应制定完善的财务管理制度方案。包括但不限于资金监管制度、专项资金管理制度，实行专人管理、专户存储、单独核算、专项使用、全过程监控、信息调度、数据统计、基金运行分析等，根据方案内容进行评分。 评审标准： 1.方案科学完整，流程合理，可行性强、完全能够满足业务需要，得4.01-5分。 2.方案比较完整，流程比较合理，可行性较强，基本满足业务需要得2.01-4分。 3.方案基本完整、流程基本合理、可行性一般，得分0-2分。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项目服务团队</w:t>
            </w:r>
          </w:p>
        </w:tc>
        <w:tc>
          <w:tcPr>
            <w:tcW w:type="dxa" w:w="2492"/>
          </w:tcPr>
          <w:p>
            <w:pPr>
              <w:pStyle w:val="null3"/>
            </w:pPr>
            <w:r>
              <w:rPr/>
              <w:t>（一）项目负责人（仅限已就职投标人所在的公司）： 根据投标人为本项目配备的长期护理保险项目负责人进行评分： 具有大专及以上学历得1分，具有类似项目工作经验得2分，本项最高得3分。 注：须提供项目负责人的身份证、学历证、类似项目证明材料（证明材料为合同或委托方出具的其它证明材料，其中应明确体现负责人姓名）、2024年任意连续三个月社保缴纳证明材料。 （二）团队综合实力： 根据服务团队（不含项目负责人）综合实力进行评分： 1.投标人配备至少14人的专职服务团队，得5分，少1人不得分。 2.服务团队中配备至少4名医学专业背景的人员、1名财会专业背景的人员，得4分，每少1人扣1分，扣完为止。 3.服务团队中配备至少3名有健康保险类项目工作经验的，得2分，每少1人扣1分，扣完为止。 注：须提供团队成员名单及人员资料，人员资料包括身份证、学历证、职称证书（若有）、资格证书（若有）、参与过的类似项目工作经验证明材料（需体现人员姓名）、2024年任意连续三个月社保缴纳证明材料。 （三）投标人上级公司能够提供相关工作经验的专家支持（须提供相关证明材料及社保缴费证明材料，应明确体现该项目成员姓名），得1分，未提供不得分。 （四）团队管理方案 投标人根据本项目招标需求提出切实可行的团队管理制度，包括但不限于管理理念、人员分工、岗位职责、工作对接流程、绩效考核、奖惩机制等，根据方案内容进行评分。 1.管理方案要素完整、内容详细具体，能保证项目的顺利有序实施，得3.01-4分； 2.管理方案中包括了人员分工、岗位职责、工作对接流程等主要方面的工作，基本保证项目的正常进行，得2.01-3分； 3.未提供管理方案，或提供的管理方案粗略、简单复制、不能达到本项目实际管理需求，得0-2分。 （五）承诺书 投标人不得随意更换拟派往本项目的项目负责人。团队人员有变动的，投标人可更换相关人员，并及时增补综合素质同等或有优于该人员的新成员，承诺内容齐全得1分，未承诺或承诺不齐全不得分。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协助信息系统建设方案</w:t>
            </w:r>
          </w:p>
        </w:tc>
        <w:tc>
          <w:tcPr>
            <w:tcW w:type="dxa" w:w="2492"/>
          </w:tcPr>
          <w:p>
            <w:pPr>
              <w:pStyle w:val="null3"/>
            </w:pPr>
            <w:r>
              <w:rPr/>
              <w:t>1.本项目长期护理保险管理信息系统由包1中标人提供，包2投标人需提供日常运行维护和管理工作方案的，根据方案内容进行评分。 方案科学完整，流程合理，可行性强、完全能够满足业务需要，得3.01-4分； 方案比较完整，流程比较合理，可行性较强，基本满足业务需要，得2.01-3分； 方案基本完整、流程基本合理、可行性一般，得分0-2分。 2.针对长护险经办管理系统存在的不足能够提出可行性的整改建议及技术支持和应急方案的，得0-1分。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项目经验</w:t>
            </w:r>
          </w:p>
        </w:tc>
        <w:tc>
          <w:tcPr>
            <w:tcW w:type="dxa" w:w="2492"/>
          </w:tcPr>
          <w:p>
            <w:pPr>
              <w:pStyle w:val="null3"/>
            </w:pPr>
            <w:r>
              <w:rPr/>
              <w:t>1.投标人或其总公司或省市级机构2021年1月1日以来在中国境内（港澳台地区除外）具有类似项目合作经验，注明用户单位和联系方式。每有一个城市合作经验得0.5分，最高3分。（同一个市级城市不同县区的按照一个案例计算） 2.投标人自2021年1月1日以来具有从事过健康险类项目经办运营经验的，每一项目得1分，最高得2分。 注：以合同签订时间为准，合同扫描件至少应包含合同首页、合同金额所在页、签字盖章页，否则不予认可。</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本地化服务</w:t>
            </w:r>
          </w:p>
        </w:tc>
        <w:tc>
          <w:tcPr>
            <w:tcW w:type="dxa" w:w="2492"/>
          </w:tcPr>
          <w:p>
            <w:pPr>
              <w:pStyle w:val="null3"/>
            </w:pPr>
            <w:r>
              <w:rPr/>
              <w:t>根据投标人本地化服务网络（分支机构、服务网点）情况打分（以供应商提供的营业执照为准；有服务合作机构的，提供合作协议等证明材料）；依据《保险公司管理规定》，县区分支机构包括支公司或营业部或营销服务部）： 1.取得汉中市域内经营资格并设立市级分支机构，得3分。 2.投标人在汉中市各县区设有分支机构服务本项目的，每个县区得0.3分，最高得2分；各县区已有专项服务网点（支公司或营业部或营销服务部以外的服务网点）或有服务合作机构的，每个县区得0.1分，最高得1分。该项最高得2分 （服务合作机构，请提供合作协议等证明材料）</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内控制度建设方案</w:t>
            </w:r>
          </w:p>
        </w:tc>
        <w:tc>
          <w:tcPr>
            <w:tcW w:type="dxa" w:w="2492"/>
          </w:tcPr>
          <w:p>
            <w:pPr>
              <w:pStyle w:val="null3"/>
            </w:pPr>
            <w:r>
              <w:rPr/>
              <w:t>投标人按照招标文件要求提供详细的长期护理保险相关内控制度建设方案情况。包含但不限于该项目业务专项管理、独立核算、团队分工、费用结算、基金安全、档案管理、数据统计、报表报送、投诉处理方案、应急处置预案、回访和满意度评价、保密措施、内控自我评估报告等。 评审标准： 1.方案科学完整，流程合理，可行性强、完全能够满足业务需要得4.01-6分。 2.方案比较完整，流程较合理，可行性较强，基本满足业务需要得2.01-4分。 3.方案基本完整、流程基本合理、可行性一般、得分0-2分。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资金先行垫付能力</w:t>
            </w:r>
          </w:p>
        </w:tc>
        <w:tc>
          <w:tcPr>
            <w:tcW w:type="dxa" w:w="2492"/>
          </w:tcPr>
          <w:p>
            <w:pPr>
              <w:pStyle w:val="null3"/>
            </w:pPr>
            <w:r>
              <w:rPr/>
              <w:t>根据投标人承诺的资金先行垫付能力打分： 1．承诺的资金先行垫付额度超过1000万（含）的，得4分； 2．承诺的资金先行垫付额度在700万（含）-1000万之间的，得2分； 3．承诺的资金先行垫付额度在300万（含）-700万之间的，得1分； 4．低于300万或未承诺的不得分。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综合偿付能力</w:t>
            </w:r>
          </w:p>
        </w:tc>
        <w:tc>
          <w:tcPr>
            <w:tcW w:type="dxa" w:w="2492"/>
          </w:tcPr>
          <w:p>
            <w:pPr>
              <w:pStyle w:val="null3"/>
            </w:pPr>
            <w:r>
              <w:rPr/>
              <w:t>根据投标人提供的其总公司2023年度末综合偿付能力充足率情况，按以下规则打分： 1.综合偿付能力充足率＜150%,得0分； 2.150%≤综合偿付能力充足率＜180%,得1分； 3.180%≤综合偿付能力充足率＜210%,得2分； 4.综合偿付能力充足率≥210%,得3分。 注：提供总公司经审计的2023年度偿付能力报告复印件并加盖公章。未提供不得分。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风险综合评级</w:t>
            </w:r>
          </w:p>
        </w:tc>
        <w:tc>
          <w:tcPr>
            <w:tcW w:type="dxa" w:w="2492"/>
          </w:tcPr>
          <w:p>
            <w:pPr>
              <w:pStyle w:val="null3"/>
            </w:pPr>
            <w:r>
              <w:rPr/>
              <w:t>根据投标人提供的其总公司2022年第三季度至2024年第二季度共8个季度风险综合评级情况，按以下规则打分： 1.每个季度风险综合评级均为A的，得3分； 2.每出现1个季度评级为B的，扣0.1分； 3.每出现1个季度评级为C的，扣0.5分，扣完为止； 4.8个季度中有1个季度评级为D的，此项得0分。 注：提供2023年的国家金融监督管理总局（原中国银行保险监督管理委员会）偿二代监管信息系统查询截图并加盖公章。未提供的不得分。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社会影响力和责任</w:t>
            </w:r>
          </w:p>
        </w:tc>
        <w:tc>
          <w:tcPr>
            <w:tcW w:type="dxa" w:w="2492"/>
          </w:tcPr>
          <w:p>
            <w:pPr>
              <w:pStyle w:val="null3"/>
            </w:pPr>
            <w:r>
              <w:rPr/>
              <w:t>1. 投标人或其省级公司在2022-2023年度获得省级的政府层面社会荣誉的，得2分。 2. 投标人或其省级公司在2022-2023年度获得市级的政府层面社会荣誉的，得1分。 注：该项最高得2分；同时有省级和市级荣誉的，只计省级荣誉。</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增值服务</w:t>
            </w:r>
          </w:p>
        </w:tc>
        <w:tc>
          <w:tcPr>
            <w:tcW w:type="dxa" w:w="2492"/>
          </w:tcPr>
          <w:p>
            <w:pPr>
              <w:pStyle w:val="null3"/>
            </w:pPr>
            <w:r>
              <w:rPr/>
              <w:t>投标人针对长期护理保险经办工作中，随着政策的不断深入完善，提供经办服务之外的创新服务，包括但不限于参保创新服务、基金创新监管、定点护理机构创新管理、经办服务数据创新分析等进行打分： 1、创新方案内容全面、可实操落地的，促进政策完善的，得1分； 2、创新方案内容基本可行，但促进作用不大，得0.5分； 3、创新方案内容简单，无实际意义，不得分。</w:t>
            </w:r>
          </w:p>
        </w:tc>
        <w:tc>
          <w:tcPr>
            <w:tcW w:type="dxa" w:w="831"/>
          </w:tcPr>
          <w:p>
            <w:pPr>
              <w:pStyle w:val="null3"/>
              <w:jc w:val="right"/>
            </w:pPr>
            <w:r>
              <w:rPr/>
              <w:t>1.0000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满足招标文件要求且评审价格最低的投标报价费率为评标基准价，其价格分为满分。其他投标人的价格分统一按照下列公式计算：投标报价费率得分=（评标基准价/投标报价费率）× 价格分值 本项目非专门面向中小企业采购，投标人如果为小微企业、或监狱企业、或残疾人福利企业，则投标人的投标总报价扣除10%后参与评审。 注意：本项目所属行业为“其他未列明行业”，请投标人依据“关于印发中小企业划型标准规定的通知(工信部联企业〔2011〕300号)”行业划分规模及标准，结合企业自身情况按需提供相关声明函。</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本项目非专门面向中小企业采购，投标人如果为小微企业、或监狱企业、或残疾人福利企业，则投标人的投标总报价扣除10%后参与评审</w:t>
            </w:r>
          </w:p>
        </w:tc>
        <w:tc>
          <w:tcPr>
            <w:tcW w:type="dxa" w:w="1661"/>
          </w:tcPr>
          <w:p>
            <w:pPr>
              <w:pStyle w:val="null3"/>
            </w:pPr>
            <w:r>
              <w:rPr/>
              <w:t>承诺函 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详见附件：承诺函</w:t>
      </w:r>
    </w:p>
    <w:p>
      <w:pPr>
        <w:pStyle w:val="null3"/>
        <w:ind w:firstLine="960"/>
      </w:pPr>
      <w:r>
        <w:rPr/>
        <w:t>详见附件：投标保证金</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详见附件：承诺函</w:t>
      </w:r>
    </w:p>
    <w:p>
      <w:pPr>
        <w:pStyle w:val="null3"/>
        <w:ind w:firstLine="960"/>
      </w:pPr>
      <w:r>
        <w:rPr/>
        <w:t>详见附件：投标保证金</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