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吊塔、无影灯采购项目</w:t>
      </w:r>
    </w:p>
    <w:p>
      <w:pPr>
        <w:pStyle w:val="null3"/>
        <w:jc w:val="center"/>
        <w:outlineLvl w:val="2"/>
      </w:pPr>
      <w:r>
        <w:rPr>
          <w:sz w:val="28"/>
          <w:b/>
        </w:rPr>
        <w:t>采购项目编号：</w:t>
      </w:r>
      <w:r>
        <w:rPr>
          <w:sz w:val="28"/>
          <w:b/>
        </w:rPr>
        <w:t>TZZB-HZ-2024323C</w:t>
      </w:r>
      <w:r>
        <w:br/>
      </w:r>
      <w:r>
        <w:br/>
      </w:r>
      <w:r>
        <w:br/>
      </w:r>
    </w:p>
    <w:p>
      <w:pPr>
        <w:pStyle w:val="null3"/>
        <w:jc w:val="center"/>
        <w:outlineLvl w:val="2"/>
      </w:pPr>
      <w:r>
        <w:rPr>
          <w:sz w:val="28"/>
          <w:b/>
        </w:rPr>
        <w:t>汉中市中医医院</w:t>
      </w:r>
    </w:p>
    <w:p>
      <w:pPr>
        <w:pStyle w:val="null3"/>
        <w:jc w:val="center"/>
        <w:outlineLvl w:val="2"/>
      </w:pPr>
      <w:r>
        <w:rPr>
          <w:sz w:val="28"/>
          <w:b/>
        </w:rPr>
        <w:t>同正项目管理有限公司</w:t>
      </w:r>
      <w:r>
        <w:rPr>
          <w:sz w:val="28"/>
          <w:b/>
        </w:rPr>
        <w:t>共同编制</w:t>
      </w:r>
    </w:p>
    <w:p>
      <w:pPr>
        <w:pStyle w:val="null3"/>
        <w:jc w:val="center"/>
        <w:outlineLvl w:val="2"/>
      </w:pPr>
      <w:r>
        <w:rPr>
          <w:sz w:val="28"/>
          <w:b/>
        </w:rPr>
        <w:t>2024年12月06日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同正项目管理有限公司</w:t>
      </w:r>
      <w:r>
        <w:rPr/>
        <w:t>（以下简称“代理机构”）受</w:t>
      </w:r>
      <w:r>
        <w:rPr/>
        <w:t>汉中市中医医院</w:t>
      </w:r>
      <w:r>
        <w:rPr/>
        <w:t>委托，拟对</w:t>
      </w:r>
      <w:r>
        <w:rPr/>
        <w:t>吊塔、无影灯采购项目</w:t>
      </w:r>
      <w:r>
        <w:rPr/>
        <w:t>进行国内公开招标，兹邀请符合本次招标要求的供应商参加投标。</w:t>
      </w:r>
    </w:p>
    <w:p>
      <w:pPr>
        <w:pStyle w:val="null3"/>
        <w:outlineLvl w:val="2"/>
      </w:pPr>
      <w:r>
        <w:rPr>
          <w:sz w:val="28"/>
          <w:b/>
        </w:rPr>
        <w:t>一、采购项目编号：</w:t>
      </w:r>
      <w:r>
        <w:rPr>
          <w:sz w:val="28"/>
          <w:b/>
        </w:rPr>
        <w:t>TZZB-HZ-2024323C</w:t>
      </w:r>
    </w:p>
    <w:p>
      <w:pPr>
        <w:pStyle w:val="null3"/>
        <w:outlineLvl w:val="2"/>
      </w:pPr>
      <w:r>
        <w:rPr>
          <w:sz w:val="28"/>
          <w:b/>
        </w:rPr>
        <w:t>二、采购项目名称：</w:t>
      </w:r>
      <w:r>
        <w:rPr>
          <w:sz w:val="28"/>
          <w:b/>
        </w:rPr>
        <w:t>吊塔、无影灯采购项目</w:t>
      </w:r>
    </w:p>
    <w:p>
      <w:pPr>
        <w:pStyle w:val="null3"/>
        <w:outlineLvl w:val="2"/>
      </w:pPr>
      <w:r>
        <w:rPr>
          <w:sz w:val="28"/>
          <w:b/>
        </w:rPr>
        <w:t>三、招标项目简介</w:t>
      </w:r>
    </w:p>
    <w:p>
      <w:pPr>
        <w:pStyle w:val="null3"/>
        <w:ind w:firstLine="480"/>
      </w:pPr>
      <w:r>
        <w:rPr/>
        <w:t>汉中市中医医院吊塔、无影灯采购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人应授权合法的人员参加投标全过程：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p>
      <w:pPr>
        <w:pStyle w:val="null3"/>
      </w:pPr>
      <w:r>
        <w:rPr/>
        <w:t>2、信用证明：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t>3、投标人须为具有独立承担民事责任能力的法人、其他组织或自然人：出具合法有效的营业执照或事业单位法人证书等国家规定的相关证明，自然人参与的提供其身份证明。</w:t>
      </w:r>
    </w:p>
    <w:p>
      <w:pPr>
        <w:pStyle w:val="null3"/>
      </w:pPr>
      <w:r>
        <w:rPr/>
        <w:t>4、财务状况报告：提供2023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null3"/>
      </w:pPr>
      <w:r>
        <w:rPr/>
        <w:t>5、社保缴纳证明：提供自2023年12月1日以来已缴存的任意1个月的社会保障资金缴存单据或社保机构开具的社会保险参保缴费情况证明；依法不需要缴纳社会保障资金的投标人应提供相关证明文件。</w:t>
      </w:r>
    </w:p>
    <w:p>
      <w:pPr>
        <w:pStyle w:val="null3"/>
      </w:pPr>
      <w:r>
        <w:rPr/>
        <w:t>6、税收缴纳证明：提供自2023年12月1日以来已缴纳的任意1个月的依法缴纳税收的相关凭据(时间以税款所属日期为准)，凭据应有税务机关或代收机关的公章或业务专用章；依法免税或无须缴纳税收的投标人，应提供相应证明文件。</w:t>
      </w:r>
    </w:p>
    <w:p>
      <w:pPr>
        <w:pStyle w:val="null3"/>
      </w:pPr>
      <w:r>
        <w:rPr/>
        <w:t>7、提供具有履行合同所必需的设备和专业技术能力的书面承诺：提供具有履行合同所必需的设备和专业技术能力的书面承诺，加盖投标人公章。</w:t>
      </w:r>
    </w:p>
    <w:p>
      <w:pPr>
        <w:pStyle w:val="null3"/>
      </w:pPr>
      <w:r>
        <w:rPr/>
        <w:t>8、提供参加政府采购活动前三年内在经营活动中没有重大违法记录的书面声明：提供参加政府采购活动前三年内在经营活动中没有重大违法记录的书面声明，加盖投标人公章。</w:t>
      </w:r>
    </w:p>
    <w:p>
      <w:pPr>
        <w:pStyle w:val="null3"/>
      </w:pPr>
      <w:r>
        <w:rPr/>
        <w:t>9、控股、管理关系：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p>
    <w:p>
      <w:pPr>
        <w:pStyle w:val="null3"/>
      </w:pPr>
      <w:r>
        <w:rPr/>
        <w:t>10、投标人的资格要求：（1）投标人为经销商的应具备医疗器械经营许可证或医疗器械经营备案凭证（投标产品须在其经营范围内）；投标人为生产厂家的应具备医疗器械经营许可证或医疗器械经营备案凭证（投标产品须在其经营范围内），并具备医疗器械生产许可证（投标产品须在其生产范围内）。（2）投标产品属于医疗器械管理的提供医疗器械注册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汉中市中医医院</w:t>
      </w:r>
    </w:p>
    <w:p>
      <w:pPr>
        <w:pStyle w:val="null3"/>
      </w:pPr>
      <w:r>
        <w:rPr/>
        <w:t xml:space="preserve"> 地址： </w:t>
      </w:r>
      <w:r>
        <w:rPr/>
        <w:t>汉中市南郑区大河坎镇东昌街8号</w:t>
      </w:r>
    </w:p>
    <w:p>
      <w:pPr>
        <w:pStyle w:val="null3"/>
      </w:pPr>
      <w:r>
        <w:rPr/>
        <w:t xml:space="preserve"> 邮编： </w:t>
      </w:r>
      <w:r>
        <w:rPr/>
        <w:t>/</w:t>
      </w:r>
    </w:p>
    <w:p>
      <w:pPr>
        <w:pStyle w:val="null3"/>
      </w:pPr>
      <w:r>
        <w:rPr/>
        <w:t xml:space="preserve"> 联系人： </w:t>
      </w:r>
      <w:r>
        <w:rPr/>
        <w:t>黄漫琪</w:t>
      </w:r>
    </w:p>
    <w:p>
      <w:pPr>
        <w:pStyle w:val="null3"/>
      </w:pPr>
      <w:r>
        <w:rPr/>
        <w:t xml:space="preserve"> 联系电话： </w:t>
      </w:r>
      <w:r>
        <w:rPr/>
        <w:t>0916-5300351</w:t>
      </w:r>
    </w:p>
    <w:p>
      <w:pPr>
        <w:pStyle w:val="null3"/>
        <w:outlineLvl w:val="2"/>
      </w:pPr>
      <w:r>
        <w:rPr>
          <w:sz w:val="28"/>
          <w:b/>
        </w:rPr>
        <w:t>代理机构：</w:t>
      </w:r>
      <w:r>
        <w:rPr>
          <w:sz w:val="28"/>
          <w:b/>
        </w:rPr>
        <w:t>同正项目管理有限公司</w:t>
      </w:r>
    </w:p>
    <w:p>
      <w:pPr>
        <w:pStyle w:val="null3"/>
      </w:pPr>
      <w:r>
        <w:rPr/>
        <w:t xml:space="preserve"> 地址： </w:t>
      </w:r>
      <w:r>
        <w:rPr/>
        <w:t>西安市雁塔区科技二路71号竹园·天寰国际1107室</w:t>
      </w:r>
    </w:p>
    <w:p>
      <w:pPr>
        <w:pStyle w:val="null3"/>
      </w:pPr>
      <w:r>
        <w:rPr/>
        <w:t xml:space="preserve"> 邮编： </w:t>
      </w:r>
      <w:r>
        <w:rPr/>
        <w:t>710000</w:t>
      </w:r>
    </w:p>
    <w:p>
      <w:pPr>
        <w:pStyle w:val="null3"/>
      </w:pPr>
      <w:r>
        <w:rPr/>
        <w:t xml:space="preserve"> 联系人： </w:t>
      </w:r>
      <w:r>
        <w:rPr/>
        <w:t>温丽妮</w:t>
      </w:r>
    </w:p>
    <w:p>
      <w:pPr>
        <w:pStyle w:val="null3"/>
      </w:pPr>
      <w:r>
        <w:rPr/>
        <w:t xml:space="preserve"> 联系电话： </w:t>
      </w:r>
      <w:r>
        <w:rPr/>
        <w:t xml:space="preserve"> 029-65652860</w:t>
      </w:r>
    </w:p>
    <w:p>
      <w:pPr>
        <w:pStyle w:val="null3"/>
        <w:outlineLvl w:val="2"/>
      </w:pPr>
      <w:r>
        <w:rPr>
          <w:sz w:val="28"/>
          <w:b/>
        </w:rPr>
        <w:t>采购监督机构：</w:t>
      </w:r>
      <w:r>
        <w:rPr>
          <w:sz w:val="28"/>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采购包1：725,000.00元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 0165 5200 0000 0101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汉中市中医医院</w:t>
      </w:r>
      <w:r>
        <w:rPr/>
        <w:t>和</w:t>
      </w:r>
      <w:r>
        <w:rPr/>
        <w:t>同正项目管理有限公司</w:t>
      </w:r>
      <w:r>
        <w:rPr/>
        <w:t>享有。对招标文件中供应商参加本次政府采购活动应当具备的条件，招标项目技术、服务、商务及其他要求，评标细则及标准由</w:t>
      </w:r>
      <w:r>
        <w:rPr/>
        <w:t>汉中市中医医院</w:t>
      </w:r>
      <w:r>
        <w:rPr/>
        <w:t>负责解释。除上述招标文件内容，其他内容由</w:t>
      </w:r>
      <w:r>
        <w:rPr/>
        <w:t>同正项目管理有限公司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汉中市中医医院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同正项目管理有限公司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验收标准按照国家、行业有关规范和要求执行。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同正项目管理有限公司</w:t>
      </w:r>
      <w:r>
        <w:rPr/>
        <w:t xml:space="preserve"> 负责答复；供应商对除采购需求外的采购文件的询问、质疑由</w:t>
      </w:r>
      <w:r>
        <w:rPr/>
        <w:t>同正项目管理有限公司</w:t>
      </w:r>
      <w:r>
        <w:rPr/>
        <w:t xml:space="preserve"> 负责答复；供应商对采购过程、采购结果的询问、质疑由 </w:t>
      </w:r>
      <w:r>
        <w:rPr/>
        <w:t>同正项目管理有限公司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联系人：温丽妮</w:t>
      </w:r>
    </w:p>
    <w:p>
      <w:pPr>
        <w:pStyle w:val="null3"/>
      </w:pPr>
      <w:r>
        <w:rPr/>
        <w:t>联系电话：029-65652860</w:t>
      </w:r>
    </w:p>
    <w:p>
      <w:pPr>
        <w:pStyle w:val="null3"/>
      </w:pPr>
      <w:r>
        <w:rPr/>
        <w:t>地址：西安市雁塔区科技二路71号竹园·天寰国际1107室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汉中市中医医院吊塔、无影灯采购</w:t>
      </w:r>
    </w:p>
    <w:p>
      <w:pPr>
        <w:pStyle w:val="null3"/>
        <w:outlineLvl w:val="2"/>
      </w:pPr>
      <w:r>
        <w:rPr>
          <w:sz w:val="28"/>
          <w:b/>
        </w:rPr>
        <w:t>3.2采购内容</w:t>
      </w:r>
    </w:p>
    <w:p>
      <w:pPr>
        <w:pStyle w:val="null3"/>
      </w:pPr>
      <w:r>
        <w:rPr/>
        <w:t>采购包1：</w:t>
      </w:r>
    </w:p>
    <w:p>
      <w:pPr>
        <w:pStyle w:val="null3"/>
      </w:pPr>
      <w:r>
        <w:rPr/>
        <w:t>采购包预算金额（元）: 725,000.00</w:t>
      </w:r>
    </w:p>
    <w:p>
      <w:pPr>
        <w:pStyle w:val="null3"/>
      </w:pPr>
      <w:r>
        <w:rPr/>
        <w:t>采购包最高限价（元）: 725,000.00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无影灯</w:t>
            </w:r>
          </w:p>
        </w:tc>
        <w:tc>
          <w:tcPr>
            <w:tcW w:type="dxa" w:w="831"/>
          </w:tcPr>
          <w:p>
            <w:pPr>
              <w:pStyle w:val="null3"/>
              <w:jc w:val="right"/>
            </w:pPr>
            <w:r>
              <w:rPr/>
              <w:t>3.00</w:t>
            </w:r>
          </w:p>
        </w:tc>
        <w:tc>
          <w:tcPr>
            <w:tcW w:type="dxa" w:w="831"/>
          </w:tcPr>
          <w:p>
            <w:pPr>
              <w:pStyle w:val="null3"/>
              <w:jc w:val="right"/>
            </w:pPr>
            <w:r>
              <w:rPr/>
              <w:t>165,000.00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吊塔</w:t>
            </w:r>
          </w:p>
        </w:tc>
        <w:tc>
          <w:tcPr>
            <w:tcW w:type="dxa" w:w="831"/>
          </w:tcPr>
          <w:p>
            <w:pPr>
              <w:pStyle w:val="null3"/>
              <w:jc w:val="right"/>
            </w:pPr>
            <w:r>
              <w:rPr/>
              <w:t>7.00</w:t>
            </w:r>
          </w:p>
        </w:tc>
        <w:tc>
          <w:tcPr>
            <w:tcW w:type="dxa" w:w="831"/>
          </w:tcPr>
          <w:p>
            <w:pPr>
              <w:pStyle w:val="null3"/>
              <w:jc w:val="right"/>
            </w:pPr>
            <w:r>
              <w:rPr/>
              <w:t>560,000.00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标的名称：无影灯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无影灯</w:t>
            </w:r>
          </w:p>
          <w:p>
            <w:pPr>
              <w:pStyle w:val="null3"/>
              <w:jc w:val="both"/>
            </w:pPr>
            <w:r>
              <w:rPr>
                <w:rFonts w:ascii="宋体" w:hAnsi="宋体" w:cs="宋体" w:eastAsia="宋体"/>
                <w:sz w:val="21"/>
              </w:rPr>
              <w:t>采用</w:t>
            </w:r>
            <w:r>
              <w:rPr>
                <w:rFonts w:ascii="宋体" w:hAnsi="宋体" w:cs="宋体" w:eastAsia="宋体"/>
                <w:sz w:val="21"/>
              </w:rPr>
              <w:t>医用级</w:t>
            </w:r>
            <w:r>
              <w:rPr>
                <w:rFonts w:ascii="times new roman, times, serif" w:hAnsi="times new roman, times, serif" w:cs="times new roman, times, serif" w:eastAsia="times new roman, times, serif"/>
                <w:sz w:val="21"/>
              </w:rPr>
              <w:t>LED</w:t>
            </w:r>
            <w:r>
              <w:rPr>
                <w:rFonts w:ascii="宋体" w:hAnsi="宋体" w:cs="宋体" w:eastAsia="宋体"/>
                <w:sz w:val="21"/>
              </w:rPr>
              <w:t>冷光源，</w:t>
            </w:r>
            <w:r>
              <w:rPr>
                <w:rFonts w:ascii="宋体" w:hAnsi="宋体" w:cs="宋体" w:eastAsia="宋体"/>
                <w:sz w:val="21"/>
              </w:rPr>
              <w:t>母灯灯珠数量</w:t>
            </w:r>
            <w:r>
              <w:rPr>
                <w:rFonts w:ascii="宋体" w:hAnsi="宋体" w:cs="宋体" w:eastAsia="宋体"/>
                <w:sz w:val="21"/>
              </w:rPr>
              <w:t>≥</w:t>
            </w:r>
            <w:r>
              <w:rPr>
                <w:rFonts w:ascii="times new roman, times, serif" w:hAnsi="times new roman, times, serif" w:cs="times new roman, times, serif" w:eastAsia="times new roman, times, serif"/>
                <w:sz w:val="21"/>
              </w:rPr>
              <w:t>15</w:t>
            </w:r>
            <w:r>
              <w:rPr>
                <w:rFonts w:ascii="宋体" w:hAnsi="宋体" w:cs="宋体" w:eastAsia="宋体"/>
                <w:sz w:val="21"/>
              </w:rPr>
              <w:t>个</w:t>
            </w:r>
            <w:r>
              <w:rPr>
                <w:rFonts w:ascii="宋体" w:hAnsi="宋体" w:cs="宋体" w:eastAsia="宋体"/>
                <w:sz w:val="21"/>
              </w:rPr>
              <w:t>，</w:t>
            </w:r>
            <w:r>
              <w:rPr>
                <w:rFonts w:ascii="宋体" w:hAnsi="宋体" w:cs="宋体" w:eastAsia="宋体"/>
                <w:sz w:val="21"/>
              </w:rPr>
              <w:t>子灯灯珠数量</w:t>
            </w:r>
            <w:r>
              <w:rPr>
                <w:rFonts w:ascii="宋体" w:hAnsi="宋体" w:cs="宋体" w:eastAsia="宋体"/>
                <w:sz w:val="21"/>
              </w:rPr>
              <w:t>≥</w:t>
            </w:r>
            <w:r>
              <w:rPr>
                <w:rFonts w:ascii="times new roman, times, serif" w:hAnsi="times new roman, times, serif" w:cs="times new roman, times, serif" w:eastAsia="times new roman, times, serif"/>
                <w:sz w:val="21"/>
              </w:rPr>
              <w:t>15</w:t>
            </w:r>
            <w:r>
              <w:rPr>
                <w:rFonts w:ascii="宋体" w:hAnsi="宋体" w:cs="宋体" w:eastAsia="宋体"/>
                <w:sz w:val="21"/>
              </w:rPr>
              <w:t>个</w:t>
            </w:r>
            <w:r>
              <w:rPr>
                <w:rFonts w:ascii="宋体" w:hAnsi="宋体" w:cs="宋体" w:eastAsia="宋体"/>
                <w:sz w:val="21"/>
              </w:rPr>
              <w:t>。</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手术灯灯珠采用</w:t>
            </w:r>
            <w:r>
              <w:rPr>
                <w:rFonts w:ascii="times new roman, times, serif" w:hAnsi="times new roman, times, serif" w:cs="times new roman, times, serif" w:eastAsia="times new roman, times, serif"/>
                <w:sz w:val="21"/>
              </w:rPr>
              <w:t>LED</w:t>
            </w:r>
            <w:r>
              <w:rPr>
                <w:rFonts w:ascii="宋体" w:hAnsi="宋体" w:cs="宋体" w:eastAsia="宋体"/>
                <w:sz w:val="21"/>
              </w:rPr>
              <w:t>的串联连接</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灯壳外罩采用铝合金材质，表面采用环保粉沫喷塑处理，粉末通过抑菌检测。</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rPr>
              <w:t>▲旋转转轴在负重</w:t>
            </w:r>
            <w:r>
              <w:rPr>
                <w:rFonts w:ascii="times new roman, times, serif" w:hAnsi="times new roman, times, serif" w:cs="times new roman, times, serif" w:eastAsia="times new roman, times, serif"/>
                <w:sz w:val="21"/>
              </w:rPr>
              <w:t>300kg</w:t>
            </w:r>
            <w:r>
              <w:rPr>
                <w:rFonts w:ascii="宋体" w:hAnsi="宋体" w:cs="宋体" w:eastAsia="宋体"/>
                <w:sz w:val="21"/>
              </w:rPr>
              <w:t>状态下旋转寿命≥</w:t>
            </w:r>
            <w:r>
              <w:rPr>
                <w:rFonts w:ascii="times new roman, times, serif" w:hAnsi="times new roman, times, serif" w:cs="times new roman, times, serif" w:eastAsia="times new roman, times, serif"/>
                <w:sz w:val="21"/>
              </w:rPr>
              <w:t>10</w:t>
            </w:r>
            <w:r>
              <w:rPr>
                <w:rFonts w:ascii="宋体" w:hAnsi="宋体" w:cs="宋体" w:eastAsia="宋体"/>
                <w:sz w:val="21"/>
              </w:rPr>
              <w:t>万次。</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1"/>
              </w:rPr>
              <w:t>采用发光薄膜控制面板和无菌手柄底部按钮两种调节照度方式。</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sz w:val="21"/>
              </w:rPr>
              <w:t>灯盘上下移动作用力</w:t>
            </w:r>
            <w:r>
              <w:rPr>
                <w:rFonts w:ascii="宋体" w:hAnsi="宋体" w:cs="宋体" w:eastAsia="宋体"/>
                <w:sz w:val="21"/>
              </w:rPr>
              <w:t>≤</w:t>
            </w:r>
            <w:r>
              <w:rPr>
                <w:rFonts w:ascii="times new roman, times, serif" w:hAnsi="times new roman, times, serif" w:cs="times new roman, times, serif" w:eastAsia="times new roman, times, serif"/>
                <w:sz w:val="21"/>
              </w:rPr>
              <w:t>30N</w:t>
            </w:r>
            <w:r>
              <w:rPr>
                <w:rFonts w:ascii="宋体" w:hAnsi="宋体" w:cs="宋体" w:eastAsia="宋体"/>
                <w:sz w:val="21"/>
              </w:rPr>
              <w:t>，水平位移作用力≤</w:t>
            </w:r>
            <w:r>
              <w:rPr>
                <w:rFonts w:ascii="times new roman, times, serif" w:hAnsi="times new roman, times, serif" w:cs="times new roman, times, serif" w:eastAsia="times new roman, times, serif"/>
                <w:sz w:val="21"/>
              </w:rPr>
              <w:t>15N</w:t>
            </w:r>
            <w:r>
              <w:rPr>
                <w:rFonts w:ascii="宋体" w:hAnsi="宋体" w:cs="宋体" w:eastAsia="宋体"/>
                <w:sz w:val="21"/>
              </w:rPr>
              <w:t>。</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sz w:val="21"/>
              </w:rPr>
              <w:t>采用</w:t>
            </w:r>
            <w:r>
              <w:rPr>
                <w:rFonts w:ascii="times new roman, times, serif" w:hAnsi="times new roman, times, serif" w:cs="times new roman, times, serif" w:eastAsia="times new roman, times, serif"/>
                <w:sz w:val="21"/>
              </w:rPr>
              <w:t>DC</w:t>
            </w:r>
            <w:r>
              <w:rPr>
                <w:rFonts w:ascii="宋体" w:hAnsi="宋体" w:cs="宋体" w:eastAsia="宋体"/>
                <w:sz w:val="21"/>
              </w:rPr>
              <w:t>调光技术，直接控制灯珠电流大小来实现照度调节。</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sz w:val="21"/>
              </w:rPr>
              <w:t>显色指数</w:t>
            </w:r>
            <w:r>
              <w:rPr>
                <w:rFonts w:ascii="times new roman, times, serif" w:hAnsi="times new roman, times, serif" w:cs="times new roman, times, serif" w:eastAsia="times new roman, times, serif"/>
                <w:sz w:val="21"/>
              </w:rPr>
              <w:t>Ra</w:t>
            </w:r>
            <w:r>
              <w:rPr>
                <w:rFonts w:ascii="宋体" w:hAnsi="宋体" w:cs="宋体" w:eastAsia="宋体"/>
                <w:sz w:val="21"/>
              </w:rPr>
              <w:t>≥</w:t>
            </w:r>
            <w:r>
              <w:rPr>
                <w:rFonts w:ascii="times new roman, times, serif" w:hAnsi="times new roman, times, serif" w:cs="times new roman, times, serif" w:eastAsia="times new roman, times, serif"/>
                <w:sz w:val="21"/>
              </w:rPr>
              <w:t>98</w:t>
            </w:r>
            <w:r>
              <w:rPr>
                <w:rFonts w:ascii="宋体" w:hAnsi="宋体" w:cs="宋体" w:eastAsia="宋体"/>
                <w:sz w:val="21"/>
              </w:rPr>
              <w:t>。</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sz w:val="21"/>
              </w:rPr>
              <w:t>照度达到中心照度的</w:t>
            </w:r>
            <w:r>
              <w:rPr>
                <w:rFonts w:ascii="times new roman, times, serif" w:hAnsi="times new roman, times, serif" w:cs="times new roman, times, serif" w:eastAsia="times new roman, times, serif"/>
                <w:sz w:val="21"/>
              </w:rPr>
              <w:t>50%</w:t>
            </w:r>
            <w:r>
              <w:rPr>
                <w:rFonts w:ascii="宋体" w:hAnsi="宋体" w:cs="宋体" w:eastAsia="宋体"/>
                <w:sz w:val="21"/>
              </w:rPr>
              <w:t>区域的光斑分布直径为光斑直径的</w:t>
            </w:r>
            <w:r>
              <w:rPr>
                <w:rFonts w:ascii="times new roman, times, serif" w:hAnsi="times new roman, times, serif" w:cs="times new roman, times, serif" w:eastAsia="times new roman, times, serif"/>
                <w:sz w:val="21"/>
              </w:rPr>
              <w:t>50%</w:t>
            </w:r>
            <w:r>
              <w:rPr>
                <w:rFonts w:ascii="宋体" w:hAnsi="宋体" w:cs="宋体" w:eastAsia="宋体"/>
                <w:sz w:val="21"/>
              </w:rPr>
              <w:t>以上，即</w:t>
            </w:r>
            <w:r>
              <w:rPr>
                <w:rFonts w:ascii="times new roman, times, serif" w:hAnsi="times new roman, times, serif" w:cs="times new roman, times, serif" w:eastAsia="times new roman, times, serif"/>
                <w:sz w:val="21"/>
              </w:rPr>
              <w:t>d50/d10</w:t>
            </w:r>
            <w:r>
              <w:rPr>
                <w:rFonts w:ascii="宋体" w:hAnsi="宋体" w:cs="宋体" w:eastAsia="宋体"/>
                <w:sz w:val="21"/>
              </w:rPr>
              <w:t>≥</w:t>
            </w:r>
            <w:r>
              <w:rPr>
                <w:rFonts w:ascii="times new roman, times, serif" w:hAnsi="times new roman, times, serif" w:cs="times new roman, times, serif" w:eastAsia="times new roman, times, serif"/>
                <w:sz w:val="21"/>
              </w:rPr>
              <w:t>50%</w:t>
            </w:r>
            <w:r>
              <w:rPr>
                <w:rFonts w:ascii="宋体" w:hAnsi="宋体" w:cs="宋体" w:eastAsia="宋体"/>
                <w:sz w:val="21"/>
              </w:rPr>
              <w:t>。</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sz w:val="21"/>
              </w:rPr>
              <w:t>照明深度：</w:t>
            </w:r>
            <w:r>
              <w:rPr>
                <w:rFonts w:ascii="宋体" w:hAnsi="宋体" w:cs="宋体" w:eastAsia="宋体"/>
                <w:sz w:val="21"/>
              </w:rPr>
              <w:t>≥</w:t>
            </w:r>
            <w:r>
              <w:rPr>
                <w:rFonts w:ascii="times new roman, times, serif" w:hAnsi="times new roman, times, serif" w:cs="times new roman, times, serif" w:eastAsia="times new roman, times, serif"/>
                <w:sz w:val="21"/>
              </w:rPr>
              <w:t>1250mm</w:t>
            </w:r>
            <w:r>
              <w:rPr>
                <w:rFonts w:ascii="宋体" w:hAnsi="宋体" w:cs="宋体" w:eastAsia="宋体"/>
                <w:sz w:val="21"/>
              </w:rPr>
              <w:t>。</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sz w:val="21"/>
              </w:rPr>
              <w:t>照度</w:t>
            </w:r>
            <w:r>
              <w:rPr>
                <w:rFonts w:ascii="宋体" w:hAnsi="宋体" w:cs="宋体" w:eastAsia="宋体"/>
                <w:sz w:val="21"/>
              </w:rPr>
              <w:t>≥十档可调：</w:t>
            </w:r>
            <w:r>
              <w:rPr>
                <w:rFonts w:ascii="times new roman, times, serif" w:hAnsi="times new roman, times, serif" w:cs="times new roman, times, serif" w:eastAsia="times new roman, times, serif"/>
                <w:sz w:val="21"/>
              </w:rPr>
              <w:t>40000-130000lux</w:t>
            </w:r>
            <w:r>
              <w:rPr>
                <w:rFonts w:ascii="宋体" w:hAnsi="宋体" w:cs="宋体" w:eastAsia="宋体"/>
                <w:sz w:val="21"/>
              </w:rPr>
              <w:t>，深腔照明率</w:t>
            </w:r>
            <w:r>
              <w:rPr>
                <w:rFonts w:ascii="times new roman, times, serif" w:hAnsi="times new roman, times, serif" w:cs="times new roman, times, serif" w:eastAsia="times new roman, times, serif"/>
                <w:sz w:val="21"/>
              </w:rPr>
              <w:t>100%</w:t>
            </w:r>
            <w:r>
              <w:rPr>
                <w:rFonts w:ascii="宋体" w:hAnsi="宋体" w:cs="宋体" w:eastAsia="宋体"/>
                <w:sz w:val="21"/>
              </w:rPr>
              <w:t>。</w:t>
            </w:r>
          </w:p>
        </w:tc>
      </w:tr>
      <w:tr>
        <w:tc>
          <w:tcPr>
            <w:tcW w:type="dxa" w:w="2769"/>
          </w:tcPr>
          <w:p/>
        </w:tc>
        <w:tc>
          <w:tcPr>
            <w:tcW w:type="dxa" w:w="2769"/>
          </w:tcPr>
          <w:p>
            <w:pPr>
              <w:pStyle w:val="null3"/>
            </w:pPr>
            <w:r>
              <w:rPr/>
              <w:t>12</w:t>
            </w:r>
          </w:p>
        </w:tc>
        <w:tc>
          <w:tcPr>
            <w:tcW w:type="dxa" w:w="2769"/>
          </w:tcPr>
          <w:p>
            <w:pPr>
              <w:pStyle w:val="null3"/>
              <w:jc w:val="both"/>
            </w:pPr>
            <w:r>
              <w:rPr>
                <w:rFonts w:ascii="宋体" w:hAnsi="宋体" w:cs="宋体" w:eastAsia="宋体"/>
                <w:sz w:val="21"/>
              </w:rPr>
              <w:t>▲切换腔镜模式，照度≤</w:t>
            </w:r>
            <w:r>
              <w:rPr>
                <w:rFonts w:ascii="times new roman, times, serif" w:hAnsi="times new roman, times, serif" w:cs="times new roman, times, serif" w:eastAsia="times new roman, times, serif"/>
                <w:sz w:val="21"/>
              </w:rPr>
              <w:t>500lux</w:t>
            </w:r>
            <w:r>
              <w:rPr>
                <w:rFonts w:ascii="宋体" w:hAnsi="宋体" w:cs="宋体" w:eastAsia="宋体"/>
                <w:sz w:val="21"/>
              </w:rPr>
              <w:t>，并可选择白光或者绿光。</w:t>
            </w:r>
          </w:p>
        </w:tc>
      </w:tr>
      <w:tr>
        <w:tc>
          <w:tcPr>
            <w:tcW w:type="dxa" w:w="2769"/>
          </w:tcPr>
          <w:p/>
        </w:tc>
        <w:tc>
          <w:tcPr>
            <w:tcW w:type="dxa" w:w="2769"/>
          </w:tcPr>
          <w:p>
            <w:pPr>
              <w:pStyle w:val="null3"/>
            </w:pPr>
            <w:r>
              <w:rPr/>
              <w:t>13</w:t>
            </w:r>
          </w:p>
        </w:tc>
        <w:tc>
          <w:tcPr>
            <w:tcW w:type="dxa" w:w="2769"/>
          </w:tcPr>
          <w:p>
            <w:pPr>
              <w:pStyle w:val="null3"/>
              <w:jc w:val="both"/>
            </w:pPr>
            <w:r>
              <w:rPr>
                <w:rFonts w:ascii="times new roman, times, serif" w:hAnsi="times new roman, times, serif" w:cs="times new roman, times, serif" w:eastAsia="times new roman, times, serif"/>
                <w:sz w:val="21"/>
              </w:rPr>
              <w:t>LED</w:t>
            </w:r>
            <w:r>
              <w:rPr>
                <w:rFonts w:ascii="宋体" w:hAnsi="宋体" w:cs="宋体" w:eastAsia="宋体"/>
                <w:sz w:val="21"/>
              </w:rPr>
              <w:t>灯使用寿命≥</w:t>
            </w:r>
            <w:r>
              <w:rPr>
                <w:rFonts w:ascii="times new roman, times, serif" w:hAnsi="times new roman, times, serif" w:cs="times new roman, times, serif" w:eastAsia="times new roman, times, serif"/>
                <w:sz w:val="21"/>
              </w:rPr>
              <w:t>70000</w:t>
            </w:r>
            <w:r>
              <w:rPr>
                <w:rFonts w:ascii="宋体" w:hAnsi="宋体" w:cs="宋体" w:eastAsia="宋体"/>
                <w:sz w:val="21"/>
              </w:rPr>
              <w:t>小时。</w:t>
            </w:r>
          </w:p>
        </w:tc>
      </w:tr>
      <w:tr>
        <w:tc>
          <w:tcPr>
            <w:tcW w:type="dxa" w:w="2769"/>
          </w:tcPr>
          <w:p/>
        </w:tc>
        <w:tc>
          <w:tcPr>
            <w:tcW w:type="dxa" w:w="2769"/>
          </w:tcPr>
          <w:p>
            <w:pPr>
              <w:pStyle w:val="null3"/>
            </w:pPr>
            <w:r>
              <w:rPr/>
              <w:t>14</w:t>
            </w:r>
          </w:p>
        </w:tc>
        <w:tc>
          <w:tcPr>
            <w:tcW w:type="dxa" w:w="2769"/>
          </w:tcPr>
          <w:p>
            <w:pPr>
              <w:pStyle w:val="null3"/>
              <w:jc w:val="both"/>
            </w:pPr>
            <w:r>
              <w:rPr>
                <w:rFonts w:ascii="宋体" w:hAnsi="宋体" w:cs="宋体" w:eastAsia="宋体"/>
              </w:rPr>
              <w:t>弹簧臂调节范围向上</w:t>
            </w:r>
            <w:r>
              <w:rPr>
                <w:rFonts w:ascii="宋体" w:hAnsi="宋体" w:cs="宋体" w:eastAsia="宋体"/>
              </w:rPr>
              <w:t>≤</w:t>
            </w:r>
            <w:r>
              <w:rPr>
                <w:rFonts w:ascii="calibri" w:hAnsi="calibri" w:cs="calibri" w:eastAsia="calibri"/>
              </w:rPr>
              <w:t>50</w:t>
            </w:r>
            <w:r>
              <w:rPr>
                <w:rFonts w:ascii="宋体" w:hAnsi="宋体" w:cs="宋体" w:eastAsia="宋体"/>
              </w:rPr>
              <w:t>°、向下≤</w:t>
            </w:r>
            <w:r>
              <w:rPr>
                <w:rFonts w:ascii="calibri" w:hAnsi="calibri" w:cs="calibri" w:eastAsia="calibri"/>
              </w:rPr>
              <w:t>60</w:t>
            </w:r>
            <w:r>
              <w:rPr>
                <w:rFonts w:ascii="宋体" w:hAnsi="宋体" w:cs="宋体" w:eastAsia="宋体"/>
              </w:rPr>
              <w:t>°摆动。</w:t>
            </w:r>
          </w:p>
          <w:p>
            <w:pPr>
              <w:pStyle w:val="null3"/>
              <w:jc w:val="both"/>
            </w:pPr>
            <w:r>
              <w:rPr>
                <w:rFonts w:ascii="宋体" w:hAnsi="宋体" w:cs="宋体" w:eastAsia="宋体"/>
                <w:sz w:val="21"/>
              </w:rPr>
              <w:t>注：技术要求标</w:t>
            </w:r>
            <w:r>
              <w:rPr>
                <w:rFonts w:ascii="宋体" w:hAnsi="宋体" w:cs="宋体" w:eastAsia="宋体"/>
                <w:sz w:val="21"/>
              </w:rPr>
              <w:t>“</w:t>
            </w:r>
            <w:r>
              <w:rPr>
                <w:rFonts w:ascii="times new roman, times, serif" w:hAnsi="times new roman, times, serif" w:cs="times new roman, times, serif" w:eastAsia="times new roman, times, serif"/>
                <w:sz w:val="21"/>
              </w:rPr>
              <w:t>▲</w:t>
            </w:r>
            <w:r>
              <w:rPr>
                <w:rFonts w:ascii="宋体" w:hAnsi="宋体" w:cs="宋体" w:eastAsia="宋体"/>
                <w:sz w:val="21"/>
              </w:rPr>
              <w:t>”项参数须提供佐证材料，佐证材料为检测报告或宣传彩页或技术白皮书等，需体现出产品参数符合采购文件技术要求。</w:t>
            </w:r>
          </w:p>
        </w:tc>
      </w:tr>
    </w:tbl>
    <w:p>
      <w:pPr>
        <w:pStyle w:val="null3"/>
      </w:pPr>
      <w:r>
        <w:rPr/>
        <w:t>标的名称：吊塔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rPr>
              <w:t>双臂吊</w:t>
            </w:r>
            <w:r>
              <w:rPr>
                <w:rFonts w:ascii="宋体" w:hAnsi="宋体" w:cs="宋体" w:eastAsia="宋体"/>
              </w:rPr>
              <w:t>塔</w:t>
            </w:r>
            <w:r>
              <w:rPr>
                <w:rFonts w:ascii="宋体" w:hAnsi="宋体" w:cs="宋体" w:eastAsia="宋体"/>
              </w:rPr>
              <w:t>技术参数（核心产品）</w:t>
            </w:r>
          </w:p>
          <w:p>
            <w:pPr>
              <w:pStyle w:val="null3"/>
              <w:jc w:val="both"/>
            </w:pPr>
            <w:r>
              <w:rPr>
                <w:rFonts w:ascii="宋体" w:hAnsi="宋体" w:cs="宋体" w:eastAsia="宋体"/>
                <w:sz w:val="21"/>
              </w:rPr>
              <w:t>▲吊塔采用高强度铝合金型材，抗拉伸强度≥</w:t>
            </w:r>
            <w:r>
              <w:rPr>
                <w:rFonts w:ascii="times new roman, times, serif" w:hAnsi="times new roman, times, serif" w:cs="times new roman, times, serif" w:eastAsia="times new roman, times, serif"/>
                <w:sz w:val="21"/>
              </w:rPr>
              <w:t>2</w:t>
            </w:r>
            <w:r>
              <w:rPr>
                <w:rFonts w:ascii="times new roman, times, serif" w:hAnsi="times new roman, times, serif" w:cs="times new roman, times, serif" w:eastAsia="times new roman, times, serif"/>
                <w:sz w:val="21"/>
              </w:rPr>
              <w:t>7</w:t>
            </w:r>
            <w:r>
              <w:rPr>
                <w:rFonts w:ascii="times new roman, times, serif" w:hAnsi="times new roman, times, serif" w:cs="times new roman, times, serif" w:eastAsia="times new roman, times, serif"/>
                <w:sz w:val="21"/>
              </w:rPr>
              <w:t>0</w:t>
            </w:r>
            <w:r>
              <w:rPr>
                <w:rFonts w:ascii="times new roman, times, serif" w:hAnsi="times new roman, times, serif" w:cs="times new roman, times, serif" w:eastAsia="times new roman, times, serif"/>
                <w:sz w:val="21"/>
              </w:rPr>
              <w:t>N/mm</w:t>
            </w:r>
            <w:r>
              <w:rPr>
                <w:rFonts w:ascii="times new roman, times, serif" w:hAnsi="times new roman, times, serif" w:cs="times new roman, times, serif" w:eastAsia="times new roman, times, serif"/>
                <w:sz w:val="21"/>
                <w:vertAlign w:val="superscript"/>
              </w:rPr>
              <w:t>2</w:t>
            </w:r>
            <w:r>
              <w:rPr>
                <w:rFonts w:ascii="宋体" w:hAnsi="宋体" w:cs="宋体" w:eastAsia="宋体"/>
                <w:sz w:val="21"/>
              </w:rPr>
              <w:t>。</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表面采用环保抑菌粉末，可抑制抑制大肠杆菌和</w:t>
            </w:r>
            <w:r>
              <w:rPr>
                <w:rFonts w:ascii="宋体" w:hAnsi="宋体" w:cs="宋体" w:eastAsia="宋体"/>
                <w:sz w:val="21"/>
              </w:rPr>
              <w:t>金黄色葡萄球菌</w:t>
            </w:r>
            <w:r>
              <w:rPr>
                <w:rFonts w:ascii="宋体" w:hAnsi="宋体" w:cs="宋体" w:eastAsia="宋体"/>
                <w:sz w:val="21"/>
              </w:rPr>
              <w:t>，抑菌率</w:t>
            </w:r>
            <w:r>
              <w:rPr>
                <w:rFonts w:ascii="宋体" w:hAnsi="宋体" w:cs="宋体" w:eastAsia="宋体"/>
                <w:sz w:val="21"/>
              </w:rPr>
              <w:t>≥</w:t>
            </w:r>
            <w:r>
              <w:rPr>
                <w:rFonts w:ascii="times new roman, times, serif" w:hAnsi="times new roman, times, serif" w:cs="times new roman, times, serif" w:eastAsia="times new roman, times, serif"/>
                <w:sz w:val="21"/>
              </w:rPr>
              <w:t>99.9%</w:t>
            </w:r>
            <w:r>
              <w:rPr>
                <w:rFonts w:ascii="宋体" w:hAnsi="宋体" w:cs="宋体" w:eastAsia="宋体"/>
                <w:sz w:val="21"/>
              </w:rPr>
              <w:t>。</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箱体功能面板采用独立的铝合金模块，气源、网口终端安装在铝合金模块上。</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rPr>
              <w:t>托盘采用全铝合金一体压铸成型，托盘两侧有封闭式铝合金边轨，无开口。</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1"/>
              </w:rPr>
              <w:t>双关节输注一体架支臂工作承重</w:t>
            </w:r>
            <w:r>
              <w:rPr>
                <w:rFonts w:ascii="宋体" w:hAnsi="宋体" w:cs="宋体" w:eastAsia="宋体"/>
                <w:sz w:val="21"/>
              </w:rPr>
              <w:t>≥</w:t>
            </w:r>
            <w:r>
              <w:rPr>
                <w:rFonts w:ascii="times new roman, times, serif" w:hAnsi="times new roman, times, serif" w:cs="times new roman, times, serif" w:eastAsia="times new roman, times, serif"/>
                <w:sz w:val="21"/>
              </w:rPr>
              <w:t>40KG</w:t>
            </w:r>
            <w:r>
              <w:rPr>
                <w:rFonts w:ascii="宋体" w:hAnsi="宋体" w:cs="宋体" w:eastAsia="宋体"/>
                <w:sz w:val="21"/>
              </w:rPr>
              <w:t>。</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sz w:val="21"/>
              </w:rPr>
              <w:t>所有吊塔箱体可旋转角度</w:t>
            </w:r>
            <w:r>
              <w:rPr>
                <w:rFonts w:ascii="宋体" w:hAnsi="宋体" w:cs="宋体" w:eastAsia="宋体"/>
                <w:sz w:val="21"/>
              </w:rPr>
              <w:t>≥</w:t>
            </w:r>
            <w:r>
              <w:rPr>
                <w:rFonts w:ascii="times new roman, times, serif" w:hAnsi="times new roman, times, serif" w:cs="times new roman, times, serif" w:eastAsia="times new roman, times, serif"/>
                <w:sz w:val="21"/>
              </w:rPr>
              <w:t>340</w:t>
            </w:r>
            <w:r>
              <w:rPr>
                <w:rFonts w:ascii="宋体" w:hAnsi="宋体" w:cs="宋体" w:eastAsia="宋体"/>
                <w:sz w:val="21"/>
              </w:rPr>
              <w:t>度。</w:t>
            </w:r>
          </w:p>
        </w:tc>
      </w:tr>
      <w:tr>
        <w:tc>
          <w:tcPr>
            <w:tcW w:type="dxa" w:w="2769"/>
          </w:tcPr>
          <w:p/>
        </w:tc>
        <w:tc>
          <w:tcPr>
            <w:tcW w:type="dxa" w:w="2769"/>
          </w:tcPr>
          <w:p>
            <w:pPr>
              <w:pStyle w:val="null3"/>
            </w:pPr>
            <w:r>
              <w:rPr/>
              <w:t>7</w:t>
            </w:r>
          </w:p>
        </w:tc>
        <w:tc>
          <w:tcPr>
            <w:tcW w:type="dxa" w:w="2769"/>
          </w:tcPr>
          <w:p>
            <w:pPr>
              <w:pStyle w:val="null3"/>
              <w:jc w:val="both"/>
            </w:pPr>
            <w:r>
              <w:rPr>
                <w:rFonts w:ascii="宋体" w:hAnsi="宋体" w:cs="宋体" w:eastAsia="宋体"/>
                <w:sz w:val="21"/>
              </w:rPr>
              <w:t>吊塔基础架负载</w:t>
            </w:r>
            <w:r>
              <w:rPr>
                <w:rFonts w:ascii="times new roman, times, serif" w:hAnsi="times new roman, times, serif" w:cs="times new roman, times, serif" w:eastAsia="times new roman, times, serif"/>
                <w:sz w:val="21"/>
              </w:rPr>
              <w:t>10000N</w:t>
            </w:r>
            <w:r>
              <w:rPr>
                <w:rFonts w:ascii="宋体" w:hAnsi="宋体" w:cs="宋体" w:eastAsia="宋体"/>
                <w:sz w:val="21"/>
              </w:rPr>
              <w:t>˙</w:t>
            </w:r>
            <w:r>
              <w:rPr>
                <w:rFonts w:ascii="times new roman, times, serif" w:hAnsi="times new roman, times, serif" w:cs="times new roman, times, serif" w:eastAsia="times new roman, times, serif"/>
                <w:sz w:val="21"/>
              </w:rPr>
              <w:t>m</w:t>
            </w:r>
            <w:r>
              <w:rPr>
                <w:rFonts w:ascii="宋体" w:hAnsi="宋体" w:cs="宋体" w:eastAsia="宋体"/>
                <w:sz w:val="21"/>
              </w:rPr>
              <w:t>的作用力持续</w:t>
            </w:r>
            <w:r>
              <w:rPr>
                <w:rFonts w:ascii="times new roman, times, serif" w:hAnsi="times new roman, times, serif" w:cs="times new roman, times, serif" w:eastAsia="times new roman, times, serif"/>
                <w:sz w:val="21"/>
              </w:rPr>
              <w:t>10min</w:t>
            </w:r>
            <w:r>
              <w:rPr>
                <w:rFonts w:ascii="宋体" w:hAnsi="宋体" w:cs="宋体" w:eastAsia="宋体"/>
                <w:sz w:val="21"/>
              </w:rPr>
              <w:t>，法兰盘水平倾斜角小于</w:t>
            </w:r>
            <w:r>
              <w:rPr>
                <w:rFonts w:ascii="times new roman, times, serif" w:hAnsi="times new roman, times, serif" w:cs="times new roman, times, serif" w:eastAsia="times new roman, times, serif"/>
                <w:sz w:val="21"/>
              </w:rPr>
              <w:t>0.6</w:t>
            </w:r>
            <w:r>
              <w:rPr>
                <w:rFonts w:ascii="宋体" w:hAnsi="宋体" w:cs="宋体" w:eastAsia="宋体"/>
                <w:sz w:val="21"/>
              </w:rPr>
              <w:t>°</w:t>
            </w:r>
          </w:p>
        </w:tc>
      </w:tr>
      <w:tr>
        <w:tc>
          <w:tcPr>
            <w:tcW w:type="dxa" w:w="2769"/>
          </w:tcPr>
          <w:p/>
        </w:tc>
        <w:tc>
          <w:tcPr>
            <w:tcW w:type="dxa" w:w="2769"/>
          </w:tcPr>
          <w:p>
            <w:pPr>
              <w:pStyle w:val="null3"/>
            </w:pPr>
            <w:r>
              <w:rPr/>
              <w:t>8</w:t>
            </w:r>
          </w:p>
        </w:tc>
        <w:tc>
          <w:tcPr>
            <w:tcW w:type="dxa" w:w="2769"/>
          </w:tcPr>
          <w:p>
            <w:pPr>
              <w:pStyle w:val="null3"/>
              <w:jc w:val="both"/>
            </w:pPr>
            <w:r>
              <w:rPr>
                <w:rFonts w:ascii="宋体" w:hAnsi="宋体" w:cs="宋体" w:eastAsia="宋体"/>
                <w:sz w:val="21"/>
              </w:rPr>
              <w:t>▲气体终端插拔次数≥</w:t>
            </w:r>
            <w:r>
              <w:rPr>
                <w:rFonts w:ascii="times new roman, times, serif" w:hAnsi="times new roman, times, serif" w:cs="times new roman, times, serif" w:eastAsia="times new roman, times, serif"/>
                <w:sz w:val="21"/>
              </w:rPr>
              <w:t>80000</w:t>
            </w:r>
            <w:r>
              <w:rPr>
                <w:rFonts w:ascii="宋体" w:hAnsi="宋体" w:cs="宋体" w:eastAsia="宋体"/>
                <w:sz w:val="21"/>
              </w:rPr>
              <w:t>次，终端可承受≥</w:t>
            </w:r>
            <w:r>
              <w:rPr>
                <w:rFonts w:ascii="times new roman, times, serif" w:hAnsi="times new roman, times, serif" w:cs="times new roman, times, serif" w:eastAsia="times new roman, times, serif"/>
                <w:sz w:val="21"/>
              </w:rPr>
              <w:t>500N</w:t>
            </w:r>
            <w:r>
              <w:rPr>
                <w:rFonts w:ascii="宋体" w:hAnsi="宋体" w:cs="宋体" w:eastAsia="宋体"/>
                <w:sz w:val="21"/>
              </w:rPr>
              <w:t>的轴向拉伸力。</w:t>
            </w:r>
          </w:p>
        </w:tc>
      </w:tr>
      <w:tr>
        <w:tc>
          <w:tcPr>
            <w:tcW w:type="dxa" w:w="2769"/>
          </w:tcPr>
          <w:p/>
        </w:tc>
        <w:tc>
          <w:tcPr>
            <w:tcW w:type="dxa" w:w="2769"/>
          </w:tcPr>
          <w:p>
            <w:pPr>
              <w:pStyle w:val="null3"/>
            </w:pPr>
            <w:r>
              <w:rPr/>
              <w:t>9</w:t>
            </w:r>
          </w:p>
        </w:tc>
        <w:tc>
          <w:tcPr>
            <w:tcW w:type="dxa" w:w="2769"/>
          </w:tcPr>
          <w:p>
            <w:pPr>
              <w:pStyle w:val="null3"/>
              <w:jc w:val="both"/>
            </w:pPr>
            <w:r>
              <w:rPr>
                <w:rFonts w:ascii="宋体" w:hAnsi="宋体" w:cs="宋体" w:eastAsia="宋体"/>
                <w:sz w:val="21"/>
              </w:rPr>
              <w:t>电源采用双排五插插座</w:t>
            </w:r>
            <w:r>
              <w:rPr>
                <w:rFonts w:ascii="宋体" w:hAnsi="宋体" w:cs="宋体" w:eastAsia="宋体"/>
                <w:sz w:val="21"/>
              </w:rPr>
              <w:t>。</w:t>
            </w:r>
          </w:p>
        </w:tc>
      </w:tr>
      <w:tr>
        <w:tc>
          <w:tcPr>
            <w:tcW w:type="dxa" w:w="2769"/>
          </w:tcPr>
          <w:p/>
        </w:tc>
        <w:tc>
          <w:tcPr>
            <w:tcW w:type="dxa" w:w="2769"/>
          </w:tcPr>
          <w:p>
            <w:pPr>
              <w:pStyle w:val="null3"/>
            </w:pPr>
            <w:r>
              <w:rPr/>
              <w:t>10</w:t>
            </w:r>
          </w:p>
        </w:tc>
        <w:tc>
          <w:tcPr>
            <w:tcW w:type="dxa" w:w="2769"/>
          </w:tcPr>
          <w:p>
            <w:pPr>
              <w:pStyle w:val="null3"/>
              <w:jc w:val="both"/>
            </w:pPr>
            <w:r>
              <w:rPr>
                <w:rFonts w:ascii="宋体" w:hAnsi="宋体" w:cs="宋体" w:eastAsia="宋体"/>
                <w:sz w:val="21"/>
              </w:rPr>
              <w:t>采用优质气体管路</w:t>
            </w:r>
            <w:r>
              <w:rPr>
                <w:rFonts w:ascii="宋体" w:hAnsi="宋体" w:cs="宋体" w:eastAsia="宋体"/>
                <w:sz w:val="21"/>
              </w:rPr>
              <w:t>。</w:t>
            </w:r>
          </w:p>
        </w:tc>
      </w:tr>
      <w:tr>
        <w:tc>
          <w:tcPr>
            <w:tcW w:type="dxa" w:w="2769"/>
          </w:tcPr>
          <w:p/>
        </w:tc>
        <w:tc>
          <w:tcPr>
            <w:tcW w:type="dxa" w:w="2769"/>
          </w:tcPr>
          <w:p>
            <w:pPr>
              <w:pStyle w:val="null3"/>
            </w:pPr>
            <w:r>
              <w:rPr/>
              <w:t>11</w:t>
            </w:r>
          </w:p>
        </w:tc>
        <w:tc>
          <w:tcPr>
            <w:tcW w:type="dxa" w:w="2769"/>
          </w:tcPr>
          <w:p>
            <w:pPr>
              <w:pStyle w:val="null3"/>
              <w:jc w:val="both"/>
            </w:pPr>
            <w:r>
              <w:rPr>
                <w:rFonts w:ascii="宋体" w:hAnsi="宋体" w:cs="宋体" w:eastAsia="宋体"/>
                <w:sz w:val="21"/>
              </w:rPr>
              <w:t>▲吊塔工作承重≥</w:t>
            </w:r>
            <w:r>
              <w:rPr>
                <w:rFonts w:ascii="times new roman, times, serif" w:hAnsi="times new roman, times, serif" w:cs="times new roman, times, serif" w:eastAsia="times new roman, times, serif"/>
                <w:sz w:val="21"/>
              </w:rPr>
              <w:t>200KG</w:t>
            </w:r>
            <w:r>
              <w:rPr>
                <w:rFonts w:ascii="宋体" w:hAnsi="宋体" w:cs="宋体" w:eastAsia="宋体"/>
                <w:sz w:val="21"/>
              </w:rPr>
              <w:t>，安全承重通过</w:t>
            </w:r>
            <w:r>
              <w:rPr>
                <w:rFonts w:ascii="times new roman, times, serif" w:hAnsi="times new roman, times, serif" w:cs="times new roman, times, serif" w:eastAsia="times new roman, times, serif"/>
                <w:sz w:val="21"/>
              </w:rPr>
              <w:t>4</w:t>
            </w:r>
            <w:r>
              <w:rPr>
                <w:rFonts w:ascii="宋体" w:hAnsi="宋体" w:cs="宋体" w:eastAsia="宋体"/>
                <w:sz w:val="21"/>
              </w:rPr>
              <w:t>倍工作承重测试。</w:t>
            </w:r>
          </w:p>
        </w:tc>
      </w:tr>
      <w:tr>
        <w:tc>
          <w:tcPr>
            <w:tcW w:type="dxa" w:w="2769"/>
          </w:tcPr>
          <w:p/>
        </w:tc>
        <w:tc>
          <w:tcPr>
            <w:tcW w:type="dxa" w:w="2769"/>
          </w:tcPr>
          <w:p>
            <w:pPr>
              <w:pStyle w:val="null3"/>
            </w:pPr>
            <w:r>
              <w:rPr/>
              <w:t>12</w:t>
            </w:r>
          </w:p>
        </w:tc>
        <w:tc>
          <w:tcPr>
            <w:tcW w:type="dxa" w:w="2769"/>
          </w:tcPr>
          <w:p>
            <w:pPr>
              <w:pStyle w:val="null3"/>
              <w:jc w:val="both"/>
            </w:pPr>
            <w:r>
              <w:rPr>
                <w:rFonts w:ascii="宋体" w:hAnsi="宋体" w:cs="宋体" w:eastAsia="宋体"/>
                <w:sz w:val="21"/>
              </w:rPr>
              <w:t>吊塔防尘等级达到</w:t>
            </w:r>
            <w:r>
              <w:rPr>
                <w:rFonts w:ascii="times new roman, times, serif" w:hAnsi="times new roman, times, serif" w:cs="times new roman, times, serif" w:eastAsia="times new roman, times, serif"/>
                <w:sz w:val="21"/>
              </w:rPr>
              <w:t>IP3X</w:t>
            </w:r>
            <w:r>
              <w:rPr>
                <w:rFonts w:ascii="宋体" w:hAnsi="宋体" w:cs="宋体" w:eastAsia="宋体"/>
                <w:sz w:val="21"/>
              </w:rPr>
              <w:t>或以上；吊塔外壳防火等级要求达到</w:t>
            </w:r>
            <w:r>
              <w:rPr>
                <w:rFonts w:ascii="times new roman, times, serif" w:hAnsi="times new roman, times, serif" w:cs="times new roman, times, serif" w:eastAsia="times new roman, times, serif"/>
                <w:sz w:val="21"/>
              </w:rPr>
              <w:t>UL94-V0</w:t>
            </w:r>
            <w:r>
              <w:rPr>
                <w:rFonts w:ascii="宋体" w:hAnsi="宋体" w:cs="宋体" w:eastAsia="宋体"/>
                <w:sz w:val="21"/>
              </w:rPr>
              <w:t>。</w:t>
            </w:r>
          </w:p>
        </w:tc>
      </w:tr>
      <w:tr>
        <w:tc>
          <w:tcPr>
            <w:tcW w:type="dxa" w:w="2769"/>
          </w:tcPr>
          <w:p/>
        </w:tc>
        <w:tc>
          <w:tcPr>
            <w:tcW w:type="dxa" w:w="2769"/>
          </w:tcPr>
          <w:p>
            <w:pPr>
              <w:pStyle w:val="null3"/>
            </w:pPr>
            <w:r>
              <w:rPr/>
              <w:t>13</w:t>
            </w:r>
          </w:p>
        </w:tc>
        <w:tc>
          <w:tcPr>
            <w:tcW w:type="dxa" w:w="2769"/>
          </w:tcPr>
          <w:p>
            <w:pPr>
              <w:pStyle w:val="null3"/>
              <w:jc w:val="both"/>
            </w:pPr>
            <w:r>
              <w:rPr>
                <w:rFonts w:ascii="宋体" w:hAnsi="宋体" w:cs="宋体" w:eastAsia="宋体"/>
                <w:sz w:val="21"/>
              </w:rPr>
              <w:t>旋转臂：旋转半径</w:t>
            </w:r>
            <w:r>
              <w:rPr>
                <w:rFonts w:ascii="宋体" w:hAnsi="宋体" w:cs="宋体" w:eastAsia="宋体"/>
                <w:sz w:val="21"/>
              </w:rPr>
              <w:t>≥</w:t>
            </w:r>
            <w:r>
              <w:rPr>
                <w:rFonts w:ascii="times new roman, times, serif" w:hAnsi="times new roman, times, serif" w:cs="times new roman, times, serif" w:eastAsia="times new roman, times, serif"/>
                <w:sz w:val="21"/>
              </w:rPr>
              <w:t>1500mm</w:t>
            </w:r>
            <w:r>
              <w:rPr>
                <w:rFonts w:ascii="宋体" w:hAnsi="宋体" w:cs="宋体" w:eastAsia="宋体"/>
                <w:sz w:val="21"/>
              </w:rPr>
              <w:t>。</w:t>
            </w:r>
          </w:p>
        </w:tc>
      </w:tr>
      <w:tr>
        <w:tc>
          <w:tcPr>
            <w:tcW w:type="dxa" w:w="2769"/>
          </w:tcPr>
          <w:p/>
        </w:tc>
        <w:tc>
          <w:tcPr>
            <w:tcW w:type="dxa" w:w="2769"/>
          </w:tcPr>
          <w:p>
            <w:pPr>
              <w:pStyle w:val="null3"/>
            </w:pPr>
            <w:r>
              <w:rPr/>
              <w:t>14</w:t>
            </w:r>
          </w:p>
        </w:tc>
        <w:tc>
          <w:tcPr>
            <w:tcW w:type="dxa" w:w="2769"/>
          </w:tcPr>
          <w:p>
            <w:pPr>
              <w:pStyle w:val="null3"/>
              <w:jc w:val="both"/>
            </w:pPr>
            <w:r>
              <w:rPr>
                <w:rFonts w:ascii="宋体" w:hAnsi="宋体" w:cs="宋体" w:eastAsia="宋体"/>
                <w:sz w:val="21"/>
              </w:rPr>
              <w:t>吊柱式气电功能箱：长度</w:t>
            </w:r>
            <w:r>
              <w:rPr>
                <w:rFonts w:ascii="宋体" w:hAnsi="宋体" w:cs="宋体" w:eastAsia="宋体"/>
                <w:sz w:val="21"/>
              </w:rPr>
              <w:t>≥</w:t>
            </w:r>
            <w:r>
              <w:rPr>
                <w:rFonts w:ascii="times new roman, times, serif" w:hAnsi="times new roman, times, serif" w:cs="times new roman, times, serif" w:eastAsia="times new roman, times, serif"/>
                <w:sz w:val="21"/>
              </w:rPr>
              <w:t>800mm</w:t>
            </w:r>
            <w:r>
              <w:rPr>
                <w:rFonts w:ascii="宋体" w:hAnsi="宋体" w:cs="宋体" w:eastAsia="宋体"/>
                <w:sz w:val="21"/>
              </w:rPr>
              <w:t>。</w:t>
            </w:r>
          </w:p>
        </w:tc>
      </w:tr>
      <w:tr>
        <w:tc>
          <w:tcPr>
            <w:tcW w:type="dxa" w:w="2769"/>
          </w:tcPr>
          <w:p/>
        </w:tc>
        <w:tc>
          <w:tcPr>
            <w:tcW w:type="dxa" w:w="2769"/>
          </w:tcPr>
          <w:p>
            <w:pPr>
              <w:pStyle w:val="null3"/>
            </w:pPr>
            <w:r>
              <w:rPr/>
              <w:t>15</w:t>
            </w:r>
          </w:p>
        </w:tc>
        <w:tc>
          <w:tcPr>
            <w:tcW w:type="dxa" w:w="2769"/>
          </w:tcPr>
          <w:p>
            <w:pPr>
              <w:pStyle w:val="null3"/>
              <w:jc w:val="both"/>
            </w:pPr>
            <w:r>
              <w:rPr>
                <w:rFonts w:ascii="宋体" w:hAnsi="宋体" w:cs="宋体" w:eastAsia="宋体"/>
              </w:rPr>
              <w:t>配置要求</w:t>
            </w:r>
          </w:p>
          <w:p>
            <w:pPr>
              <w:pStyle w:val="null3"/>
              <w:jc w:val="both"/>
            </w:pPr>
            <w:r>
              <w:rPr>
                <w:rFonts w:ascii="calibri" w:hAnsi="calibri" w:cs="calibri" w:eastAsia="calibri"/>
              </w:rPr>
              <w:t>15.1</w:t>
            </w:r>
            <w:r>
              <w:rPr>
                <w:rFonts w:ascii="宋体" w:hAnsi="宋体" w:cs="宋体" w:eastAsia="宋体"/>
              </w:rPr>
              <w:t>仪器平台</w:t>
            </w:r>
            <w:r>
              <w:rPr>
                <w:rFonts w:ascii="calibri" w:hAnsi="calibri" w:cs="calibri" w:eastAsia="calibri"/>
              </w:rPr>
              <w:t>2</w:t>
            </w:r>
            <w:r>
              <w:rPr>
                <w:rFonts w:ascii="宋体" w:hAnsi="宋体" w:cs="宋体" w:eastAsia="宋体"/>
              </w:rPr>
              <w:t>层（带抽屉</w:t>
            </w:r>
            <w:r>
              <w:rPr>
                <w:rFonts w:ascii="calibri" w:hAnsi="calibri" w:cs="calibri" w:eastAsia="calibri"/>
              </w:rPr>
              <w:t>1</w:t>
            </w:r>
            <w:r>
              <w:rPr>
                <w:rFonts w:ascii="宋体" w:hAnsi="宋体" w:cs="宋体" w:eastAsia="宋体"/>
              </w:rPr>
              <w:t>个）。</w:t>
            </w:r>
          </w:p>
          <w:p>
            <w:pPr>
              <w:pStyle w:val="null3"/>
              <w:jc w:val="both"/>
            </w:pPr>
            <w:r>
              <w:rPr>
                <w:rFonts w:ascii="calibri" w:hAnsi="calibri" w:cs="calibri" w:eastAsia="calibri"/>
              </w:rPr>
              <w:t>15.2</w:t>
            </w:r>
            <w:r>
              <w:rPr>
                <w:rFonts w:ascii="宋体" w:hAnsi="宋体" w:cs="宋体" w:eastAsia="宋体"/>
              </w:rPr>
              <w:t>德标气体终端</w:t>
            </w:r>
            <w:r>
              <w:rPr>
                <w:rFonts w:ascii="calibri" w:hAnsi="calibri" w:cs="calibri" w:eastAsia="calibri"/>
              </w:rPr>
              <w:t>4</w:t>
            </w:r>
            <w:r>
              <w:rPr>
                <w:rFonts w:ascii="宋体" w:hAnsi="宋体" w:cs="宋体" w:eastAsia="宋体"/>
              </w:rPr>
              <w:t>个：氧气</w:t>
            </w:r>
            <w:r>
              <w:rPr>
                <w:rFonts w:ascii="calibri" w:hAnsi="calibri" w:cs="calibri" w:eastAsia="calibri"/>
              </w:rPr>
              <w:t>2</w:t>
            </w:r>
            <w:r>
              <w:rPr>
                <w:rFonts w:ascii="宋体" w:hAnsi="宋体" w:cs="宋体" w:eastAsia="宋体"/>
              </w:rPr>
              <w:t>个、空气</w:t>
            </w:r>
            <w:r>
              <w:rPr>
                <w:rFonts w:ascii="calibri" w:hAnsi="calibri" w:cs="calibri" w:eastAsia="calibri"/>
              </w:rPr>
              <w:t>1</w:t>
            </w:r>
            <w:r>
              <w:rPr>
                <w:rFonts w:ascii="宋体" w:hAnsi="宋体" w:cs="宋体" w:eastAsia="宋体"/>
              </w:rPr>
              <w:t>个、负压吸引</w:t>
            </w:r>
            <w:r>
              <w:rPr>
                <w:rFonts w:ascii="calibri" w:hAnsi="calibri" w:cs="calibri" w:eastAsia="calibri"/>
              </w:rPr>
              <w:t>1</w:t>
            </w:r>
            <w:r>
              <w:rPr>
                <w:rFonts w:ascii="宋体" w:hAnsi="宋体" w:cs="宋体" w:eastAsia="宋体"/>
              </w:rPr>
              <w:t>个。</w:t>
            </w:r>
          </w:p>
          <w:p>
            <w:pPr>
              <w:pStyle w:val="null3"/>
              <w:jc w:val="both"/>
            </w:pPr>
            <w:r>
              <w:rPr>
                <w:rFonts w:ascii="calibri" w:hAnsi="calibri" w:cs="calibri" w:eastAsia="calibri"/>
              </w:rPr>
              <w:t xml:space="preserve">15.3 </w:t>
            </w:r>
            <w:r>
              <w:rPr>
                <w:rFonts w:ascii="calibri" w:hAnsi="calibri" w:cs="calibri" w:eastAsia="calibri"/>
              </w:rPr>
              <w:t>220V/10A</w:t>
            </w:r>
            <w:r>
              <w:rPr>
                <w:rFonts w:ascii="宋体" w:hAnsi="宋体" w:cs="宋体" w:eastAsia="宋体"/>
              </w:rPr>
              <w:t>国标五插电源插座</w:t>
            </w:r>
            <w:r>
              <w:rPr>
                <w:rFonts w:ascii="calibri" w:hAnsi="calibri" w:cs="calibri" w:eastAsia="calibri"/>
              </w:rPr>
              <w:t>8</w:t>
            </w:r>
            <w:r>
              <w:rPr>
                <w:rFonts w:ascii="宋体" w:hAnsi="宋体" w:cs="宋体" w:eastAsia="宋体"/>
              </w:rPr>
              <w:t>个，六类网络接口</w:t>
            </w:r>
            <w:r>
              <w:rPr>
                <w:rFonts w:ascii="calibri" w:hAnsi="calibri" w:cs="calibri" w:eastAsia="calibri"/>
              </w:rPr>
              <w:t>2</w:t>
            </w:r>
            <w:r>
              <w:rPr>
                <w:rFonts w:ascii="宋体" w:hAnsi="宋体" w:cs="宋体" w:eastAsia="宋体"/>
              </w:rPr>
              <w:t>个。</w:t>
            </w:r>
          </w:p>
          <w:p>
            <w:pPr>
              <w:pStyle w:val="null3"/>
              <w:jc w:val="both"/>
            </w:pPr>
            <w:r>
              <w:rPr>
                <w:rFonts w:ascii="calibri" w:hAnsi="calibri" w:cs="calibri" w:eastAsia="calibri"/>
              </w:rPr>
              <w:t>15.4</w:t>
            </w:r>
            <w:r>
              <w:rPr>
                <w:rFonts w:ascii="宋体" w:hAnsi="宋体" w:cs="宋体" w:eastAsia="宋体"/>
              </w:rPr>
              <w:t>高度可调双关节输液支架</w:t>
            </w:r>
            <w:r>
              <w:rPr>
                <w:rFonts w:ascii="calibri" w:hAnsi="calibri" w:cs="calibri" w:eastAsia="calibri"/>
              </w:rPr>
              <w:t>1</w:t>
            </w:r>
            <w:r>
              <w:rPr>
                <w:rFonts w:ascii="宋体" w:hAnsi="宋体" w:cs="宋体" w:eastAsia="宋体"/>
              </w:rPr>
              <w:t>个，网篮</w:t>
            </w:r>
            <w:r>
              <w:rPr>
                <w:rFonts w:ascii="calibri" w:hAnsi="calibri" w:cs="calibri" w:eastAsia="calibri"/>
              </w:rPr>
              <w:t>1</w:t>
            </w:r>
            <w:r>
              <w:rPr>
                <w:rFonts w:ascii="宋体" w:hAnsi="宋体" w:cs="宋体" w:eastAsia="宋体"/>
              </w:rPr>
              <w:t>个。</w:t>
            </w:r>
          </w:p>
          <w:p>
            <w:pPr>
              <w:pStyle w:val="null3"/>
              <w:jc w:val="both"/>
            </w:pPr>
            <w:r>
              <w:rPr>
                <w:rFonts w:ascii="calibri" w:hAnsi="calibri" w:cs="calibri" w:eastAsia="calibri"/>
              </w:rPr>
              <w:t>15.5</w:t>
            </w:r>
            <w:r>
              <w:rPr>
                <w:rFonts w:ascii="宋体" w:hAnsi="宋体" w:cs="宋体" w:eastAsia="宋体"/>
              </w:rPr>
              <w:t>线缆收纳挂钩</w:t>
            </w:r>
            <w:r>
              <w:rPr>
                <w:rFonts w:ascii="calibri" w:hAnsi="calibri" w:cs="calibri" w:eastAsia="calibri"/>
              </w:rPr>
              <w:t>1</w:t>
            </w:r>
            <w:r>
              <w:rPr>
                <w:rFonts w:ascii="宋体" w:hAnsi="宋体" w:cs="宋体" w:eastAsia="宋体"/>
              </w:rPr>
              <w:t>个，线缆收纳盒</w:t>
            </w:r>
            <w:r>
              <w:rPr>
                <w:rFonts w:ascii="calibri" w:hAnsi="calibri" w:cs="calibri" w:eastAsia="calibri"/>
              </w:rPr>
              <w:t>1</w:t>
            </w:r>
            <w:r>
              <w:rPr>
                <w:rFonts w:ascii="宋体" w:hAnsi="宋体" w:cs="宋体" w:eastAsia="宋体"/>
              </w:rPr>
              <w:t>个。</w:t>
            </w:r>
          </w:p>
          <w:p>
            <w:pPr>
              <w:pStyle w:val="null3"/>
              <w:jc w:val="both"/>
            </w:pPr>
            <w:r>
              <w:rPr>
                <w:rFonts w:ascii="宋体" w:hAnsi="宋体" w:cs="宋体" w:eastAsia="宋体"/>
                <w:sz w:val="21"/>
              </w:rPr>
              <w:t>注：技术要求标</w:t>
            </w:r>
            <w:r>
              <w:rPr>
                <w:rFonts w:ascii="宋体" w:hAnsi="宋体" w:cs="宋体" w:eastAsia="宋体"/>
                <w:sz w:val="21"/>
              </w:rPr>
              <w:t>“</w:t>
            </w:r>
            <w:r>
              <w:rPr>
                <w:rFonts w:ascii="times new roman, times, serif" w:hAnsi="times new roman, times, serif" w:cs="times new roman, times, serif" w:eastAsia="times new roman, times, serif"/>
                <w:sz w:val="21"/>
              </w:rPr>
              <w:t>▲</w:t>
            </w:r>
            <w:r>
              <w:rPr>
                <w:rFonts w:ascii="宋体" w:hAnsi="宋体" w:cs="宋体" w:eastAsia="宋体"/>
                <w:sz w:val="21"/>
              </w:rPr>
              <w:t>”项参数须提供佐证材料，佐证材料为检测报告或宣传彩页或技术白皮书等，需体现出产品参数符合采购文件技术要求。</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自合同签订之日起30日历天</w:t>
      </w:r>
    </w:p>
    <w:p>
      <w:pPr>
        <w:pStyle w:val="null3"/>
        <w:outlineLvl w:val="3"/>
      </w:pPr>
      <w:r>
        <w:rPr>
          <w:sz w:val="24"/>
          <w:b/>
        </w:rPr>
        <w:t>3.4.2交货地点</w:t>
      </w:r>
    </w:p>
    <w:p>
      <w:pPr>
        <w:pStyle w:val="null3"/>
      </w:pPr>
      <w:r>
        <w:rPr/>
        <w:t>采购包1：</w:t>
      </w:r>
    </w:p>
    <w:p>
      <w:pPr>
        <w:pStyle w:val="null3"/>
      </w:pPr>
      <w:r>
        <w:rPr/>
        <w:t>汉中市中医医院指定地点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5</w:t>
      </w:r>
      <w:r>
        <w:rPr/>
        <w:t xml:space="preserve"> 日内，支付合同总金额的 </w:t>
      </w:r>
      <w:r>
        <w:rPr/>
        <w:t>50.00</w:t>
      </w:r>
      <w:r>
        <w:rPr/>
        <w:t>%。</w:t>
      </w:r>
    </w:p>
    <w:p>
      <w:pPr>
        <w:pStyle w:val="null3"/>
      </w:pPr>
      <w:r>
        <w:rPr/>
        <w:t>采购包1：</w:t>
      </w:r>
      <w:r>
        <w:rPr/>
        <w:t xml:space="preserve"> 付款条件说明： </w:t>
      </w:r>
      <w:r>
        <w:rPr/>
        <w:t>安装调试验收合格后</w:t>
      </w:r>
      <w:r>
        <w:rPr/>
        <w:t xml:space="preserve"> ，达到付款条件起 </w:t>
      </w:r>
      <w:r>
        <w:rPr/>
        <w:t>5</w:t>
      </w:r>
      <w:r>
        <w:rPr/>
        <w:t xml:space="preserve"> 日内，支付合同总金额的 </w:t>
      </w:r>
      <w:r>
        <w:rPr/>
        <w:t>50.00</w:t>
      </w:r>
      <w:r>
        <w:rPr/>
        <w:t>%。</w:t>
      </w:r>
    </w:p>
    <w:p>
      <w:pPr>
        <w:pStyle w:val="null3"/>
        <w:outlineLvl w:val="3"/>
      </w:pPr>
      <w:r>
        <w:rPr>
          <w:sz w:val="24"/>
          <w:b/>
        </w:rPr>
        <w:t>3.4.5验收标准和方法</w:t>
      </w:r>
    </w:p>
    <w:p>
      <w:pPr>
        <w:pStyle w:val="null3"/>
      </w:pPr>
      <w:r>
        <w:rPr/>
        <w:t>采购包1：</w:t>
      </w:r>
    </w:p>
    <w:p>
      <w:pPr>
        <w:pStyle w:val="null3"/>
      </w:pPr>
      <w:r>
        <w:rPr/>
        <w:t>1.项目实施完毕后，投标人应向采购人提交项目验收报告，申请项目验收，并将项目实施过程中相关资料提交采购人。 采购人收到项目验收报告后，组织相关人员进行验收。 验收标准按照国家、行业有关规范和要求执行。 投标人承诺完全达到国家有关部门验收标准，并全部通过验收为交付使用的基本条件，验收过程中的一切费用由投标人承担。 2.验收依据：招标文件、投标文件、（如有）澄清表/函；合同及附件文本；国家相应的标准及规范。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1.质保期为终验合格后2年。（中标人承诺的质保时间超过招标文件要求的，按其承诺时间质保）2.中标人承诺的质保期起始时间为终验合格之日。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sz w:val="24"/>
          <w:b/>
        </w:rPr>
        <w:t>3.4.8违约责任与解决争议的方法</w:t>
      </w:r>
    </w:p>
    <w:p>
      <w:pPr>
        <w:pStyle w:val="null3"/>
      </w:pPr>
      <w:r>
        <w:rPr/>
        <w:t>采购包1：</w:t>
      </w:r>
    </w:p>
    <w:p>
      <w:pPr>
        <w:pStyle w:val="null3"/>
      </w:pPr>
      <w:r>
        <w:rPr/>
        <w:t>因执行本合同所发生的或与本合同有关的一切争议,双方应通过友好协商解决。如果协商开始后六十（60）天还不能解决，双方可向采购人所在地有管辖权的人民法院起诉。</w:t>
      </w:r>
    </w:p>
    <w:p>
      <w:pPr>
        <w:pStyle w:val="null3"/>
        <w:jc w:val="left"/>
        <w:outlineLvl w:val="2"/>
      </w:pPr>
      <w:r>
        <w:rPr>
          <w:sz w:val="28"/>
          <w:b/>
        </w:rPr>
        <w:t>3.5其他要求</w:t>
      </w:r>
    </w:p>
    <w:p>
      <w:pPr>
        <w:pStyle w:val="null3"/>
      </w:pPr>
      <w:r>
        <w:rPr/>
        <w:t>1.中标人在中标结果发布后3个工作日内向代理机构提交纸质版投标文件以便于存档，响应文件正本1份，副本2份，电子版文件2份（以U盘为载体，电子版内容包括Word版本、签字盖章扫描后的PDF版本投标文件）。纸质响应文件均须A4纸打印，分别各自装订成册并编制目录和页码。 2.线下递交响应文件地点： 西安市雁塔区科技二路71号竹园·天寰国际1107室。 3.如投标文件中融资相关内容与新政策要求有出入，按照最新要求执行。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一般资格要求及特殊资格要求</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一般资格要求及特殊资格要求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一般资格要求及特殊资格要求</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投标人应授权合法的人员参加投标全过程</w:t>
            </w:r>
          </w:p>
        </w:tc>
        <w:tc>
          <w:tcPr>
            <w:tcW w:type="dxa" w:w="3322"/>
          </w:tcPr>
          <w:p>
            <w:pPr>
              <w:pStyle w:val="null3"/>
            </w:pPr>
            <w:r>
              <w:rPr/>
              <w:t>法定代表人授权代表参加投标的，须出具法定代表人授权委托书（法定代表人授权委托书中附法定代表人身份证复印件及被授权人身份证复印件）；法定代表人直接参加投标只须提供法定代表人资格证明书（附法定代表人身份证复印件）；采购文件凡是法定代表人之处，非法人单位的负责人均参照执行。</w:t>
            </w:r>
          </w:p>
        </w:tc>
        <w:tc>
          <w:tcPr>
            <w:tcW w:type="dxa" w:w="1661"/>
          </w:tcPr>
          <w:p>
            <w:pPr>
              <w:pStyle w:val="null3"/>
            </w:pPr>
            <w:r>
              <w:rPr/>
              <w:t>一般资格要求及特殊资格要求</w:t>
            </w:r>
          </w:p>
        </w:tc>
      </w:tr>
      <w:tr>
        <w:tc>
          <w:tcPr>
            <w:tcW w:type="dxa" w:w="831"/>
          </w:tcPr>
          <w:p>
            <w:pPr>
              <w:pStyle w:val="null3"/>
            </w:pPr>
            <w:r>
              <w:rPr/>
              <w:t>2</w:t>
            </w:r>
          </w:p>
        </w:tc>
        <w:tc>
          <w:tcPr>
            <w:tcW w:type="dxa" w:w="2492"/>
          </w:tcPr>
          <w:p>
            <w:pPr>
              <w:pStyle w:val="null3"/>
            </w:pPr>
            <w:r>
              <w:rPr/>
              <w:t>信用证明</w:t>
            </w:r>
          </w:p>
        </w:tc>
        <w:tc>
          <w:tcPr>
            <w:tcW w:type="dxa" w:w="3322"/>
          </w:tcPr>
          <w:p>
            <w:pPr>
              <w:pStyle w:val="null3"/>
            </w:pPr>
            <w:r>
              <w:rPr/>
              <w:t>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t>一般资格要求及特殊资格要求</w:t>
            </w:r>
          </w:p>
        </w:tc>
      </w:tr>
      <w:tr>
        <w:tc>
          <w:tcPr>
            <w:tcW w:type="dxa" w:w="831"/>
          </w:tcPr>
          <w:p>
            <w:pPr>
              <w:pStyle w:val="null3"/>
            </w:pPr>
            <w:r>
              <w:rPr/>
              <w:t>3</w:t>
            </w:r>
          </w:p>
        </w:tc>
        <w:tc>
          <w:tcPr>
            <w:tcW w:type="dxa" w:w="2492"/>
          </w:tcPr>
          <w:p>
            <w:pPr>
              <w:pStyle w:val="null3"/>
            </w:pPr>
            <w:r>
              <w:rPr/>
              <w:t>投标人须为具有独立承担民事责任能力的法人、其他组织或自然人</w:t>
            </w:r>
          </w:p>
        </w:tc>
        <w:tc>
          <w:tcPr>
            <w:tcW w:type="dxa" w:w="3322"/>
          </w:tcPr>
          <w:p>
            <w:pPr>
              <w:pStyle w:val="null3"/>
            </w:pPr>
            <w:r>
              <w:rPr/>
              <w:t>出具合法有效的营业执照或事业单位法人证书等国家规定的相关证明，自然人参与的提供其身份证明。</w:t>
            </w:r>
          </w:p>
        </w:tc>
        <w:tc>
          <w:tcPr>
            <w:tcW w:type="dxa" w:w="1661"/>
          </w:tcPr>
          <w:p>
            <w:pPr>
              <w:pStyle w:val="null3"/>
            </w:pPr>
            <w:r>
              <w:rPr/>
              <w:t>一般资格要求及特殊资格要求</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提供2023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t>一般资格要求及特殊资格要求</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提供自2023年12月1日以来已缴存的任意1个月的社会保障资金缴存单据或社保机构开具的社会保险参保缴费情况证明；依法不需要缴纳社会保障资金的投标人应提供相关证明文件。</w:t>
            </w:r>
          </w:p>
        </w:tc>
        <w:tc>
          <w:tcPr>
            <w:tcW w:type="dxa" w:w="1661"/>
          </w:tcPr>
          <w:p>
            <w:pPr>
              <w:pStyle w:val="null3"/>
            </w:pPr>
            <w:r>
              <w:rPr/>
              <w:t>一般资格要求及特殊资格要求</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提供自2023年12月1日以来已缴纳的任意1个月的依法缴纳税收的相关凭据(时间以税款所属日期为准)，凭据应有税务机关或代收机关的公章或业务专用章；依法免税或无须缴纳税收的投标人，应提供相应证明文件。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t>一般资格要求及特殊资格要求</w:t>
            </w:r>
          </w:p>
        </w:tc>
      </w:tr>
      <w:tr>
        <w:tc>
          <w:tcPr>
            <w:tcW w:type="dxa" w:w="831"/>
          </w:tcPr>
          <w:p>
            <w:pPr>
              <w:pStyle w:val="null3"/>
            </w:pPr>
            <w:r>
              <w:rPr/>
              <w:t>7</w:t>
            </w:r>
          </w:p>
        </w:tc>
        <w:tc>
          <w:tcPr>
            <w:tcW w:type="dxa" w:w="2492"/>
          </w:tcPr>
          <w:p>
            <w:pPr>
              <w:pStyle w:val="null3"/>
            </w:pPr>
            <w:r>
              <w:rPr/>
              <w:t>提供具有履行合同所必需的设备和专业技术能力的书面承诺</w:t>
            </w:r>
          </w:p>
        </w:tc>
        <w:tc>
          <w:tcPr>
            <w:tcW w:type="dxa" w:w="3322"/>
          </w:tcPr>
          <w:p>
            <w:pPr>
              <w:pStyle w:val="null3"/>
            </w:pPr>
            <w:r>
              <w:rPr/>
              <w:t>提供具有履行合同所必需的设备和专业技术能力的书面承诺，加盖投标人公章。</w:t>
            </w:r>
          </w:p>
        </w:tc>
        <w:tc>
          <w:tcPr>
            <w:tcW w:type="dxa" w:w="1661"/>
          </w:tcPr>
          <w:p>
            <w:pPr>
              <w:pStyle w:val="null3"/>
            </w:pPr>
            <w:r>
              <w:rPr/>
              <w:t>一般资格要求及特殊资格要求</w:t>
            </w:r>
          </w:p>
        </w:tc>
      </w:tr>
      <w:tr>
        <w:tc>
          <w:tcPr>
            <w:tcW w:type="dxa" w:w="831"/>
          </w:tcPr>
          <w:p>
            <w:pPr>
              <w:pStyle w:val="null3"/>
            </w:pPr>
            <w:r>
              <w:rPr/>
              <w:t>8</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提供参加政府采购活动前三年内在经营活动中没有重大违法记录的书面声明，加盖投标人公章。</w:t>
            </w:r>
          </w:p>
        </w:tc>
        <w:tc>
          <w:tcPr>
            <w:tcW w:type="dxa" w:w="1661"/>
          </w:tcPr>
          <w:p>
            <w:pPr>
              <w:pStyle w:val="null3"/>
            </w:pPr>
            <w:r>
              <w:rPr/>
              <w:t>一般资格要求及特殊资格要求</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t>一般资格要求及特殊资格要求</w:t>
            </w:r>
          </w:p>
        </w:tc>
      </w:tr>
      <w:tr>
        <w:tc>
          <w:tcPr>
            <w:tcW w:type="dxa" w:w="831"/>
          </w:tcPr>
          <w:p>
            <w:pPr>
              <w:pStyle w:val="null3"/>
            </w:pPr>
            <w:r>
              <w:rPr/>
              <w:t>10</w:t>
            </w:r>
          </w:p>
        </w:tc>
        <w:tc>
          <w:tcPr>
            <w:tcW w:type="dxa" w:w="2492"/>
          </w:tcPr>
          <w:p>
            <w:pPr>
              <w:pStyle w:val="null3"/>
            </w:pPr>
            <w:r>
              <w:rPr/>
              <w:t>投标人的资格要求</w:t>
            </w:r>
          </w:p>
        </w:tc>
        <w:tc>
          <w:tcPr>
            <w:tcW w:type="dxa" w:w="3322"/>
          </w:tcPr>
          <w:p>
            <w:pPr>
              <w:pStyle w:val="null3"/>
            </w:pPr>
            <w:r>
              <w:rPr/>
              <w:t>（1）投标人为经销商的应具备医疗器械经营许可证或医疗器械经营备案凭证（投标产品须在其经营范围内）；投标人为生产厂家的应具备医疗器械经营许可证或医疗器械经营备案凭证（投标产品须在其经营范围内），并具备医疗器械生产许可证（投标产品须在其生产范围内）。（2）投标产品属于医疗器械管理的提供医疗器械注册证。</w:t>
            </w:r>
          </w:p>
        </w:tc>
        <w:tc>
          <w:tcPr>
            <w:tcW w:type="dxa" w:w="1661"/>
          </w:tcPr>
          <w:p>
            <w:pPr>
              <w:pStyle w:val="null3"/>
            </w:pPr>
            <w:r>
              <w:rPr/>
              <w:t>一般资格要求及特殊资格要求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符合招标文件要求</w:t>
            </w:r>
          </w:p>
        </w:tc>
        <w:tc>
          <w:tcPr>
            <w:tcW w:type="dxa" w:w="1661"/>
          </w:tcPr>
          <w:p>
            <w:pPr>
              <w:pStyle w:val="null3"/>
            </w:pPr>
            <w:r>
              <w:rPr/>
              <w:t>开标一览表 投标方案 中小企业声明函 一般资格要求及特殊资格要求 商务应答表 投标人认为有必要说明、阐述的事项或其他材料 业绩一览表 投标函 残疾人福利性单位声明函 标的清单 投标文件封面 监狱企业的证明文件 技术参数与性能指标偏离表</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符合招标文件要求</w:t>
            </w:r>
          </w:p>
        </w:tc>
        <w:tc>
          <w:tcPr>
            <w:tcW w:type="dxa" w:w="1661"/>
          </w:tcPr>
          <w:p>
            <w:pPr>
              <w:pStyle w:val="null3"/>
            </w:pPr>
            <w:r>
              <w:rPr/>
              <w:t>投标函 投标文件封面</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只能有一个有效报价，不得提交选择性报价，且报价不超过采购预算金额或最高限价</w:t>
            </w:r>
          </w:p>
        </w:tc>
        <w:tc>
          <w:tcPr>
            <w:tcW w:type="dxa" w:w="1661"/>
          </w:tcPr>
          <w:p>
            <w:pPr>
              <w:pStyle w:val="null3"/>
            </w:pPr>
            <w:r>
              <w:rPr/>
              <w:t>开标一览表 标的清单 投标文件封面</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符合招标文件要求</w:t>
            </w:r>
          </w:p>
        </w:tc>
        <w:tc>
          <w:tcPr>
            <w:tcW w:type="dxa" w:w="1661"/>
          </w:tcPr>
          <w:p>
            <w:pPr>
              <w:pStyle w:val="null3"/>
            </w:pPr>
            <w:r>
              <w:rPr/>
              <w:t>商务应答表 投标文件封面</w:t>
            </w:r>
          </w:p>
        </w:tc>
      </w:tr>
      <w:tr>
        <w:tc>
          <w:tcPr>
            <w:tcW w:type="dxa" w:w="831"/>
          </w:tcPr>
          <w:p>
            <w:pPr>
              <w:pStyle w:val="null3"/>
            </w:pPr>
            <w:r>
              <w:rPr/>
              <w:t>6</w:t>
            </w:r>
          </w:p>
        </w:tc>
        <w:tc>
          <w:tcPr>
            <w:tcW w:type="dxa" w:w="2492"/>
          </w:tcPr>
          <w:p>
            <w:pPr>
              <w:pStyle w:val="null3"/>
            </w:pPr>
            <w:r>
              <w:rPr/>
              <w:t>质保期</w:t>
            </w:r>
          </w:p>
        </w:tc>
        <w:tc>
          <w:tcPr>
            <w:tcW w:type="dxa" w:w="3322"/>
          </w:tcPr>
          <w:p>
            <w:pPr>
              <w:pStyle w:val="null3"/>
            </w:pPr>
            <w:r>
              <w:rPr/>
              <w:t>符合招标文件要求</w:t>
            </w:r>
          </w:p>
        </w:tc>
        <w:tc>
          <w:tcPr>
            <w:tcW w:type="dxa" w:w="1661"/>
          </w:tcPr>
          <w:p>
            <w:pPr>
              <w:pStyle w:val="null3"/>
            </w:pPr>
            <w:r>
              <w:rPr/>
              <w:t>商务应答表 投标文件封面</w:t>
            </w:r>
          </w:p>
        </w:tc>
      </w:tr>
      <w:tr>
        <w:tc>
          <w:tcPr>
            <w:tcW w:type="dxa" w:w="831"/>
          </w:tcPr>
          <w:p>
            <w:pPr>
              <w:pStyle w:val="null3"/>
            </w:pPr>
            <w:r>
              <w:rPr/>
              <w:t>7</w:t>
            </w:r>
          </w:p>
        </w:tc>
        <w:tc>
          <w:tcPr>
            <w:tcW w:type="dxa" w:w="2492"/>
          </w:tcPr>
          <w:p>
            <w:pPr>
              <w:pStyle w:val="null3"/>
            </w:pPr>
            <w:r>
              <w:rPr/>
              <w:t>其他要求</w:t>
            </w:r>
          </w:p>
        </w:tc>
        <w:tc>
          <w:tcPr>
            <w:tcW w:type="dxa" w:w="3322"/>
          </w:tcPr>
          <w:p>
            <w:pPr>
              <w:pStyle w:val="null3"/>
            </w:pPr>
            <w:r>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t>开标一览表 投标方案 中小企业声明函 一般资格要求及特殊资格要求 商务应答表 投标人认为有必要说明、阐述的事项或其他材料 业绩一览表 投标函 残疾人福利性单位声明函 标的清单 投标文件封面 监狱企业的证明文件 技术参数与性能指标偏离表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技术参数的响应程度</w:t>
            </w:r>
          </w:p>
        </w:tc>
        <w:tc>
          <w:tcPr>
            <w:tcW w:type="dxa" w:w="2492"/>
          </w:tcPr>
          <w:p>
            <w:pPr>
              <w:pStyle w:val="null3"/>
            </w:pPr>
            <w:r>
              <w:rPr/>
              <w:t>投标设备或产品技术参数清楚、明确，满足或优于招标文件要求，技术资料齐全（供应商需提供包括但不限于实物照片或说明书或产品彩页或技术白皮书或检测报告等技术证明材料作为评审依据，未提供不得分），完全满足技术参数要求，得19分。 若任意一项标注“▲”号的技术参数不满足招标文件要求，每负偏离一项扣1分（未提供与参数相对应的证明材料视为该项负偏离，按负偏离扣除相应分值）； 其他未标注的技术参数每负偏离一项扣0.5分，扣完为止。</w:t>
            </w:r>
          </w:p>
        </w:tc>
        <w:tc>
          <w:tcPr>
            <w:tcW w:type="dxa" w:w="831"/>
          </w:tcPr>
          <w:p>
            <w:pPr>
              <w:pStyle w:val="null3"/>
              <w:jc w:val="right"/>
            </w:pPr>
            <w:r>
              <w:rPr/>
              <w:t>19.0000</w:t>
            </w:r>
          </w:p>
        </w:tc>
        <w:tc>
          <w:tcPr>
            <w:tcW w:type="dxa" w:w="831"/>
          </w:tcPr>
          <w:p>
            <w:pPr>
              <w:pStyle w:val="null3"/>
            </w:pPr>
            <w:r>
              <w:rPr/>
              <w:t>客观</w:t>
            </w:r>
          </w:p>
        </w:tc>
        <w:tc>
          <w:tcPr>
            <w:tcW w:type="dxa" w:w="1661"/>
          </w:tcPr>
          <w:p>
            <w:pPr>
              <w:pStyle w:val="null3"/>
            </w:pPr>
            <w:r>
              <w:rPr/>
              <w:t>技术参数与性能指标偏离表</w:t>
            </w:r>
          </w:p>
        </w:tc>
      </w:tr>
      <w:tr>
        <w:tc>
          <w:tcPr>
            <w:tcW w:type="dxa" w:w="831"/>
            <w:vMerge/>
          </w:tcPr>
          <w:p/>
        </w:tc>
        <w:tc>
          <w:tcPr>
            <w:tcW w:type="dxa" w:w="1661"/>
          </w:tcPr>
          <w:p>
            <w:pPr>
              <w:pStyle w:val="null3"/>
            </w:pPr>
            <w:r>
              <w:rPr/>
              <w:t>产品功能配置</w:t>
            </w:r>
          </w:p>
        </w:tc>
        <w:tc>
          <w:tcPr>
            <w:tcW w:type="dxa" w:w="2492"/>
          </w:tcPr>
          <w:p>
            <w:pPr>
              <w:pStyle w:val="null3"/>
            </w:pPr>
            <w:r>
              <w:rPr/>
              <w:t>1.所投设备或产品配置齐全，整体功能完备且满足使用要求、尽可能多的提供了所投设备或产品技术支持文件（提供生产厂家确认的、相应的功能证明材料），根据响应情况得7-10分。 2.所投设备或产品配置较齐全，整体功能基本满足使用要求、提供了部分设备或产品技术支持文件（提供生产厂家确认的、相应的功能证明材料），根据响应情况得3-7分。 3.所投设备或产品配置、功能较难满足使用要求，无证明材料的根据响应情况得0-3分。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产品来源渠道</w:t>
            </w:r>
          </w:p>
        </w:tc>
        <w:tc>
          <w:tcPr>
            <w:tcW w:type="dxa" w:w="2492"/>
          </w:tcPr>
          <w:p>
            <w:pPr>
              <w:pStyle w:val="null3"/>
            </w:pPr>
            <w:r>
              <w:rPr/>
              <w:t>所投设备或产品进货渠道正常，提供招标内容中所要求设备或产品的来源渠道合法证明文件（包括但不限于原厂授权或销售协议或代理协议等）。提供不全或不提供不得分。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项目整体实施方案</w:t>
            </w:r>
          </w:p>
        </w:tc>
        <w:tc>
          <w:tcPr>
            <w:tcW w:type="dxa" w:w="2492"/>
          </w:tcPr>
          <w:p>
            <w:pPr>
              <w:pStyle w:val="null3"/>
            </w:pPr>
            <w:r>
              <w:rPr/>
              <w:t>根据采购内容及项目实际情况设计合理的项目整体实施方案。包括但不限于：供货组织安排、运输及派送安排、安装调试进度计划及措施方案、质量保证措施、安全保证措施、人员配备等。 1.方案与措施设计合理，架构完整，层次清晰，满足采购人实际需求，根据响应情况得7-10分。 2.方案与措施设计基本合理，架构基本完整，层次基本清晰，基本满足采购人实际需求，根据响应情况得3-7分。 3.方案与措施设计不利于项目实施，根据响应情况得0-3分。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应急预案</w:t>
            </w:r>
          </w:p>
        </w:tc>
        <w:tc>
          <w:tcPr>
            <w:tcW w:type="dxa" w:w="2492"/>
          </w:tcPr>
          <w:p>
            <w:pPr>
              <w:pStyle w:val="null3"/>
            </w:pPr>
            <w:r>
              <w:rPr/>
              <w:t>根据本项目采购内容及项目实际情况，在项目实施过程中可能出现的突发事件，提供详细的应急预案措施和解决方案。包括但不限于：处理流程、受理方法、响应时间、管理体系等。 1.方案完整、全面细致、科学合理得3-6分； 2.方案基本完整、全面细致、科学合理得0-3分。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售后服务1</w:t>
            </w:r>
          </w:p>
        </w:tc>
        <w:tc>
          <w:tcPr>
            <w:tcW w:type="dxa" w:w="2492"/>
          </w:tcPr>
          <w:p>
            <w:pPr>
              <w:pStyle w:val="null3"/>
            </w:pPr>
            <w:r>
              <w:rPr/>
              <w:t>针对本项目提供科学、有效的售后服务承诺和措施，供应商或厂家售后服务机构运行正常，能够在报修后24小时内派技术人员到场提供技术支持和售后服务（提供证明材料，如项目所在地的售后服务机构或项目所在地分公司或办事处应用技术人员联系方式、厂家维修授权证书等证明材料）由评标委员会综合评审。 1.方案内容具体、完整、详细、全面，完全符合项目要求，计3-5分； 2.方案内容基本具体、完整、详细、全面，基本符合项目要求，计0-3分；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售后服务2</w:t>
            </w:r>
          </w:p>
        </w:tc>
        <w:tc>
          <w:tcPr>
            <w:tcW w:type="dxa" w:w="2492"/>
          </w:tcPr>
          <w:p>
            <w:pPr>
              <w:pStyle w:val="null3"/>
            </w:pPr>
            <w:r>
              <w:rPr/>
              <w:t>对采购方技术人员的操作、保养等方面进行专业培训，须列出具体培训工作的响应方案并编制详细的响应说明（响应说明需包含培训具体内容、时长、地点等内容，保证使用人员正常操作设备的各种功能）。 1.方案内容具体、完整、详细、全面，完全符合项目要求，计3-5分； 2.方案内容基本具体、完整、详细、全面，基本符合项目要求，计0-3分；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售后服务3</w:t>
            </w:r>
          </w:p>
        </w:tc>
        <w:tc>
          <w:tcPr>
            <w:tcW w:type="dxa" w:w="2492"/>
          </w:tcPr>
          <w:p>
            <w:pPr>
              <w:pStyle w:val="null3"/>
            </w:pPr>
            <w:r>
              <w:rPr/>
              <w:t>提供所投设备或产品原厂售后服务承诺函。提供不全或不提供不得分。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投标人提供2021年1月1日至今类似项目业绩（以合同签订日期为准），每提供一份有效业绩得2分，最高得6分。 注：业绩证明材料以加盖投标人公章的合同扫描件为准。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价格分</w:t>
            </w:r>
          </w:p>
        </w:tc>
        <w:tc>
          <w:tcPr>
            <w:tcW w:type="dxa" w:w="2492"/>
          </w:tcPr>
          <w:p>
            <w:pPr>
              <w:pStyle w:val="null3"/>
            </w:pPr>
            <w:r>
              <w:rPr/>
              <w:t>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标的清单</w:t>
            </w:r>
          </w:p>
          <w:p>
            <w:pPr>
              <w:pStyle w:val="null3"/>
            </w:pPr>
            <w:r>
              <w:rPr/>
              <w:t>开标一览表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详见附件：技术参数与性能指标偏离表</w:t>
      </w:r>
    </w:p>
    <w:p>
      <w:pPr>
        <w:pStyle w:val="null3"/>
        <w:ind w:firstLine="960"/>
      </w:pPr>
      <w:r>
        <w:rPr/>
        <w:t>详见附件：商务应答表</w:t>
      </w:r>
    </w:p>
    <w:p>
      <w:pPr>
        <w:pStyle w:val="null3"/>
        <w:ind w:firstLine="960"/>
      </w:pPr>
      <w:r>
        <w:rPr/>
        <w:t>详见附件：投标方案</w:t>
      </w:r>
    </w:p>
    <w:p>
      <w:pPr>
        <w:pStyle w:val="null3"/>
        <w:ind w:firstLine="960"/>
      </w:pPr>
      <w:r>
        <w:rPr/>
        <w:t>详见附件：业绩一览表</w:t>
      </w:r>
    </w:p>
    <w:p>
      <w:pPr>
        <w:pStyle w:val="null3"/>
        <w:ind w:firstLine="960"/>
      </w:pPr>
      <w:r>
        <w:rPr/>
        <w:t>详见附件：一般资格要求及特殊资格要求</w:t>
      </w:r>
    </w:p>
    <w:p>
      <w:pPr>
        <w:pStyle w:val="null3"/>
        <w:ind w:firstLine="960"/>
      </w:pPr>
      <w:r>
        <w:rPr/>
        <w:t>详见附件：投标人认为有必要说明、阐述的事项或其他材料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