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0B7B5">
      <w:pPr>
        <w:numPr>
          <w:ilvl w:val="0"/>
          <w:numId w:val="0"/>
        </w:numPr>
        <w:spacing w:line="360" w:lineRule="auto"/>
        <w:jc w:val="center"/>
        <w:outlineLvl w:val="0"/>
        <w:rPr>
          <w:rStyle w:val="5"/>
          <w:rFonts w:ascii="Times New Roman" w:eastAsia="仿宋_GB2312"/>
          <w:color w:val="auto"/>
          <w:szCs w:val="32"/>
          <w:highlight w:val="none"/>
        </w:rPr>
      </w:pPr>
      <w:bookmarkStart w:id="0" w:name="_Toc6865"/>
      <w:bookmarkStart w:id="1" w:name="_Toc532044541"/>
      <w:bookmarkStart w:id="2" w:name="_Toc4796"/>
      <w:bookmarkStart w:id="3" w:name="_Toc515647833"/>
      <w:bookmarkStart w:id="4" w:name="_Toc532473757"/>
      <w:bookmarkStart w:id="5" w:name="_Toc3711"/>
      <w:r>
        <w:rPr>
          <w:rStyle w:val="5"/>
          <w:rFonts w:ascii="Times New Roman" w:eastAsia="仿宋_GB2312"/>
          <w:color w:val="auto"/>
          <w:szCs w:val="32"/>
          <w:highlight w:val="none"/>
        </w:rPr>
        <w:t>拟签订的合同</w:t>
      </w:r>
      <w:bookmarkEnd w:id="0"/>
      <w:bookmarkEnd w:id="1"/>
      <w:bookmarkEnd w:id="2"/>
      <w:bookmarkEnd w:id="3"/>
      <w:bookmarkEnd w:id="4"/>
      <w:bookmarkStart w:id="6" w:name="_Hlt487972895"/>
      <w:bookmarkEnd w:id="6"/>
      <w:bookmarkStart w:id="7" w:name="_Toc487900382"/>
      <w:bookmarkStart w:id="8" w:name="_Toc216513788"/>
      <w:r>
        <w:rPr>
          <w:rStyle w:val="5"/>
          <w:rFonts w:ascii="Times New Roman" w:eastAsia="仿宋_GB2312"/>
          <w:color w:val="auto"/>
          <w:szCs w:val="32"/>
          <w:highlight w:val="none"/>
        </w:rPr>
        <w:t>文本</w:t>
      </w:r>
      <w:bookmarkEnd w:id="5"/>
    </w:p>
    <w:bookmarkEnd w:id="7"/>
    <w:bookmarkEnd w:id="8"/>
    <w:p w14:paraId="25B1FDD6">
      <w:pPr>
        <w:snapToGrid w:val="0"/>
        <w:spacing w:line="480" w:lineRule="auto"/>
        <w:ind w:firstLine="6987" w:firstLineChars="2900"/>
        <w:rPr>
          <w:rFonts w:ascii="宋体" w:hAnsi="宋体"/>
          <w:b/>
          <w:color w:val="auto"/>
          <w:sz w:val="24"/>
          <w:highlight w:val="none"/>
        </w:rPr>
      </w:pPr>
      <w:r>
        <w:rPr>
          <w:rFonts w:hint="eastAsia" w:ascii="宋体" w:hAnsi="宋体"/>
          <w:b/>
          <w:color w:val="auto"/>
          <w:sz w:val="24"/>
          <w:highlight w:val="none"/>
        </w:rPr>
        <w:t>合 同 编 号：</w:t>
      </w:r>
      <w:r>
        <w:rPr>
          <w:rFonts w:hint="eastAsia" w:ascii="宋体" w:hAnsi="宋体"/>
          <w:b/>
          <w:color w:val="auto"/>
          <w:sz w:val="24"/>
          <w:highlight w:val="none"/>
          <w:u w:val="single"/>
        </w:rPr>
        <w:t xml:space="preserve">                </w:t>
      </w:r>
    </w:p>
    <w:p w14:paraId="4F606CB8">
      <w:pPr>
        <w:keepNext w:val="0"/>
        <w:keepLines w:val="0"/>
        <w:pageBreakBefore w:val="0"/>
        <w:widowControl w:val="0"/>
        <w:kinsoku/>
        <w:wordWrap/>
        <w:overflowPunct/>
        <w:topLinePunct w:val="0"/>
        <w:autoSpaceDE/>
        <w:autoSpaceDN/>
        <w:bidi w:val="0"/>
        <w:adjustRightInd/>
        <w:snapToGrid/>
        <w:spacing w:line="360" w:lineRule="exact"/>
        <w:textAlignment w:val="auto"/>
        <w:outlineLvl w:val="0"/>
        <w:rPr>
          <w:rFonts w:hint="default" w:ascii="宋体" w:hAnsi="宋体" w:eastAsia="宋体"/>
          <w:b/>
          <w:color w:val="auto"/>
          <w:sz w:val="24"/>
          <w:highlight w:val="none"/>
          <w:lang w:val="en-US" w:eastAsia="zh-CN"/>
        </w:rPr>
      </w:pPr>
      <w:bookmarkStart w:id="9" w:name="_Toc29551"/>
      <w:r>
        <w:rPr>
          <w:rFonts w:hint="eastAsia" w:ascii="宋体" w:hAnsi="宋体"/>
          <w:b/>
          <w:color w:val="auto"/>
          <w:sz w:val="24"/>
          <w:highlight w:val="none"/>
        </w:rPr>
        <w:t>甲方（采购方）：</w:t>
      </w:r>
      <w:bookmarkEnd w:id="9"/>
      <w:r>
        <w:rPr>
          <w:rFonts w:hint="eastAsia" w:ascii="宋体" w:hAnsi="宋体"/>
          <w:b/>
          <w:color w:val="auto"/>
          <w:sz w:val="24"/>
          <w:highlight w:val="none"/>
          <w:u w:val="single"/>
          <w:lang w:val="en-US" w:eastAsia="zh-CN"/>
        </w:rPr>
        <w:t>汉中市中医医院</w:t>
      </w:r>
    </w:p>
    <w:p w14:paraId="32AD9070">
      <w:pPr>
        <w:keepNext w:val="0"/>
        <w:keepLines w:val="0"/>
        <w:pageBreakBefore w:val="0"/>
        <w:widowControl w:val="0"/>
        <w:kinsoku/>
        <w:wordWrap/>
        <w:overflowPunct/>
        <w:topLinePunct w:val="0"/>
        <w:autoSpaceDE/>
        <w:autoSpaceDN/>
        <w:bidi w:val="0"/>
        <w:adjustRightInd/>
        <w:snapToGrid/>
        <w:spacing w:line="360" w:lineRule="exact"/>
        <w:textAlignment w:val="auto"/>
        <w:outlineLvl w:val="0"/>
        <w:rPr>
          <w:rFonts w:ascii="宋体" w:hAnsi="宋体"/>
          <w:b/>
          <w:color w:val="auto"/>
          <w:sz w:val="24"/>
          <w:highlight w:val="none"/>
        </w:rPr>
      </w:pPr>
      <w:r>
        <w:rPr>
          <w:rFonts w:hint="eastAsia" w:ascii="宋体" w:hAnsi="宋体"/>
          <w:b/>
          <w:color w:val="auto"/>
          <w:sz w:val="24"/>
          <w:highlight w:val="none"/>
        </w:rPr>
        <w:t>乙方（供货方）：</w:t>
      </w:r>
      <w:r>
        <w:rPr>
          <w:rFonts w:hint="eastAsia" w:ascii="宋体" w:hAnsi="宋体"/>
          <w:b/>
          <w:color w:val="auto"/>
          <w:sz w:val="24"/>
          <w:highlight w:val="none"/>
          <w:u w:val="single"/>
        </w:rPr>
        <w:t xml:space="preserve">              </w:t>
      </w:r>
    </w:p>
    <w:p w14:paraId="1B3B9EBC">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bookmarkStart w:id="10" w:name="_Toc14754"/>
      <w:bookmarkStart w:id="11" w:name="_Toc341030114"/>
      <w:r>
        <w:rPr>
          <w:rFonts w:hint="eastAsia" w:eastAsia="仿宋_GB2312"/>
          <w:color w:val="auto"/>
          <w:sz w:val="24"/>
          <w:highlight w:val="none"/>
        </w:rPr>
        <w:t>本合同为银医项目合同，则为三方合同。依据《中华人民共和国政府采购法》、《中华人民共和国民法典》及其他有关法律、法规之规定，以及招标文件、投标文件规定条款和中标供应商承诺书、中标通知书等，甲、乙</w:t>
      </w:r>
      <w:r>
        <w:rPr>
          <w:rFonts w:hint="eastAsia" w:eastAsia="仿宋_GB2312"/>
          <w:color w:val="auto"/>
          <w:sz w:val="24"/>
          <w:highlight w:val="none"/>
          <w:lang w:val="en-US" w:eastAsia="zh-CN"/>
        </w:rPr>
        <w:t>双</w:t>
      </w:r>
      <w:r>
        <w:rPr>
          <w:rFonts w:hint="eastAsia" w:eastAsia="仿宋_GB2312"/>
          <w:color w:val="auto"/>
          <w:sz w:val="24"/>
          <w:highlight w:val="none"/>
        </w:rPr>
        <w:t>方同意签订</w:t>
      </w:r>
      <w:r>
        <w:rPr>
          <w:rFonts w:hint="eastAsia" w:eastAsia="仿宋_GB2312"/>
          <w:color w:val="auto"/>
          <w:sz w:val="24"/>
          <w:highlight w:val="none"/>
          <w:u w:val="single"/>
          <w:lang w:val="en-US" w:eastAsia="zh-CN"/>
        </w:rPr>
        <w:t xml:space="preserve">     </w:t>
      </w:r>
      <w:r>
        <w:rPr>
          <w:rFonts w:hint="eastAsia" w:eastAsia="仿宋_GB2312"/>
          <w:color w:val="auto"/>
          <w:sz w:val="24"/>
          <w:highlight w:val="none"/>
          <w:u w:val="single"/>
        </w:rPr>
        <w:t>（项目编号：</w:t>
      </w:r>
      <w:r>
        <w:rPr>
          <w:rFonts w:hint="eastAsia" w:eastAsia="仿宋_GB2312"/>
          <w:color w:val="auto"/>
          <w:sz w:val="24"/>
          <w:highlight w:val="none"/>
          <w:u w:val="single"/>
          <w:lang w:val="en-US" w:eastAsia="zh-CN"/>
        </w:rPr>
        <w:t xml:space="preserve">                  </w:t>
      </w:r>
      <w:r>
        <w:rPr>
          <w:rFonts w:hint="eastAsia" w:eastAsia="仿宋_GB2312"/>
          <w:color w:val="auto"/>
          <w:sz w:val="24"/>
          <w:highlight w:val="none"/>
          <w:u w:val="single"/>
        </w:rPr>
        <w:t>）</w:t>
      </w:r>
      <w:r>
        <w:rPr>
          <w:rFonts w:hint="eastAsia" w:eastAsia="仿宋_GB2312"/>
          <w:color w:val="auto"/>
          <w:sz w:val="24"/>
          <w:highlight w:val="none"/>
        </w:rPr>
        <w:t>合同。</w:t>
      </w:r>
      <w:bookmarkEnd w:id="10"/>
    </w:p>
    <w:p w14:paraId="74E95316">
      <w:pPr>
        <w:keepNext w:val="0"/>
        <w:keepLines w:val="0"/>
        <w:pageBreakBefore w:val="0"/>
        <w:widowControl w:val="0"/>
        <w:kinsoku/>
        <w:wordWrap/>
        <w:overflowPunct/>
        <w:topLinePunct w:val="0"/>
        <w:autoSpaceDE/>
        <w:autoSpaceDN/>
        <w:bidi w:val="0"/>
        <w:adjustRightInd/>
        <w:snapToGrid/>
        <w:spacing w:line="360" w:lineRule="exact"/>
        <w:ind w:firstLine="482" w:firstLineChars="200"/>
        <w:textAlignment w:val="auto"/>
        <w:outlineLvl w:val="0"/>
        <w:rPr>
          <w:rFonts w:ascii="宋体" w:hAnsi="宋体" w:cs="宋体"/>
          <w:b/>
          <w:bCs/>
          <w:color w:val="auto"/>
          <w:sz w:val="24"/>
          <w:szCs w:val="18"/>
          <w:highlight w:val="none"/>
        </w:rPr>
      </w:pPr>
      <w:bookmarkStart w:id="12" w:name="_Toc27507"/>
      <w:r>
        <w:rPr>
          <w:rFonts w:hint="eastAsia" w:ascii="宋体" w:hAnsi="宋体" w:cs="宋体"/>
          <w:b/>
          <w:bCs/>
          <w:color w:val="auto"/>
          <w:sz w:val="24"/>
          <w:szCs w:val="18"/>
          <w:highlight w:val="none"/>
        </w:rPr>
        <w:t>第一条 合同标的</w:t>
      </w:r>
      <w:bookmarkEnd w:id="12"/>
    </w:p>
    <w:tbl>
      <w:tblPr>
        <w:tblStyle w:val="3"/>
        <w:tblpPr w:leftFromText="180" w:rightFromText="180" w:vertAnchor="text" w:horzAnchor="page" w:tblpXSpec="center" w:tblpY="128"/>
        <w:tblOverlap w:val="never"/>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90"/>
        <w:gridCol w:w="1699"/>
        <w:gridCol w:w="1111"/>
        <w:gridCol w:w="1170"/>
        <w:gridCol w:w="804"/>
        <w:gridCol w:w="877"/>
        <w:gridCol w:w="1264"/>
        <w:gridCol w:w="1244"/>
        <w:gridCol w:w="1244"/>
      </w:tblGrid>
      <w:tr w14:paraId="6243C0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8" w:hRule="atLeast"/>
          <w:jc w:val="center"/>
        </w:trPr>
        <w:tc>
          <w:tcPr>
            <w:tcW w:w="690" w:type="dxa"/>
            <w:noWrap w:val="0"/>
            <w:vAlign w:val="center"/>
          </w:tcPr>
          <w:p w14:paraId="25A20F66">
            <w:pPr>
              <w:spacing w:line="360" w:lineRule="auto"/>
              <w:jc w:val="center"/>
              <w:rPr>
                <w:rFonts w:ascii="宋体" w:hAnsi="宋体" w:cs="宋体"/>
                <w:b/>
                <w:bCs/>
                <w:color w:val="auto"/>
                <w:sz w:val="22"/>
                <w:szCs w:val="18"/>
                <w:highlight w:val="none"/>
              </w:rPr>
            </w:pPr>
            <w:bookmarkStart w:id="13" w:name="_Toc341030115"/>
            <w:r>
              <w:rPr>
                <w:rFonts w:hint="eastAsia" w:ascii="宋体" w:hAnsi="宋体" w:cs="宋体"/>
                <w:b/>
                <w:bCs/>
                <w:color w:val="auto"/>
                <w:sz w:val="22"/>
                <w:szCs w:val="18"/>
                <w:highlight w:val="none"/>
              </w:rPr>
              <w:t>序</w:t>
            </w:r>
            <w:bookmarkEnd w:id="11"/>
            <w:r>
              <w:rPr>
                <w:rFonts w:hint="eastAsia" w:ascii="宋体" w:hAnsi="宋体" w:cs="宋体"/>
                <w:b/>
                <w:bCs/>
                <w:color w:val="auto"/>
                <w:sz w:val="22"/>
                <w:szCs w:val="18"/>
                <w:highlight w:val="none"/>
              </w:rPr>
              <w:t>号</w:t>
            </w:r>
          </w:p>
        </w:tc>
        <w:tc>
          <w:tcPr>
            <w:tcW w:w="1699" w:type="dxa"/>
            <w:noWrap w:val="0"/>
            <w:vAlign w:val="center"/>
          </w:tcPr>
          <w:p w14:paraId="74144A23">
            <w:pPr>
              <w:spacing w:line="360" w:lineRule="auto"/>
              <w:jc w:val="center"/>
              <w:rPr>
                <w:rFonts w:ascii="宋体" w:hAnsi="宋体" w:cs="宋体"/>
                <w:b/>
                <w:bCs/>
                <w:color w:val="auto"/>
                <w:sz w:val="22"/>
                <w:szCs w:val="18"/>
                <w:highlight w:val="none"/>
              </w:rPr>
            </w:pPr>
            <w:r>
              <w:rPr>
                <w:rFonts w:hint="eastAsia" w:ascii="宋体" w:hAnsi="宋体" w:cs="宋体"/>
                <w:b/>
                <w:bCs/>
                <w:color w:val="auto"/>
                <w:sz w:val="22"/>
                <w:szCs w:val="18"/>
                <w:highlight w:val="none"/>
              </w:rPr>
              <w:t>产品/服务名称</w:t>
            </w:r>
          </w:p>
        </w:tc>
        <w:tc>
          <w:tcPr>
            <w:tcW w:w="1111" w:type="dxa"/>
            <w:noWrap w:val="0"/>
            <w:vAlign w:val="center"/>
          </w:tcPr>
          <w:p w14:paraId="5FD55E10">
            <w:pPr>
              <w:spacing w:line="360" w:lineRule="auto"/>
              <w:jc w:val="center"/>
              <w:rPr>
                <w:rFonts w:ascii="宋体" w:hAnsi="宋体" w:cs="宋体"/>
                <w:b/>
                <w:bCs/>
                <w:color w:val="auto"/>
                <w:sz w:val="22"/>
                <w:szCs w:val="18"/>
                <w:highlight w:val="none"/>
              </w:rPr>
            </w:pPr>
            <w:r>
              <w:rPr>
                <w:rFonts w:hint="eastAsia" w:ascii="宋体" w:hAnsi="宋体" w:cs="宋体"/>
                <w:b/>
                <w:bCs/>
                <w:color w:val="auto"/>
                <w:sz w:val="22"/>
                <w:szCs w:val="18"/>
                <w:highlight w:val="none"/>
              </w:rPr>
              <w:t>规格型号</w:t>
            </w:r>
          </w:p>
        </w:tc>
        <w:tc>
          <w:tcPr>
            <w:tcW w:w="1170" w:type="dxa"/>
            <w:noWrap w:val="0"/>
            <w:vAlign w:val="center"/>
          </w:tcPr>
          <w:p w14:paraId="7383AB09">
            <w:pPr>
              <w:spacing w:line="360" w:lineRule="auto"/>
              <w:jc w:val="center"/>
              <w:rPr>
                <w:rFonts w:ascii="宋体" w:hAnsi="宋体" w:cs="宋体"/>
                <w:b/>
                <w:bCs/>
                <w:color w:val="auto"/>
                <w:sz w:val="22"/>
                <w:szCs w:val="18"/>
                <w:highlight w:val="none"/>
              </w:rPr>
            </w:pPr>
            <w:r>
              <w:rPr>
                <w:rFonts w:hint="eastAsia" w:ascii="宋体" w:hAnsi="宋体" w:cs="宋体"/>
                <w:b/>
                <w:bCs/>
                <w:color w:val="auto"/>
                <w:sz w:val="22"/>
                <w:szCs w:val="18"/>
                <w:highlight w:val="none"/>
              </w:rPr>
              <w:t>生产厂家</w:t>
            </w:r>
          </w:p>
        </w:tc>
        <w:tc>
          <w:tcPr>
            <w:tcW w:w="804" w:type="dxa"/>
            <w:noWrap w:val="0"/>
            <w:vAlign w:val="center"/>
          </w:tcPr>
          <w:p w14:paraId="6036BC11">
            <w:pPr>
              <w:spacing w:line="360" w:lineRule="auto"/>
              <w:jc w:val="center"/>
              <w:rPr>
                <w:rFonts w:ascii="宋体" w:hAnsi="宋体" w:cs="宋体"/>
                <w:b/>
                <w:bCs/>
                <w:color w:val="auto"/>
                <w:sz w:val="22"/>
                <w:szCs w:val="18"/>
                <w:highlight w:val="none"/>
              </w:rPr>
            </w:pPr>
            <w:r>
              <w:rPr>
                <w:rFonts w:hint="eastAsia" w:ascii="宋体" w:hAnsi="宋体" w:cs="宋体"/>
                <w:b/>
                <w:bCs/>
                <w:color w:val="auto"/>
                <w:sz w:val="22"/>
                <w:szCs w:val="18"/>
                <w:highlight w:val="none"/>
              </w:rPr>
              <w:t>单位</w:t>
            </w:r>
          </w:p>
        </w:tc>
        <w:tc>
          <w:tcPr>
            <w:tcW w:w="877" w:type="dxa"/>
            <w:noWrap w:val="0"/>
            <w:vAlign w:val="center"/>
          </w:tcPr>
          <w:p w14:paraId="7B38A691">
            <w:pPr>
              <w:spacing w:line="360" w:lineRule="auto"/>
              <w:jc w:val="center"/>
              <w:rPr>
                <w:rFonts w:ascii="宋体" w:hAnsi="宋体" w:cs="宋体"/>
                <w:b/>
                <w:bCs/>
                <w:color w:val="auto"/>
                <w:sz w:val="22"/>
                <w:szCs w:val="18"/>
                <w:highlight w:val="none"/>
              </w:rPr>
            </w:pPr>
            <w:r>
              <w:rPr>
                <w:rFonts w:hint="eastAsia" w:ascii="宋体" w:hAnsi="宋体" w:cs="宋体"/>
                <w:b/>
                <w:bCs/>
                <w:color w:val="auto"/>
                <w:sz w:val="22"/>
                <w:szCs w:val="18"/>
                <w:highlight w:val="none"/>
              </w:rPr>
              <w:t>数量</w:t>
            </w:r>
          </w:p>
        </w:tc>
        <w:tc>
          <w:tcPr>
            <w:tcW w:w="1264" w:type="dxa"/>
            <w:noWrap w:val="0"/>
            <w:vAlign w:val="center"/>
          </w:tcPr>
          <w:p w14:paraId="55FB6C3B">
            <w:pPr>
              <w:spacing w:line="360" w:lineRule="auto"/>
              <w:jc w:val="center"/>
              <w:rPr>
                <w:rFonts w:ascii="宋体" w:hAnsi="宋体" w:cs="宋体"/>
                <w:b/>
                <w:bCs/>
                <w:color w:val="auto"/>
                <w:sz w:val="22"/>
                <w:szCs w:val="18"/>
                <w:highlight w:val="none"/>
              </w:rPr>
            </w:pPr>
            <w:r>
              <w:rPr>
                <w:rFonts w:hint="eastAsia" w:ascii="宋体" w:hAnsi="宋体" w:cs="宋体"/>
                <w:b/>
                <w:bCs/>
                <w:color w:val="auto"/>
                <w:sz w:val="22"/>
                <w:szCs w:val="18"/>
                <w:highlight w:val="none"/>
              </w:rPr>
              <w:t>质保年限</w:t>
            </w:r>
          </w:p>
        </w:tc>
        <w:tc>
          <w:tcPr>
            <w:tcW w:w="1244" w:type="dxa"/>
            <w:noWrap w:val="0"/>
            <w:vAlign w:val="center"/>
          </w:tcPr>
          <w:p w14:paraId="5E80BDFE">
            <w:pPr>
              <w:spacing w:line="360" w:lineRule="auto"/>
              <w:jc w:val="center"/>
              <w:rPr>
                <w:rFonts w:ascii="宋体" w:hAnsi="宋体" w:cs="宋体"/>
                <w:b/>
                <w:bCs/>
                <w:color w:val="auto"/>
                <w:sz w:val="22"/>
                <w:szCs w:val="18"/>
                <w:highlight w:val="none"/>
              </w:rPr>
            </w:pPr>
            <w:r>
              <w:rPr>
                <w:rFonts w:hint="eastAsia" w:ascii="宋体" w:hAnsi="宋体" w:cs="宋体"/>
                <w:b/>
                <w:bCs/>
                <w:color w:val="auto"/>
                <w:sz w:val="22"/>
                <w:szCs w:val="18"/>
                <w:highlight w:val="none"/>
              </w:rPr>
              <w:t>单价（元）</w:t>
            </w:r>
          </w:p>
        </w:tc>
        <w:tc>
          <w:tcPr>
            <w:tcW w:w="1244" w:type="dxa"/>
            <w:noWrap w:val="0"/>
            <w:vAlign w:val="center"/>
          </w:tcPr>
          <w:p w14:paraId="29C9F3A6">
            <w:pPr>
              <w:spacing w:line="360" w:lineRule="auto"/>
              <w:jc w:val="center"/>
              <w:rPr>
                <w:rFonts w:ascii="宋体" w:hAnsi="宋体" w:cs="宋体"/>
                <w:b/>
                <w:bCs/>
                <w:color w:val="auto"/>
                <w:sz w:val="22"/>
                <w:szCs w:val="18"/>
                <w:highlight w:val="none"/>
              </w:rPr>
            </w:pPr>
            <w:r>
              <w:rPr>
                <w:rFonts w:hint="eastAsia" w:ascii="宋体" w:hAnsi="宋体" w:cs="宋体"/>
                <w:b/>
                <w:bCs/>
                <w:color w:val="auto"/>
                <w:sz w:val="22"/>
                <w:szCs w:val="18"/>
                <w:highlight w:val="none"/>
              </w:rPr>
              <w:t>金额（元）</w:t>
            </w:r>
          </w:p>
        </w:tc>
      </w:tr>
      <w:tr w14:paraId="57C392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5" w:hRule="atLeast"/>
          <w:jc w:val="center"/>
        </w:trPr>
        <w:tc>
          <w:tcPr>
            <w:tcW w:w="690" w:type="dxa"/>
            <w:noWrap w:val="0"/>
            <w:vAlign w:val="center"/>
          </w:tcPr>
          <w:p w14:paraId="40F16A2B">
            <w:pPr>
              <w:widowControl/>
              <w:jc w:val="center"/>
              <w:textAlignment w:val="center"/>
              <w:rPr>
                <w:rFonts w:ascii="宋体" w:hAnsi="宋体" w:cs="宋体"/>
                <w:color w:val="auto"/>
                <w:sz w:val="24"/>
                <w:szCs w:val="18"/>
                <w:highlight w:val="none"/>
              </w:rPr>
            </w:pPr>
            <w:r>
              <w:rPr>
                <w:rFonts w:hint="eastAsia" w:ascii="宋体" w:hAnsi="宋体" w:cs="宋体"/>
                <w:color w:val="auto"/>
                <w:sz w:val="24"/>
                <w:szCs w:val="18"/>
                <w:highlight w:val="none"/>
              </w:rPr>
              <w:t>1</w:t>
            </w:r>
          </w:p>
        </w:tc>
        <w:tc>
          <w:tcPr>
            <w:tcW w:w="1699" w:type="dxa"/>
            <w:noWrap w:val="0"/>
            <w:vAlign w:val="center"/>
          </w:tcPr>
          <w:p w14:paraId="40514EBB">
            <w:pPr>
              <w:widowControl/>
              <w:jc w:val="center"/>
              <w:textAlignment w:val="center"/>
              <w:rPr>
                <w:rFonts w:ascii="宋体" w:hAnsi="宋体" w:cs="宋体"/>
                <w:color w:val="auto"/>
                <w:sz w:val="24"/>
                <w:szCs w:val="18"/>
                <w:highlight w:val="none"/>
              </w:rPr>
            </w:pPr>
          </w:p>
        </w:tc>
        <w:tc>
          <w:tcPr>
            <w:tcW w:w="1111" w:type="dxa"/>
            <w:noWrap w:val="0"/>
            <w:vAlign w:val="center"/>
          </w:tcPr>
          <w:p w14:paraId="5F05A641">
            <w:pPr>
              <w:spacing w:line="360" w:lineRule="auto"/>
              <w:jc w:val="center"/>
              <w:rPr>
                <w:rFonts w:ascii="宋体" w:hAnsi="宋体" w:cs="宋体"/>
                <w:color w:val="auto"/>
                <w:sz w:val="24"/>
                <w:szCs w:val="18"/>
                <w:highlight w:val="none"/>
              </w:rPr>
            </w:pPr>
          </w:p>
        </w:tc>
        <w:tc>
          <w:tcPr>
            <w:tcW w:w="1170" w:type="dxa"/>
            <w:noWrap w:val="0"/>
            <w:vAlign w:val="center"/>
          </w:tcPr>
          <w:p w14:paraId="636BA415">
            <w:pPr>
              <w:spacing w:line="360" w:lineRule="auto"/>
              <w:jc w:val="center"/>
              <w:rPr>
                <w:rFonts w:ascii="宋体" w:hAnsi="宋体" w:cs="宋体"/>
                <w:color w:val="auto"/>
                <w:sz w:val="24"/>
                <w:szCs w:val="18"/>
                <w:highlight w:val="none"/>
              </w:rPr>
            </w:pPr>
          </w:p>
        </w:tc>
        <w:tc>
          <w:tcPr>
            <w:tcW w:w="804" w:type="dxa"/>
            <w:noWrap w:val="0"/>
            <w:vAlign w:val="center"/>
          </w:tcPr>
          <w:p w14:paraId="09F80B8B">
            <w:pPr>
              <w:spacing w:line="360" w:lineRule="auto"/>
              <w:jc w:val="center"/>
              <w:rPr>
                <w:rFonts w:ascii="宋体" w:hAnsi="宋体" w:cs="宋体"/>
                <w:color w:val="auto"/>
                <w:sz w:val="24"/>
                <w:szCs w:val="18"/>
                <w:highlight w:val="none"/>
              </w:rPr>
            </w:pPr>
          </w:p>
        </w:tc>
        <w:tc>
          <w:tcPr>
            <w:tcW w:w="877" w:type="dxa"/>
            <w:noWrap w:val="0"/>
            <w:vAlign w:val="center"/>
          </w:tcPr>
          <w:p w14:paraId="5B0E77CC">
            <w:pPr>
              <w:widowControl/>
              <w:jc w:val="center"/>
              <w:textAlignment w:val="center"/>
              <w:rPr>
                <w:rFonts w:ascii="宋体" w:hAnsi="宋体" w:cs="宋体"/>
                <w:color w:val="auto"/>
                <w:sz w:val="24"/>
                <w:szCs w:val="18"/>
                <w:highlight w:val="none"/>
              </w:rPr>
            </w:pPr>
          </w:p>
        </w:tc>
        <w:tc>
          <w:tcPr>
            <w:tcW w:w="1264" w:type="dxa"/>
            <w:noWrap w:val="0"/>
            <w:vAlign w:val="center"/>
          </w:tcPr>
          <w:p w14:paraId="2227B0C3">
            <w:pPr>
              <w:spacing w:line="360" w:lineRule="auto"/>
              <w:jc w:val="center"/>
              <w:rPr>
                <w:rFonts w:ascii="宋体" w:hAnsi="宋体" w:cs="宋体"/>
                <w:color w:val="auto"/>
                <w:sz w:val="24"/>
                <w:szCs w:val="18"/>
                <w:highlight w:val="none"/>
              </w:rPr>
            </w:pPr>
          </w:p>
        </w:tc>
        <w:tc>
          <w:tcPr>
            <w:tcW w:w="1244" w:type="dxa"/>
            <w:noWrap w:val="0"/>
            <w:vAlign w:val="center"/>
          </w:tcPr>
          <w:p w14:paraId="60AE53B4">
            <w:pPr>
              <w:spacing w:line="360" w:lineRule="auto"/>
              <w:jc w:val="center"/>
              <w:rPr>
                <w:rFonts w:ascii="宋体" w:hAnsi="宋体" w:cs="宋体"/>
                <w:color w:val="auto"/>
                <w:sz w:val="24"/>
                <w:szCs w:val="18"/>
                <w:highlight w:val="none"/>
              </w:rPr>
            </w:pPr>
          </w:p>
        </w:tc>
        <w:tc>
          <w:tcPr>
            <w:tcW w:w="1244" w:type="dxa"/>
            <w:noWrap w:val="0"/>
            <w:vAlign w:val="center"/>
          </w:tcPr>
          <w:p w14:paraId="7AE7C535">
            <w:pPr>
              <w:spacing w:line="360" w:lineRule="auto"/>
              <w:jc w:val="center"/>
              <w:rPr>
                <w:rFonts w:ascii="宋体" w:hAnsi="宋体" w:cs="宋体"/>
                <w:color w:val="auto"/>
                <w:sz w:val="24"/>
                <w:szCs w:val="18"/>
                <w:highlight w:val="none"/>
              </w:rPr>
            </w:pPr>
          </w:p>
        </w:tc>
      </w:tr>
      <w:tr w14:paraId="7F3521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5" w:hRule="atLeast"/>
          <w:jc w:val="center"/>
        </w:trPr>
        <w:tc>
          <w:tcPr>
            <w:tcW w:w="690" w:type="dxa"/>
            <w:noWrap w:val="0"/>
            <w:vAlign w:val="center"/>
          </w:tcPr>
          <w:p w14:paraId="24FC8AB5">
            <w:pPr>
              <w:widowControl/>
              <w:jc w:val="center"/>
              <w:textAlignment w:val="center"/>
              <w:rPr>
                <w:rFonts w:ascii="宋体" w:hAnsi="宋体" w:cs="宋体"/>
                <w:color w:val="auto"/>
                <w:sz w:val="24"/>
                <w:szCs w:val="18"/>
                <w:highlight w:val="none"/>
              </w:rPr>
            </w:pPr>
            <w:r>
              <w:rPr>
                <w:rFonts w:hint="eastAsia" w:ascii="宋体" w:hAnsi="宋体" w:cs="宋体"/>
                <w:color w:val="auto"/>
                <w:sz w:val="24"/>
                <w:szCs w:val="18"/>
                <w:highlight w:val="none"/>
              </w:rPr>
              <w:t>2</w:t>
            </w:r>
          </w:p>
        </w:tc>
        <w:tc>
          <w:tcPr>
            <w:tcW w:w="1699" w:type="dxa"/>
            <w:noWrap w:val="0"/>
            <w:vAlign w:val="center"/>
          </w:tcPr>
          <w:p w14:paraId="26D40D6E">
            <w:pPr>
              <w:widowControl/>
              <w:jc w:val="center"/>
              <w:textAlignment w:val="center"/>
              <w:rPr>
                <w:rFonts w:ascii="宋体" w:hAnsi="宋体" w:cs="宋体"/>
                <w:color w:val="auto"/>
                <w:sz w:val="24"/>
                <w:szCs w:val="18"/>
                <w:highlight w:val="none"/>
              </w:rPr>
            </w:pPr>
          </w:p>
        </w:tc>
        <w:tc>
          <w:tcPr>
            <w:tcW w:w="1111" w:type="dxa"/>
            <w:noWrap w:val="0"/>
            <w:vAlign w:val="center"/>
          </w:tcPr>
          <w:p w14:paraId="63650ECE">
            <w:pPr>
              <w:spacing w:line="360" w:lineRule="auto"/>
              <w:jc w:val="center"/>
              <w:rPr>
                <w:rFonts w:ascii="宋体" w:hAnsi="宋体" w:cs="宋体"/>
                <w:color w:val="auto"/>
                <w:sz w:val="24"/>
                <w:szCs w:val="18"/>
                <w:highlight w:val="none"/>
              </w:rPr>
            </w:pPr>
          </w:p>
        </w:tc>
        <w:tc>
          <w:tcPr>
            <w:tcW w:w="1170" w:type="dxa"/>
            <w:noWrap w:val="0"/>
            <w:vAlign w:val="center"/>
          </w:tcPr>
          <w:p w14:paraId="1315B5C9">
            <w:pPr>
              <w:spacing w:line="360" w:lineRule="auto"/>
              <w:jc w:val="center"/>
              <w:rPr>
                <w:rFonts w:ascii="宋体" w:hAnsi="宋体" w:cs="宋体"/>
                <w:color w:val="auto"/>
                <w:sz w:val="24"/>
                <w:szCs w:val="18"/>
                <w:highlight w:val="none"/>
              </w:rPr>
            </w:pPr>
          </w:p>
        </w:tc>
        <w:tc>
          <w:tcPr>
            <w:tcW w:w="804" w:type="dxa"/>
            <w:noWrap w:val="0"/>
            <w:vAlign w:val="center"/>
          </w:tcPr>
          <w:p w14:paraId="04A21BD5">
            <w:pPr>
              <w:spacing w:line="360" w:lineRule="auto"/>
              <w:jc w:val="center"/>
              <w:rPr>
                <w:rFonts w:ascii="宋体" w:hAnsi="宋体" w:cs="宋体"/>
                <w:color w:val="auto"/>
                <w:sz w:val="24"/>
                <w:szCs w:val="18"/>
                <w:highlight w:val="none"/>
              </w:rPr>
            </w:pPr>
          </w:p>
        </w:tc>
        <w:tc>
          <w:tcPr>
            <w:tcW w:w="877" w:type="dxa"/>
            <w:noWrap w:val="0"/>
            <w:vAlign w:val="center"/>
          </w:tcPr>
          <w:p w14:paraId="6897A54D">
            <w:pPr>
              <w:widowControl/>
              <w:jc w:val="center"/>
              <w:textAlignment w:val="center"/>
              <w:rPr>
                <w:rFonts w:ascii="宋体" w:hAnsi="宋体" w:cs="宋体"/>
                <w:color w:val="auto"/>
                <w:sz w:val="24"/>
                <w:szCs w:val="18"/>
                <w:highlight w:val="none"/>
              </w:rPr>
            </w:pPr>
          </w:p>
        </w:tc>
        <w:tc>
          <w:tcPr>
            <w:tcW w:w="1264" w:type="dxa"/>
            <w:noWrap w:val="0"/>
            <w:vAlign w:val="center"/>
          </w:tcPr>
          <w:p w14:paraId="621E01DB">
            <w:pPr>
              <w:spacing w:line="360" w:lineRule="auto"/>
              <w:jc w:val="center"/>
              <w:rPr>
                <w:rFonts w:ascii="宋体" w:hAnsi="宋体" w:cs="宋体"/>
                <w:color w:val="auto"/>
                <w:sz w:val="24"/>
                <w:szCs w:val="18"/>
                <w:highlight w:val="none"/>
              </w:rPr>
            </w:pPr>
          </w:p>
        </w:tc>
        <w:tc>
          <w:tcPr>
            <w:tcW w:w="1244" w:type="dxa"/>
            <w:noWrap w:val="0"/>
            <w:vAlign w:val="center"/>
          </w:tcPr>
          <w:p w14:paraId="32F908FE">
            <w:pPr>
              <w:spacing w:line="360" w:lineRule="auto"/>
              <w:jc w:val="center"/>
              <w:rPr>
                <w:rFonts w:ascii="宋体" w:hAnsi="宋体" w:cs="宋体"/>
                <w:color w:val="auto"/>
                <w:sz w:val="24"/>
                <w:szCs w:val="18"/>
                <w:highlight w:val="none"/>
              </w:rPr>
            </w:pPr>
          </w:p>
        </w:tc>
        <w:tc>
          <w:tcPr>
            <w:tcW w:w="1244" w:type="dxa"/>
            <w:noWrap w:val="0"/>
            <w:vAlign w:val="center"/>
          </w:tcPr>
          <w:p w14:paraId="1FD59A14">
            <w:pPr>
              <w:spacing w:line="360" w:lineRule="auto"/>
              <w:jc w:val="center"/>
              <w:rPr>
                <w:rFonts w:ascii="宋体" w:hAnsi="宋体" w:cs="宋体"/>
                <w:color w:val="auto"/>
                <w:sz w:val="24"/>
                <w:szCs w:val="18"/>
                <w:highlight w:val="none"/>
              </w:rPr>
            </w:pPr>
          </w:p>
        </w:tc>
      </w:tr>
      <w:tr w14:paraId="22D476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5" w:hRule="atLeast"/>
          <w:jc w:val="center"/>
        </w:trPr>
        <w:tc>
          <w:tcPr>
            <w:tcW w:w="690" w:type="dxa"/>
            <w:noWrap w:val="0"/>
            <w:vAlign w:val="center"/>
          </w:tcPr>
          <w:p w14:paraId="27DC915E">
            <w:pPr>
              <w:widowControl/>
              <w:jc w:val="center"/>
              <w:textAlignment w:val="center"/>
              <w:rPr>
                <w:rFonts w:ascii="宋体" w:hAnsi="宋体" w:cs="宋体"/>
                <w:color w:val="auto"/>
                <w:sz w:val="24"/>
                <w:szCs w:val="18"/>
                <w:highlight w:val="none"/>
              </w:rPr>
            </w:pPr>
            <w:r>
              <w:rPr>
                <w:rFonts w:hint="eastAsia" w:ascii="宋体" w:hAnsi="宋体" w:cs="宋体"/>
                <w:color w:val="auto"/>
                <w:sz w:val="24"/>
                <w:szCs w:val="18"/>
                <w:highlight w:val="none"/>
              </w:rPr>
              <w:t>3</w:t>
            </w:r>
          </w:p>
        </w:tc>
        <w:tc>
          <w:tcPr>
            <w:tcW w:w="1699" w:type="dxa"/>
            <w:noWrap w:val="0"/>
            <w:vAlign w:val="center"/>
          </w:tcPr>
          <w:p w14:paraId="4D237B52">
            <w:pPr>
              <w:widowControl/>
              <w:jc w:val="center"/>
              <w:textAlignment w:val="center"/>
              <w:rPr>
                <w:rFonts w:ascii="宋体" w:hAnsi="宋体" w:cs="宋体"/>
                <w:color w:val="auto"/>
                <w:sz w:val="24"/>
                <w:szCs w:val="18"/>
                <w:highlight w:val="none"/>
              </w:rPr>
            </w:pPr>
          </w:p>
        </w:tc>
        <w:tc>
          <w:tcPr>
            <w:tcW w:w="1111" w:type="dxa"/>
            <w:noWrap w:val="0"/>
            <w:vAlign w:val="center"/>
          </w:tcPr>
          <w:p w14:paraId="3FA0FB3D">
            <w:pPr>
              <w:spacing w:line="360" w:lineRule="auto"/>
              <w:jc w:val="center"/>
              <w:rPr>
                <w:rFonts w:ascii="宋体" w:hAnsi="宋体" w:cs="宋体"/>
                <w:color w:val="auto"/>
                <w:sz w:val="24"/>
                <w:szCs w:val="18"/>
                <w:highlight w:val="none"/>
              </w:rPr>
            </w:pPr>
          </w:p>
        </w:tc>
        <w:tc>
          <w:tcPr>
            <w:tcW w:w="1170" w:type="dxa"/>
            <w:noWrap w:val="0"/>
            <w:vAlign w:val="center"/>
          </w:tcPr>
          <w:p w14:paraId="026830C1">
            <w:pPr>
              <w:spacing w:line="360" w:lineRule="auto"/>
              <w:jc w:val="center"/>
              <w:rPr>
                <w:rFonts w:ascii="宋体" w:hAnsi="宋体" w:cs="宋体"/>
                <w:color w:val="auto"/>
                <w:sz w:val="24"/>
                <w:szCs w:val="18"/>
                <w:highlight w:val="none"/>
              </w:rPr>
            </w:pPr>
          </w:p>
        </w:tc>
        <w:tc>
          <w:tcPr>
            <w:tcW w:w="804" w:type="dxa"/>
            <w:noWrap w:val="0"/>
            <w:vAlign w:val="center"/>
          </w:tcPr>
          <w:p w14:paraId="116456AF">
            <w:pPr>
              <w:spacing w:line="360" w:lineRule="auto"/>
              <w:jc w:val="center"/>
              <w:rPr>
                <w:rFonts w:ascii="宋体" w:hAnsi="宋体" w:cs="宋体"/>
                <w:color w:val="auto"/>
                <w:sz w:val="24"/>
                <w:szCs w:val="18"/>
                <w:highlight w:val="none"/>
              </w:rPr>
            </w:pPr>
          </w:p>
        </w:tc>
        <w:tc>
          <w:tcPr>
            <w:tcW w:w="877" w:type="dxa"/>
            <w:noWrap w:val="0"/>
            <w:vAlign w:val="center"/>
          </w:tcPr>
          <w:p w14:paraId="1413491E">
            <w:pPr>
              <w:widowControl/>
              <w:jc w:val="center"/>
              <w:textAlignment w:val="center"/>
              <w:rPr>
                <w:rFonts w:ascii="宋体" w:hAnsi="宋体" w:cs="宋体"/>
                <w:color w:val="auto"/>
                <w:sz w:val="24"/>
                <w:szCs w:val="18"/>
                <w:highlight w:val="none"/>
              </w:rPr>
            </w:pPr>
          </w:p>
        </w:tc>
        <w:tc>
          <w:tcPr>
            <w:tcW w:w="1264" w:type="dxa"/>
            <w:noWrap w:val="0"/>
            <w:vAlign w:val="center"/>
          </w:tcPr>
          <w:p w14:paraId="30F55F02">
            <w:pPr>
              <w:spacing w:line="360" w:lineRule="auto"/>
              <w:jc w:val="center"/>
              <w:rPr>
                <w:rFonts w:ascii="宋体" w:hAnsi="宋体" w:cs="宋体"/>
                <w:color w:val="auto"/>
                <w:sz w:val="24"/>
                <w:szCs w:val="18"/>
                <w:highlight w:val="none"/>
              </w:rPr>
            </w:pPr>
          </w:p>
        </w:tc>
        <w:tc>
          <w:tcPr>
            <w:tcW w:w="1244" w:type="dxa"/>
            <w:noWrap w:val="0"/>
            <w:vAlign w:val="center"/>
          </w:tcPr>
          <w:p w14:paraId="28BC31ED">
            <w:pPr>
              <w:spacing w:line="360" w:lineRule="auto"/>
              <w:jc w:val="center"/>
              <w:rPr>
                <w:rFonts w:ascii="宋体" w:hAnsi="宋体" w:cs="宋体"/>
                <w:color w:val="auto"/>
                <w:sz w:val="24"/>
                <w:szCs w:val="18"/>
                <w:highlight w:val="none"/>
              </w:rPr>
            </w:pPr>
          </w:p>
        </w:tc>
        <w:tc>
          <w:tcPr>
            <w:tcW w:w="1244" w:type="dxa"/>
            <w:noWrap w:val="0"/>
            <w:vAlign w:val="center"/>
          </w:tcPr>
          <w:p w14:paraId="562164BE">
            <w:pPr>
              <w:spacing w:line="360" w:lineRule="auto"/>
              <w:jc w:val="center"/>
              <w:rPr>
                <w:rFonts w:ascii="宋体" w:hAnsi="宋体" w:cs="宋体"/>
                <w:color w:val="auto"/>
                <w:sz w:val="24"/>
                <w:szCs w:val="18"/>
                <w:highlight w:val="none"/>
              </w:rPr>
            </w:pPr>
          </w:p>
        </w:tc>
      </w:tr>
      <w:tr w14:paraId="208F90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5" w:hRule="atLeast"/>
          <w:jc w:val="center"/>
        </w:trPr>
        <w:tc>
          <w:tcPr>
            <w:tcW w:w="690" w:type="dxa"/>
            <w:noWrap w:val="0"/>
            <w:vAlign w:val="center"/>
          </w:tcPr>
          <w:p w14:paraId="5782CEA7">
            <w:pPr>
              <w:widowControl/>
              <w:jc w:val="center"/>
              <w:textAlignment w:val="center"/>
              <w:rPr>
                <w:rFonts w:ascii="宋体" w:hAnsi="宋体" w:cs="宋体"/>
                <w:color w:val="auto"/>
                <w:sz w:val="24"/>
                <w:szCs w:val="18"/>
                <w:highlight w:val="none"/>
              </w:rPr>
            </w:pPr>
            <w:r>
              <w:rPr>
                <w:rFonts w:hint="eastAsia" w:ascii="宋体" w:hAnsi="宋体" w:cs="宋体"/>
                <w:color w:val="auto"/>
                <w:sz w:val="24"/>
                <w:szCs w:val="18"/>
                <w:highlight w:val="none"/>
              </w:rPr>
              <w:t>...</w:t>
            </w:r>
          </w:p>
        </w:tc>
        <w:tc>
          <w:tcPr>
            <w:tcW w:w="1699" w:type="dxa"/>
            <w:noWrap w:val="0"/>
            <w:vAlign w:val="center"/>
          </w:tcPr>
          <w:p w14:paraId="33F7DCC6">
            <w:pPr>
              <w:widowControl/>
              <w:jc w:val="center"/>
              <w:textAlignment w:val="center"/>
              <w:rPr>
                <w:rFonts w:ascii="宋体" w:hAnsi="宋体" w:cs="宋体"/>
                <w:color w:val="auto"/>
                <w:sz w:val="24"/>
                <w:szCs w:val="18"/>
                <w:highlight w:val="none"/>
              </w:rPr>
            </w:pPr>
          </w:p>
        </w:tc>
        <w:tc>
          <w:tcPr>
            <w:tcW w:w="1111" w:type="dxa"/>
            <w:noWrap w:val="0"/>
            <w:vAlign w:val="center"/>
          </w:tcPr>
          <w:p w14:paraId="34D24F3A">
            <w:pPr>
              <w:spacing w:line="360" w:lineRule="auto"/>
              <w:jc w:val="center"/>
              <w:rPr>
                <w:rFonts w:ascii="宋体" w:hAnsi="宋体" w:cs="宋体"/>
                <w:color w:val="auto"/>
                <w:sz w:val="24"/>
                <w:szCs w:val="18"/>
                <w:highlight w:val="none"/>
              </w:rPr>
            </w:pPr>
          </w:p>
        </w:tc>
        <w:tc>
          <w:tcPr>
            <w:tcW w:w="1170" w:type="dxa"/>
            <w:noWrap w:val="0"/>
            <w:vAlign w:val="center"/>
          </w:tcPr>
          <w:p w14:paraId="020C2B74">
            <w:pPr>
              <w:spacing w:line="360" w:lineRule="auto"/>
              <w:jc w:val="center"/>
              <w:rPr>
                <w:rFonts w:ascii="宋体" w:hAnsi="宋体" w:cs="宋体"/>
                <w:color w:val="auto"/>
                <w:sz w:val="24"/>
                <w:szCs w:val="18"/>
                <w:highlight w:val="none"/>
              </w:rPr>
            </w:pPr>
          </w:p>
        </w:tc>
        <w:tc>
          <w:tcPr>
            <w:tcW w:w="804" w:type="dxa"/>
            <w:noWrap w:val="0"/>
            <w:vAlign w:val="center"/>
          </w:tcPr>
          <w:p w14:paraId="12EE7E47">
            <w:pPr>
              <w:spacing w:line="360" w:lineRule="auto"/>
              <w:jc w:val="center"/>
              <w:rPr>
                <w:rFonts w:ascii="宋体" w:hAnsi="宋体" w:cs="宋体"/>
                <w:color w:val="auto"/>
                <w:sz w:val="24"/>
                <w:szCs w:val="18"/>
                <w:highlight w:val="none"/>
              </w:rPr>
            </w:pPr>
          </w:p>
        </w:tc>
        <w:tc>
          <w:tcPr>
            <w:tcW w:w="877" w:type="dxa"/>
            <w:noWrap w:val="0"/>
            <w:vAlign w:val="center"/>
          </w:tcPr>
          <w:p w14:paraId="05C9E0BD">
            <w:pPr>
              <w:widowControl/>
              <w:jc w:val="center"/>
              <w:textAlignment w:val="center"/>
              <w:rPr>
                <w:rFonts w:ascii="宋体" w:hAnsi="宋体" w:cs="宋体"/>
                <w:color w:val="auto"/>
                <w:sz w:val="24"/>
                <w:szCs w:val="18"/>
                <w:highlight w:val="none"/>
              </w:rPr>
            </w:pPr>
          </w:p>
        </w:tc>
        <w:tc>
          <w:tcPr>
            <w:tcW w:w="1264" w:type="dxa"/>
            <w:noWrap w:val="0"/>
            <w:vAlign w:val="center"/>
          </w:tcPr>
          <w:p w14:paraId="39D545BF">
            <w:pPr>
              <w:spacing w:line="360" w:lineRule="auto"/>
              <w:jc w:val="center"/>
              <w:rPr>
                <w:rFonts w:ascii="宋体" w:hAnsi="宋体" w:cs="宋体"/>
                <w:color w:val="auto"/>
                <w:sz w:val="24"/>
                <w:szCs w:val="18"/>
                <w:highlight w:val="none"/>
              </w:rPr>
            </w:pPr>
          </w:p>
        </w:tc>
        <w:tc>
          <w:tcPr>
            <w:tcW w:w="1244" w:type="dxa"/>
            <w:noWrap w:val="0"/>
            <w:vAlign w:val="center"/>
          </w:tcPr>
          <w:p w14:paraId="5A5BEECC">
            <w:pPr>
              <w:spacing w:line="360" w:lineRule="auto"/>
              <w:jc w:val="center"/>
              <w:rPr>
                <w:rFonts w:ascii="宋体" w:hAnsi="宋体" w:cs="宋体"/>
                <w:color w:val="auto"/>
                <w:sz w:val="24"/>
                <w:szCs w:val="18"/>
                <w:highlight w:val="none"/>
              </w:rPr>
            </w:pPr>
          </w:p>
        </w:tc>
        <w:tc>
          <w:tcPr>
            <w:tcW w:w="1244" w:type="dxa"/>
            <w:noWrap w:val="0"/>
            <w:vAlign w:val="center"/>
          </w:tcPr>
          <w:p w14:paraId="00B711EE">
            <w:pPr>
              <w:spacing w:line="360" w:lineRule="auto"/>
              <w:jc w:val="center"/>
              <w:rPr>
                <w:rFonts w:ascii="宋体" w:hAnsi="宋体" w:cs="宋体"/>
                <w:color w:val="auto"/>
                <w:sz w:val="24"/>
                <w:szCs w:val="18"/>
                <w:highlight w:val="none"/>
              </w:rPr>
            </w:pPr>
          </w:p>
        </w:tc>
      </w:tr>
      <w:tr w14:paraId="15EB04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atLeast"/>
          <w:jc w:val="center"/>
        </w:trPr>
        <w:tc>
          <w:tcPr>
            <w:tcW w:w="10103" w:type="dxa"/>
            <w:gridSpan w:val="9"/>
            <w:noWrap w:val="0"/>
            <w:vAlign w:val="center"/>
          </w:tcPr>
          <w:p w14:paraId="5B98E661">
            <w:pPr>
              <w:spacing w:line="360" w:lineRule="auto"/>
              <w:jc w:val="left"/>
              <w:rPr>
                <w:rFonts w:ascii="宋体" w:hAnsi="宋体" w:cs="宋体"/>
                <w:color w:val="auto"/>
                <w:sz w:val="24"/>
                <w:szCs w:val="18"/>
                <w:highlight w:val="none"/>
              </w:rPr>
            </w:pPr>
            <w:r>
              <w:rPr>
                <w:rFonts w:hint="eastAsia" w:ascii="宋体" w:hAnsi="宋体" w:cs="宋体"/>
                <w:color w:val="auto"/>
                <w:sz w:val="22"/>
                <w:szCs w:val="21"/>
                <w:highlight w:val="none"/>
              </w:rPr>
              <w:t xml:space="preserve">人民币合计金额（大写）：                                    （小写）             </w:t>
            </w:r>
          </w:p>
        </w:tc>
      </w:tr>
      <w:tr w14:paraId="41A32D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atLeast"/>
          <w:jc w:val="center"/>
        </w:trPr>
        <w:tc>
          <w:tcPr>
            <w:tcW w:w="10103" w:type="dxa"/>
            <w:gridSpan w:val="9"/>
            <w:noWrap w:val="0"/>
            <w:vAlign w:val="center"/>
          </w:tcPr>
          <w:p w14:paraId="3F96ED07">
            <w:pPr>
              <w:spacing w:line="360" w:lineRule="auto"/>
              <w:rPr>
                <w:rFonts w:ascii="宋体" w:hAnsi="宋体" w:cs="宋体"/>
                <w:color w:val="auto"/>
                <w:sz w:val="22"/>
                <w:szCs w:val="21"/>
                <w:highlight w:val="none"/>
              </w:rPr>
            </w:pPr>
            <w:r>
              <w:rPr>
                <w:rFonts w:hint="eastAsia" w:ascii="宋体" w:hAnsi="宋体" w:cs="宋体"/>
                <w:b/>
                <w:bCs/>
                <w:color w:val="auto"/>
                <w:sz w:val="22"/>
                <w:szCs w:val="21"/>
                <w:highlight w:val="none"/>
              </w:rPr>
              <w:t>说明：</w:t>
            </w:r>
            <w:r>
              <w:rPr>
                <w:rFonts w:hint="eastAsia" w:ascii="宋体" w:hAnsi="宋体" w:cs="宋体"/>
                <w:color w:val="auto"/>
                <w:sz w:val="22"/>
                <w:szCs w:val="21"/>
                <w:highlight w:val="none"/>
              </w:rPr>
              <w:t>1、</w:t>
            </w:r>
            <w:r>
              <w:rPr>
                <w:rFonts w:hint="eastAsia" w:eastAsia="仿宋_GB2312"/>
                <w:color w:val="auto"/>
                <w:sz w:val="24"/>
                <w:highlight w:val="none"/>
              </w:rPr>
              <w:t>合计金额包括产品价款、备件、专用工具、安装、调试、检验、技术培训及技术资料和包装、运输、模块化机房建设等全部费用；2、本合同中模块化机房建设为固定总价合同，包工包料，包质量、包工期、包安全、包文明施工。乙方应充分考虑风险，原则上不予调整。材料、设备、人工费的成本变化属于固定总价的风险范围内，由乙方自行承担，完成既定施工范围情况下的实际工作量变化不进行调整。乙方不得以工作量发生变化、设计变更向甲丙方提出任何工期和费用索赔。如因实际需要，乙方未完成全部工作量时，甲方按实扣减未完成工作量所对应的价款。</w:t>
            </w:r>
          </w:p>
        </w:tc>
      </w:tr>
    </w:tbl>
    <w:p w14:paraId="1AEC70F2">
      <w:pPr>
        <w:keepNext w:val="0"/>
        <w:keepLines w:val="0"/>
        <w:pageBreakBefore w:val="0"/>
        <w:widowControl w:val="0"/>
        <w:kinsoku/>
        <w:wordWrap/>
        <w:overflowPunct/>
        <w:topLinePunct w:val="0"/>
        <w:autoSpaceDE/>
        <w:autoSpaceDN/>
        <w:bidi w:val="0"/>
        <w:adjustRightInd/>
        <w:snapToGrid/>
        <w:spacing w:line="360" w:lineRule="exact"/>
        <w:ind w:firstLine="482" w:firstLineChars="200"/>
        <w:textAlignment w:val="auto"/>
        <w:outlineLvl w:val="0"/>
        <w:rPr>
          <w:rFonts w:ascii="宋体" w:hAnsi="宋体" w:cs="宋体"/>
          <w:b/>
          <w:bCs/>
          <w:color w:val="auto"/>
          <w:sz w:val="24"/>
          <w:szCs w:val="18"/>
          <w:highlight w:val="none"/>
        </w:rPr>
      </w:pPr>
      <w:bookmarkStart w:id="14" w:name="_Toc24179"/>
      <w:r>
        <w:rPr>
          <w:rFonts w:hint="eastAsia" w:ascii="宋体" w:hAnsi="宋体" w:cs="宋体"/>
          <w:b/>
          <w:bCs/>
          <w:color w:val="auto"/>
          <w:sz w:val="24"/>
          <w:szCs w:val="18"/>
          <w:highlight w:val="none"/>
        </w:rPr>
        <w:t>第</w:t>
      </w:r>
      <w:r>
        <w:rPr>
          <w:rFonts w:hint="eastAsia" w:ascii="宋体" w:hAnsi="宋体" w:cs="宋体"/>
          <w:b/>
          <w:bCs/>
          <w:color w:val="auto"/>
          <w:sz w:val="24"/>
          <w:szCs w:val="18"/>
          <w:highlight w:val="none"/>
          <w:lang w:val="en-US" w:eastAsia="zh-CN"/>
        </w:rPr>
        <w:t>二</w:t>
      </w:r>
      <w:r>
        <w:rPr>
          <w:rFonts w:hint="eastAsia" w:ascii="宋体" w:hAnsi="宋体" w:cs="宋体"/>
          <w:b/>
          <w:bCs/>
          <w:color w:val="auto"/>
          <w:sz w:val="24"/>
          <w:szCs w:val="18"/>
          <w:highlight w:val="none"/>
        </w:rPr>
        <w:t>条 质量</w:t>
      </w:r>
      <w:bookmarkEnd w:id="13"/>
      <w:r>
        <w:rPr>
          <w:rFonts w:hint="eastAsia" w:ascii="宋体" w:hAnsi="宋体" w:cs="宋体"/>
          <w:b/>
          <w:bCs/>
          <w:color w:val="auto"/>
          <w:sz w:val="24"/>
          <w:szCs w:val="18"/>
          <w:highlight w:val="none"/>
        </w:rPr>
        <w:t>保证</w:t>
      </w:r>
      <w:bookmarkEnd w:id="14"/>
    </w:p>
    <w:p w14:paraId="78CB21D9">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bookmarkStart w:id="15" w:name="_Toc27403"/>
      <w:r>
        <w:rPr>
          <w:rFonts w:hint="eastAsia" w:eastAsia="仿宋_GB2312"/>
          <w:color w:val="auto"/>
          <w:sz w:val="24"/>
          <w:highlight w:val="none"/>
          <w:lang w:val="en-US" w:eastAsia="zh-CN"/>
        </w:rPr>
        <w:t>2</w:t>
      </w:r>
      <w:r>
        <w:rPr>
          <w:rFonts w:hint="eastAsia" w:eastAsia="仿宋_GB2312"/>
          <w:color w:val="auto"/>
          <w:sz w:val="24"/>
          <w:highlight w:val="none"/>
        </w:rPr>
        <w:t>.1 乙方所提供的产品型号、技术规格、技术参数等质量，必须符合国家、行业现行的设计、安全、质量等相关标准规范要求，与招标文件、投标文件和承诺相一致。</w:t>
      </w:r>
      <w:bookmarkEnd w:id="15"/>
      <w:r>
        <w:rPr>
          <w:rFonts w:hint="eastAsia" w:eastAsia="仿宋_GB2312"/>
          <w:color w:val="auto"/>
          <w:sz w:val="24"/>
          <w:highlight w:val="none"/>
        </w:rPr>
        <w:t xml:space="preserve"> </w:t>
      </w:r>
    </w:p>
    <w:p w14:paraId="011B51B0">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bookmarkStart w:id="16" w:name="_Toc22444"/>
      <w:r>
        <w:rPr>
          <w:rFonts w:hint="eastAsia" w:eastAsia="仿宋_GB2312"/>
          <w:color w:val="auto"/>
          <w:sz w:val="24"/>
          <w:highlight w:val="none"/>
          <w:lang w:val="en-US" w:eastAsia="zh-CN"/>
        </w:rPr>
        <w:t>2</w:t>
      </w:r>
      <w:r>
        <w:rPr>
          <w:rFonts w:hint="eastAsia" w:eastAsia="仿宋_GB2312"/>
          <w:color w:val="auto"/>
          <w:sz w:val="24"/>
          <w:highlight w:val="none"/>
        </w:rPr>
        <w:t>.2 乙方所提供的产品必须是全新、未使用的原装产品，且在正常安装、使用和保养条件下，其使用寿命期内各项指标均达到质量要求。</w:t>
      </w:r>
      <w:bookmarkEnd w:id="16"/>
    </w:p>
    <w:p w14:paraId="6976AB45">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r>
        <w:rPr>
          <w:rFonts w:hint="eastAsia" w:eastAsia="仿宋_GB2312"/>
          <w:color w:val="auto"/>
          <w:sz w:val="24"/>
          <w:highlight w:val="none"/>
          <w:lang w:val="en-US" w:eastAsia="zh-CN"/>
        </w:rPr>
        <w:t>2</w:t>
      </w:r>
      <w:r>
        <w:rPr>
          <w:rFonts w:hint="eastAsia" w:eastAsia="仿宋_GB2312"/>
          <w:color w:val="auto"/>
          <w:sz w:val="24"/>
          <w:highlight w:val="none"/>
        </w:rPr>
        <w:t>.3乙方在签订合同时，须同时向甲丙两方提供相应软件安装、使用许可授权书，防止出现第三方侵权。</w:t>
      </w:r>
    </w:p>
    <w:p w14:paraId="4A112CCC">
      <w:pPr>
        <w:keepNext w:val="0"/>
        <w:keepLines w:val="0"/>
        <w:pageBreakBefore w:val="0"/>
        <w:widowControl w:val="0"/>
        <w:kinsoku/>
        <w:wordWrap/>
        <w:overflowPunct/>
        <w:topLinePunct w:val="0"/>
        <w:autoSpaceDE/>
        <w:autoSpaceDN/>
        <w:bidi w:val="0"/>
        <w:adjustRightInd/>
        <w:snapToGrid/>
        <w:spacing w:line="360" w:lineRule="exact"/>
        <w:ind w:firstLine="482" w:firstLineChars="200"/>
        <w:textAlignment w:val="auto"/>
        <w:outlineLvl w:val="0"/>
        <w:rPr>
          <w:rFonts w:ascii="宋体" w:hAnsi="宋体" w:cs="宋体"/>
          <w:b/>
          <w:bCs/>
          <w:color w:val="auto"/>
          <w:sz w:val="24"/>
          <w:szCs w:val="18"/>
          <w:highlight w:val="none"/>
        </w:rPr>
      </w:pPr>
      <w:bookmarkStart w:id="17" w:name="_Toc20728"/>
      <w:r>
        <w:rPr>
          <w:rFonts w:hint="eastAsia" w:ascii="宋体" w:hAnsi="宋体" w:cs="宋体"/>
          <w:b/>
          <w:bCs/>
          <w:color w:val="auto"/>
          <w:sz w:val="24"/>
          <w:szCs w:val="18"/>
          <w:highlight w:val="none"/>
        </w:rPr>
        <w:t>第</w:t>
      </w:r>
      <w:r>
        <w:rPr>
          <w:rFonts w:hint="eastAsia" w:ascii="宋体" w:hAnsi="宋体" w:cs="宋体"/>
          <w:b/>
          <w:bCs/>
          <w:color w:val="auto"/>
          <w:sz w:val="24"/>
          <w:szCs w:val="18"/>
          <w:highlight w:val="none"/>
          <w:lang w:val="en-US" w:eastAsia="zh-CN"/>
        </w:rPr>
        <w:t>三</w:t>
      </w:r>
      <w:r>
        <w:rPr>
          <w:rFonts w:hint="eastAsia" w:ascii="宋体" w:hAnsi="宋体" w:cs="宋体"/>
          <w:b/>
          <w:bCs/>
          <w:color w:val="auto"/>
          <w:sz w:val="24"/>
          <w:szCs w:val="18"/>
          <w:highlight w:val="none"/>
        </w:rPr>
        <w:t>条 知识版权</w:t>
      </w:r>
      <w:bookmarkEnd w:id="17"/>
    </w:p>
    <w:p w14:paraId="62058FA9">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r>
        <w:rPr>
          <w:rFonts w:hint="eastAsia" w:eastAsia="仿宋_GB2312"/>
          <w:color w:val="auto"/>
          <w:sz w:val="24"/>
          <w:highlight w:val="none"/>
          <w:lang w:val="en-US" w:eastAsia="zh-CN"/>
        </w:rPr>
        <w:t>3</w:t>
      </w:r>
      <w:r>
        <w:rPr>
          <w:rFonts w:hint="eastAsia" w:eastAsia="仿宋_GB2312"/>
          <w:color w:val="auto"/>
          <w:sz w:val="24"/>
          <w:highlight w:val="none"/>
        </w:rPr>
        <w:t>.1</w:t>
      </w:r>
      <w:r>
        <w:rPr>
          <w:rFonts w:hint="eastAsia" w:eastAsia="仿宋_GB2312"/>
          <w:color w:val="auto"/>
          <w:sz w:val="24"/>
          <w:highlight w:val="none"/>
          <w:lang w:val="en-US" w:eastAsia="zh-CN"/>
        </w:rPr>
        <w:t>乙</w:t>
      </w:r>
      <w:r>
        <w:rPr>
          <w:rFonts w:hint="eastAsia" w:eastAsia="仿宋_GB2312"/>
          <w:color w:val="auto"/>
          <w:sz w:val="24"/>
          <w:highlight w:val="none"/>
        </w:rPr>
        <w:t>方对</w:t>
      </w:r>
      <w:r>
        <w:rPr>
          <w:rFonts w:hint="eastAsia" w:eastAsia="仿宋_GB2312"/>
          <w:color w:val="auto"/>
          <w:sz w:val="24"/>
          <w:highlight w:val="none"/>
          <w:lang w:val="en-US" w:eastAsia="zh-CN"/>
        </w:rPr>
        <w:t>甲</w:t>
      </w:r>
      <w:r>
        <w:rPr>
          <w:rFonts w:hint="eastAsia" w:eastAsia="仿宋_GB2312"/>
          <w:color w:val="auto"/>
          <w:sz w:val="24"/>
          <w:highlight w:val="none"/>
        </w:rPr>
        <w:t>方交付的、本合同项目正常运行和维护所需的各个部分的软件拥有全部使用权和开发性知识产权。未事先获得</w:t>
      </w:r>
      <w:r>
        <w:rPr>
          <w:rFonts w:hint="eastAsia" w:eastAsia="仿宋_GB2312"/>
          <w:color w:val="auto"/>
          <w:sz w:val="24"/>
          <w:highlight w:val="none"/>
          <w:lang w:val="en-US" w:eastAsia="zh-CN"/>
        </w:rPr>
        <w:t>甲</w:t>
      </w:r>
      <w:r>
        <w:rPr>
          <w:rFonts w:hint="eastAsia" w:eastAsia="仿宋_GB2312"/>
          <w:color w:val="auto"/>
          <w:sz w:val="24"/>
          <w:highlight w:val="none"/>
        </w:rPr>
        <w:t>方书面许可，任何人不得擅自使用。</w:t>
      </w:r>
    </w:p>
    <w:p w14:paraId="5922751D">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r>
        <w:rPr>
          <w:rFonts w:hint="eastAsia" w:eastAsia="仿宋_GB2312"/>
          <w:color w:val="auto"/>
          <w:sz w:val="24"/>
          <w:highlight w:val="none"/>
          <w:lang w:val="en-US" w:eastAsia="zh-CN"/>
        </w:rPr>
        <w:t>3</w:t>
      </w:r>
      <w:r>
        <w:rPr>
          <w:rFonts w:hint="eastAsia" w:eastAsia="仿宋_GB2312"/>
          <w:color w:val="auto"/>
          <w:sz w:val="24"/>
          <w:highlight w:val="none"/>
        </w:rPr>
        <w:t>.3乙方保证最终提供给甲方的本合同项目整体不得包含任何第三方的知识产权或引起任何第三方基于该产品知识产权的指控。</w:t>
      </w:r>
    </w:p>
    <w:p w14:paraId="3E2534CB">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r>
        <w:rPr>
          <w:rFonts w:hint="eastAsia" w:eastAsia="仿宋_GB2312"/>
          <w:color w:val="auto"/>
          <w:sz w:val="24"/>
          <w:highlight w:val="none"/>
          <w:lang w:val="en-US" w:eastAsia="zh-CN"/>
        </w:rPr>
        <w:t>3</w:t>
      </w:r>
      <w:r>
        <w:rPr>
          <w:rFonts w:hint="eastAsia" w:eastAsia="仿宋_GB2312"/>
          <w:color w:val="auto"/>
          <w:sz w:val="24"/>
          <w:highlight w:val="none"/>
        </w:rPr>
        <w:t>.4如第三方指控乙方或甲方侵犯了该方相关知识产权，乙方将自费就上述指控为甲方进行处理，并支付诉讼或经甲方同意的和解中甲方发生的一切费用以及损害赔偿金、损失和诉讼费及律师费。对甲方因该纠纷产生的相应损失，乙方应当予以赔偿。</w:t>
      </w:r>
    </w:p>
    <w:p w14:paraId="5EB00D85">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r>
        <w:rPr>
          <w:rFonts w:hint="eastAsia" w:eastAsia="仿宋_GB2312"/>
          <w:color w:val="auto"/>
          <w:sz w:val="24"/>
          <w:highlight w:val="none"/>
          <w:lang w:val="en-US" w:eastAsia="zh-CN"/>
        </w:rPr>
        <w:t>3</w:t>
      </w:r>
      <w:r>
        <w:rPr>
          <w:rFonts w:hint="eastAsia" w:eastAsia="仿宋_GB2312"/>
          <w:color w:val="auto"/>
          <w:sz w:val="24"/>
          <w:highlight w:val="none"/>
        </w:rPr>
        <w:t>.5本条合同条款的规定不因本合同的到期而失效。</w:t>
      </w:r>
    </w:p>
    <w:p w14:paraId="51B0938B">
      <w:pPr>
        <w:keepNext w:val="0"/>
        <w:keepLines w:val="0"/>
        <w:pageBreakBefore w:val="0"/>
        <w:widowControl w:val="0"/>
        <w:kinsoku/>
        <w:wordWrap/>
        <w:overflowPunct/>
        <w:topLinePunct w:val="0"/>
        <w:autoSpaceDE/>
        <w:autoSpaceDN/>
        <w:bidi w:val="0"/>
        <w:adjustRightInd/>
        <w:snapToGrid/>
        <w:spacing w:line="360" w:lineRule="exact"/>
        <w:ind w:firstLine="482" w:firstLineChars="200"/>
        <w:textAlignment w:val="auto"/>
        <w:outlineLvl w:val="0"/>
        <w:rPr>
          <w:rFonts w:ascii="宋体" w:hAnsi="宋体" w:cs="宋体"/>
          <w:b/>
          <w:bCs/>
          <w:color w:val="auto"/>
          <w:sz w:val="24"/>
          <w:szCs w:val="18"/>
          <w:highlight w:val="none"/>
        </w:rPr>
      </w:pPr>
      <w:bookmarkStart w:id="18" w:name="_Toc31532"/>
      <w:r>
        <w:rPr>
          <w:rFonts w:hint="eastAsia" w:ascii="宋体" w:hAnsi="宋体" w:cs="宋体"/>
          <w:b/>
          <w:bCs/>
          <w:color w:val="auto"/>
          <w:sz w:val="24"/>
          <w:szCs w:val="18"/>
          <w:highlight w:val="none"/>
        </w:rPr>
        <w:t>第</w:t>
      </w:r>
      <w:r>
        <w:rPr>
          <w:rFonts w:hint="eastAsia" w:ascii="宋体" w:hAnsi="宋体" w:cs="宋体"/>
          <w:b/>
          <w:bCs/>
          <w:color w:val="auto"/>
          <w:sz w:val="24"/>
          <w:szCs w:val="18"/>
          <w:highlight w:val="none"/>
          <w:lang w:val="en-US" w:eastAsia="zh-CN"/>
        </w:rPr>
        <w:t>四</w:t>
      </w:r>
      <w:r>
        <w:rPr>
          <w:rFonts w:hint="eastAsia" w:ascii="宋体" w:hAnsi="宋体" w:cs="宋体"/>
          <w:b/>
          <w:bCs/>
          <w:color w:val="auto"/>
          <w:sz w:val="24"/>
          <w:szCs w:val="18"/>
          <w:highlight w:val="none"/>
        </w:rPr>
        <w:t>条 包装和运输</w:t>
      </w:r>
      <w:bookmarkEnd w:id="18"/>
    </w:p>
    <w:p w14:paraId="50A9144A">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bookmarkStart w:id="19" w:name="_Toc4726"/>
      <w:r>
        <w:rPr>
          <w:rFonts w:hint="eastAsia" w:eastAsia="仿宋_GB2312"/>
          <w:color w:val="auto"/>
          <w:sz w:val="24"/>
          <w:highlight w:val="none"/>
          <w:lang w:val="en-US" w:eastAsia="zh-CN"/>
        </w:rPr>
        <w:t>4</w:t>
      </w:r>
      <w:r>
        <w:rPr>
          <w:rFonts w:hint="eastAsia" w:eastAsia="仿宋_GB2312"/>
          <w:color w:val="auto"/>
          <w:sz w:val="24"/>
          <w:highlight w:val="none"/>
        </w:rPr>
        <w:t>.1 乙方采用包装方式必须符合包装和运输的有关标准，包装应为制造商出厂时的原包装（特殊约定除外），每一包装单元内应附详细的装箱单和质量合格证。</w:t>
      </w:r>
      <w:bookmarkEnd w:id="19"/>
    </w:p>
    <w:p w14:paraId="2F2706EF">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bookmarkStart w:id="20" w:name="_Toc29957"/>
      <w:r>
        <w:rPr>
          <w:rFonts w:hint="eastAsia" w:eastAsia="仿宋_GB2312"/>
          <w:color w:val="auto"/>
          <w:sz w:val="24"/>
          <w:highlight w:val="none"/>
          <w:lang w:val="en-US" w:eastAsia="zh-CN"/>
        </w:rPr>
        <w:t>4</w:t>
      </w:r>
      <w:r>
        <w:rPr>
          <w:rFonts w:hint="eastAsia" w:eastAsia="仿宋_GB2312"/>
          <w:color w:val="auto"/>
          <w:sz w:val="24"/>
          <w:highlight w:val="none"/>
        </w:rPr>
        <w:t>.2 运输方式及费用负担</w:t>
      </w:r>
      <w:bookmarkEnd w:id="20"/>
    </w:p>
    <w:p w14:paraId="4FE2E778">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hint="eastAsia" w:eastAsia="仿宋_GB2312"/>
          <w:color w:val="auto"/>
          <w:sz w:val="24"/>
          <w:highlight w:val="none"/>
        </w:rPr>
      </w:pPr>
      <w:bookmarkStart w:id="21" w:name="_Toc6403"/>
      <w:r>
        <w:rPr>
          <w:rFonts w:hint="eastAsia" w:eastAsia="仿宋_GB2312"/>
          <w:color w:val="auto"/>
          <w:sz w:val="24"/>
          <w:highlight w:val="none"/>
        </w:rPr>
        <w:t>由乙方负责运输至交付地点或者甲方指定地点，运输费用及安全均由乙方负责承担。由乙方负责卸车及就位，费用及安全均由乙方负责承担。</w:t>
      </w:r>
      <w:bookmarkEnd w:id="21"/>
    </w:p>
    <w:p w14:paraId="0A90BD3E">
      <w:pPr>
        <w:keepNext w:val="0"/>
        <w:keepLines w:val="0"/>
        <w:pageBreakBefore w:val="0"/>
        <w:widowControl w:val="0"/>
        <w:kinsoku/>
        <w:wordWrap/>
        <w:overflowPunct/>
        <w:topLinePunct w:val="0"/>
        <w:autoSpaceDE/>
        <w:autoSpaceDN/>
        <w:bidi w:val="0"/>
        <w:adjustRightInd/>
        <w:snapToGrid/>
        <w:spacing w:line="360" w:lineRule="exact"/>
        <w:ind w:firstLine="482" w:firstLineChars="200"/>
        <w:textAlignment w:val="auto"/>
        <w:outlineLvl w:val="0"/>
        <w:rPr>
          <w:rFonts w:ascii="宋体" w:hAnsi="宋体" w:cs="宋体"/>
          <w:b/>
          <w:bCs/>
          <w:color w:val="auto"/>
          <w:sz w:val="24"/>
          <w:szCs w:val="18"/>
          <w:highlight w:val="none"/>
        </w:rPr>
      </w:pPr>
      <w:bookmarkStart w:id="22" w:name="_Toc15162"/>
      <w:r>
        <w:rPr>
          <w:rFonts w:hint="eastAsia" w:ascii="宋体" w:hAnsi="宋体" w:cs="宋体"/>
          <w:b/>
          <w:bCs/>
          <w:color w:val="auto"/>
          <w:sz w:val="24"/>
          <w:szCs w:val="18"/>
          <w:highlight w:val="none"/>
        </w:rPr>
        <w:t>第</w:t>
      </w:r>
      <w:r>
        <w:rPr>
          <w:rFonts w:hint="eastAsia" w:ascii="宋体" w:hAnsi="宋体" w:cs="宋体"/>
          <w:b/>
          <w:bCs/>
          <w:color w:val="auto"/>
          <w:sz w:val="24"/>
          <w:szCs w:val="18"/>
          <w:highlight w:val="none"/>
          <w:lang w:val="en-US" w:eastAsia="zh-CN"/>
        </w:rPr>
        <w:t>五</w:t>
      </w:r>
      <w:r>
        <w:rPr>
          <w:rFonts w:hint="eastAsia" w:ascii="宋体" w:hAnsi="宋体" w:cs="宋体"/>
          <w:b/>
          <w:bCs/>
          <w:color w:val="auto"/>
          <w:sz w:val="24"/>
          <w:szCs w:val="18"/>
          <w:highlight w:val="none"/>
        </w:rPr>
        <w:t>条 交付和验收</w:t>
      </w:r>
      <w:bookmarkEnd w:id="22"/>
    </w:p>
    <w:p w14:paraId="6361AF4C">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bookmarkStart w:id="23" w:name="_Toc5747"/>
      <w:r>
        <w:rPr>
          <w:rFonts w:hint="eastAsia" w:eastAsia="仿宋_GB2312"/>
          <w:color w:val="auto"/>
          <w:sz w:val="24"/>
          <w:highlight w:val="none"/>
          <w:lang w:val="en-US" w:eastAsia="zh-CN"/>
        </w:rPr>
        <w:t>5</w:t>
      </w:r>
      <w:r>
        <w:rPr>
          <w:rFonts w:hint="eastAsia" w:eastAsia="仿宋_GB2312"/>
          <w:color w:val="auto"/>
          <w:sz w:val="24"/>
          <w:highlight w:val="none"/>
        </w:rPr>
        <w:t xml:space="preserve">.1 </w:t>
      </w:r>
      <w:r>
        <w:rPr>
          <w:rFonts w:hint="eastAsia" w:eastAsia="仿宋_GB2312"/>
          <w:b/>
          <w:bCs/>
          <w:color w:val="auto"/>
          <w:sz w:val="24"/>
          <w:highlight w:val="none"/>
        </w:rPr>
        <w:t>交付时间</w:t>
      </w:r>
      <w:r>
        <w:rPr>
          <w:rFonts w:hint="eastAsia" w:eastAsia="仿宋_GB2312"/>
          <w:color w:val="auto"/>
          <w:sz w:val="24"/>
          <w:highlight w:val="none"/>
        </w:rPr>
        <w:t>：合同签订后</w:t>
      </w:r>
      <w:r>
        <w:rPr>
          <w:rFonts w:hint="eastAsia" w:eastAsia="仿宋_GB2312"/>
          <w:color w:val="auto"/>
          <w:sz w:val="24"/>
          <w:highlight w:val="none"/>
          <w:lang w:val="en-US" w:eastAsia="zh-CN"/>
        </w:rPr>
        <w:t>30天</w:t>
      </w:r>
      <w:r>
        <w:rPr>
          <w:rFonts w:hint="eastAsia" w:eastAsia="仿宋_GB2312"/>
          <w:color w:val="auto"/>
          <w:sz w:val="24"/>
          <w:highlight w:val="none"/>
        </w:rPr>
        <w:t>。</w:t>
      </w:r>
      <w:bookmarkEnd w:id="23"/>
    </w:p>
    <w:p w14:paraId="6805A8B2">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bookmarkStart w:id="24" w:name="_Toc14811"/>
      <w:r>
        <w:rPr>
          <w:rFonts w:hint="eastAsia" w:eastAsia="仿宋_GB2312"/>
          <w:color w:val="auto"/>
          <w:sz w:val="24"/>
          <w:highlight w:val="none"/>
          <w:lang w:val="en-US" w:eastAsia="zh-CN"/>
        </w:rPr>
        <w:t>5</w:t>
      </w:r>
      <w:r>
        <w:rPr>
          <w:rFonts w:hint="eastAsia" w:eastAsia="仿宋_GB2312"/>
          <w:color w:val="auto"/>
          <w:sz w:val="24"/>
          <w:highlight w:val="none"/>
        </w:rPr>
        <w:t xml:space="preserve">.2 </w:t>
      </w:r>
      <w:r>
        <w:rPr>
          <w:rFonts w:hint="eastAsia" w:eastAsia="仿宋_GB2312"/>
          <w:b/>
          <w:bCs/>
          <w:color w:val="auto"/>
          <w:sz w:val="24"/>
          <w:highlight w:val="none"/>
        </w:rPr>
        <w:t>交付地点</w:t>
      </w:r>
      <w:r>
        <w:rPr>
          <w:rFonts w:hint="eastAsia" w:eastAsia="仿宋_GB2312"/>
          <w:color w:val="auto"/>
          <w:sz w:val="24"/>
          <w:highlight w:val="none"/>
        </w:rPr>
        <w:t>：</w:t>
      </w:r>
      <w:r>
        <w:rPr>
          <w:rFonts w:hint="eastAsia" w:eastAsia="仿宋_GB2312"/>
          <w:color w:val="auto"/>
          <w:sz w:val="24"/>
          <w:highlight w:val="none"/>
          <w:lang w:val="en-US" w:eastAsia="zh-CN"/>
        </w:rPr>
        <w:t>汉中市中医医院</w:t>
      </w:r>
      <w:r>
        <w:rPr>
          <w:rFonts w:hint="eastAsia" w:eastAsia="仿宋_GB2312"/>
          <w:color w:val="auto"/>
          <w:sz w:val="24"/>
          <w:highlight w:val="none"/>
        </w:rPr>
        <w:t>指定地点。</w:t>
      </w:r>
      <w:bookmarkEnd w:id="24"/>
    </w:p>
    <w:p w14:paraId="28AC713D">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hint="eastAsia" w:eastAsia="仿宋_GB2312"/>
          <w:color w:val="auto"/>
          <w:sz w:val="24"/>
          <w:highlight w:val="none"/>
        </w:rPr>
      </w:pPr>
      <w:bookmarkStart w:id="25" w:name="_Toc91"/>
      <w:r>
        <w:rPr>
          <w:rFonts w:hint="eastAsia" w:eastAsia="仿宋_GB2312"/>
          <w:color w:val="auto"/>
          <w:sz w:val="24"/>
          <w:highlight w:val="none"/>
          <w:lang w:val="en-US" w:eastAsia="zh-CN"/>
        </w:rPr>
        <w:t>5</w:t>
      </w:r>
      <w:r>
        <w:rPr>
          <w:rFonts w:hint="eastAsia" w:eastAsia="仿宋_GB2312"/>
          <w:color w:val="auto"/>
          <w:sz w:val="24"/>
          <w:highlight w:val="none"/>
        </w:rPr>
        <w:t xml:space="preserve">.3 </w:t>
      </w:r>
      <w:r>
        <w:rPr>
          <w:rFonts w:hint="eastAsia" w:eastAsia="仿宋_GB2312"/>
          <w:b/>
          <w:bCs/>
          <w:color w:val="auto"/>
          <w:sz w:val="24"/>
          <w:highlight w:val="none"/>
        </w:rPr>
        <w:t>指定履约人员</w:t>
      </w:r>
      <w:r>
        <w:rPr>
          <w:rFonts w:hint="eastAsia" w:eastAsia="仿宋_GB2312"/>
          <w:color w:val="auto"/>
          <w:sz w:val="24"/>
          <w:highlight w:val="none"/>
        </w:rPr>
        <w:t>：甲方指定</w:t>
      </w:r>
      <w:r>
        <w:rPr>
          <w:rFonts w:hint="eastAsia" w:eastAsia="仿宋_GB2312"/>
          <w:color w:val="auto"/>
          <w:sz w:val="24"/>
          <w:highlight w:val="none"/>
          <w:u w:val="single"/>
        </w:rPr>
        <w:t xml:space="preserve">        </w:t>
      </w:r>
      <w:r>
        <w:rPr>
          <w:rFonts w:hint="eastAsia" w:eastAsia="仿宋_GB2312"/>
          <w:color w:val="auto"/>
          <w:sz w:val="24"/>
          <w:highlight w:val="none"/>
        </w:rPr>
        <w:t>为代表，组织甲方相关人员检验、接收货物，签收（或送达）合同履行资料。乙方指定</w:t>
      </w:r>
      <w:r>
        <w:rPr>
          <w:rFonts w:hint="eastAsia" w:eastAsia="仿宋_GB2312"/>
          <w:color w:val="auto"/>
          <w:sz w:val="24"/>
          <w:highlight w:val="none"/>
          <w:u w:val="single"/>
        </w:rPr>
        <w:t xml:space="preserve">       </w:t>
      </w:r>
      <w:r>
        <w:rPr>
          <w:rFonts w:hint="eastAsia" w:eastAsia="仿宋_GB2312"/>
          <w:color w:val="auto"/>
          <w:sz w:val="24"/>
          <w:highlight w:val="none"/>
        </w:rPr>
        <w:t>代表乙方交付货物，签收（或送达）合同履行资料。上述指定人员如需变更，应以书面形式于变更之日通知对方。非指定人员签署的履行资料，在结算时甲方不予认可。</w:t>
      </w:r>
      <w:bookmarkEnd w:id="25"/>
    </w:p>
    <w:p w14:paraId="2FC7DB24">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hint="eastAsia" w:eastAsia="仿宋_GB2312"/>
          <w:color w:val="auto"/>
          <w:sz w:val="24"/>
          <w:highlight w:val="none"/>
        </w:rPr>
      </w:pPr>
      <w:bookmarkStart w:id="26" w:name="_Toc27367"/>
      <w:r>
        <w:rPr>
          <w:rFonts w:hint="eastAsia" w:eastAsia="仿宋_GB2312"/>
          <w:color w:val="auto"/>
          <w:sz w:val="24"/>
          <w:highlight w:val="none"/>
          <w:lang w:val="en-US" w:eastAsia="zh-CN"/>
        </w:rPr>
        <w:t>5</w:t>
      </w:r>
      <w:r>
        <w:rPr>
          <w:rFonts w:hint="eastAsia" w:eastAsia="仿宋_GB2312"/>
          <w:color w:val="auto"/>
          <w:sz w:val="24"/>
          <w:highlight w:val="none"/>
        </w:rPr>
        <w:t xml:space="preserve">.4 </w:t>
      </w:r>
      <w:r>
        <w:rPr>
          <w:rFonts w:hint="eastAsia" w:eastAsia="仿宋_GB2312"/>
          <w:b/>
          <w:bCs/>
          <w:color w:val="auto"/>
          <w:sz w:val="24"/>
          <w:highlight w:val="none"/>
        </w:rPr>
        <w:t>安装调试</w:t>
      </w:r>
      <w:r>
        <w:rPr>
          <w:rFonts w:hint="eastAsia" w:eastAsia="仿宋_GB2312"/>
          <w:color w:val="auto"/>
          <w:sz w:val="24"/>
          <w:highlight w:val="none"/>
        </w:rPr>
        <w:t>：乙方负责在货物到达甲方交付地点或者指定地点7日内到甲方现场调试服务，遵守安全、文明规定，服从项目管理单位的管理，承担安全文明施工责任和成品保护责任。安装调试期间，若发生任何不安全事件(人员、设备、设施)，乙方负责承担。</w:t>
      </w:r>
      <w:bookmarkEnd w:id="26"/>
    </w:p>
    <w:p w14:paraId="781C1FCB">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bookmarkStart w:id="27" w:name="_Toc16525"/>
      <w:r>
        <w:rPr>
          <w:rFonts w:hint="eastAsia" w:eastAsia="仿宋_GB2312"/>
          <w:color w:val="auto"/>
          <w:sz w:val="24"/>
          <w:highlight w:val="none"/>
          <w:lang w:val="en-US" w:eastAsia="zh-CN"/>
        </w:rPr>
        <w:t>5</w:t>
      </w:r>
      <w:r>
        <w:rPr>
          <w:rFonts w:hint="eastAsia" w:eastAsia="仿宋_GB2312"/>
          <w:color w:val="auto"/>
          <w:sz w:val="24"/>
          <w:highlight w:val="none"/>
        </w:rPr>
        <w:t xml:space="preserve">.5 </w:t>
      </w:r>
      <w:r>
        <w:rPr>
          <w:rFonts w:hint="eastAsia" w:eastAsia="仿宋_GB2312"/>
          <w:b/>
          <w:bCs/>
          <w:color w:val="auto"/>
          <w:sz w:val="24"/>
          <w:highlight w:val="none"/>
        </w:rPr>
        <w:t>验收标准</w:t>
      </w:r>
      <w:r>
        <w:rPr>
          <w:rFonts w:hint="eastAsia" w:eastAsia="仿宋_GB2312"/>
          <w:color w:val="auto"/>
          <w:sz w:val="24"/>
          <w:highlight w:val="none"/>
        </w:rPr>
        <w:t>：依照本合同约定的货物技术标准条款执行。货物的技术标准（或质量要求）：按照技术协议约定内容；技术协议没有约定的，按照国家标准执行；国家标准没有要求的，按照行业标准执行；行业标准没有要求的，按照行业惯例或行业习惯执行。</w:t>
      </w:r>
      <w:bookmarkEnd w:id="27"/>
      <w:r>
        <w:rPr>
          <w:rFonts w:hint="eastAsia" w:eastAsia="仿宋_GB2312"/>
          <w:color w:val="auto"/>
          <w:sz w:val="24"/>
          <w:highlight w:val="none"/>
        </w:rPr>
        <w:t>机房建设的技术标准按照国家及行业标准、规范执行，可正常投入使用。</w:t>
      </w:r>
    </w:p>
    <w:p w14:paraId="21991947">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bookmarkStart w:id="28" w:name="_Toc3259"/>
      <w:r>
        <w:rPr>
          <w:rFonts w:hint="eastAsia" w:eastAsia="仿宋_GB2312"/>
          <w:color w:val="auto"/>
          <w:sz w:val="24"/>
          <w:highlight w:val="none"/>
          <w:lang w:val="en-US" w:eastAsia="zh-CN"/>
        </w:rPr>
        <w:t>5</w:t>
      </w:r>
      <w:r>
        <w:rPr>
          <w:rFonts w:hint="eastAsia" w:eastAsia="仿宋_GB2312"/>
          <w:color w:val="auto"/>
          <w:sz w:val="24"/>
          <w:highlight w:val="none"/>
        </w:rPr>
        <w:t>.5.1项目功能：按照招标文件的要求，检查项目功能和其他要求是否达到设计和采购要求。</w:t>
      </w:r>
    </w:p>
    <w:p w14:paraId="5101F118">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hint="eastAsia" w:eastAsia="仿宋_GB2312"/>
          <w:color w:val="auto"/>
          <w:sz w:val="24"/>
          <w:highlight w:val="none"/>
        </w:rPr>
      </w:pPr>
      <w:r>
        <w:rPr>
          <w:rFonts w:hint="eastAsia" w:eastAsia="仿宋_GB2312"/>
          <w:color w:val="auto"/>
          <w:sz w:val="24"/>
          <w:highlight w:val="none"/>
          <w:lang w:val="en-US" w:eastAsia="zh-CN"/>
        </w:rPr>
        <w:t>5</w:t>
      </w:r>
      <w:r>
        <w:rPr>
          <w:rFonts w:hint="eastAsia" w:eastAsia="仿宋_GB2312"/>
          <w:color w:val="auto"/>
          <w:sz w:val="24"/>
          <w:highlight w:val="none"/>
        </w:rPr>
        <w:t>.5.2验收程序：乙方应配合甲方的交付期要求，负责在现场对各个模块进行安装、调试、试运行，直至验收合格。试运行应当在甲方的监督下进行，乙方向甲方提交项目实施过程中的所有资料，以便甲方日后管理和维护。</w:t>
      </w:r>
    </w:p>
    <w:p w14:paraId="075A2A20">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hint="eastAsia" w:eastAsia="仿宋_GB2312"/>
          <w:color w:val="auto"/>
          <w:sz w:val="24"/>
          <w:highlight w:val="none"/>
        </w:rPr>
      </w:pPr>
      <w:r>
        <w:rPr>
          <w:rFonts w:hint="eastAsia" w:eastAsia="仿宋_GB2312"/>
          <w:color w:val="auto"/>
          <w:sz w:val="24"/>
          <w:highlight w:val="none"/>
          <w:lang w:val="en-US" w:eastAsia="zh-CN"/>
        </w:rPr>
        <w:t>5</w:t>
      </w:r>
      <w:r>
        <w:rPr>
          <w:rFonts w:hint="eastAsia" w:eastAsia="仿宋_GB2312"/>
          <w:color w:val="auto"/>
          <w:sz w:val="24"/>
          <w:highlight w:val="none"/>
        </w:rPr>
        <w:t>.5.3最终验收：安装调试和运行后，由乙方向甲方递交安装调试记录和竣工通知书，经甲方确认后，组织乙方进行系统验收，验收合格后填写项目验收单。</w:t>
      </w:r>
    </w:p>
    <w:p w14:paraId="1313283F">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hint="eastAsia" w:eastAsia="仿宋_GB2312"/>
          <w:color w:val="auto"/>
          <w:sz w:val="24"/>
          <w:highlight w:val="none"/>
        </w:rPr>
      </w:pPr>
      <w:r>
        <w:rPr>
          <w:rFonts w:hint="eastAsia" w:eastAsia="仿宋_GB2312"/>
          <w:color w:val="auto"/>
          <w:sz w:val="24"/>
          <w:highlight w:val="none"/>
          <w:lang w:val="en-US" w:eastAsia="zh-CN"/>
        </w:rPr>
        <w:t>5</w:t>
      </w:r>
      <w:r>
        <w:rPr>
          <w:rFonts w:hint="eastAsia" w:eastAsia="仿宋_GB2312"/>
          <w:color w:val="auto"/>
          <w:sz w:val="24"/>
          <w:highlight w:val="none"/>
        </w:rPr>
        <w:t>.5.4验收费用：验收费用由乙方承担（验收过程中所需要的材料、设施设备、人工等费用由乙方承担）。</w:t>
      </w:r>
    </w:p>
    <w:p w14:paraId="49C5876F">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hint="eastAsia" w:eastAsia="仿宋_GB2312"/>
          <w:color w:val="auto"/>
          <w:sz w:val="24"/>
          <w:highlight w:val="none"/>
        </w:rPr>
      </w:pPr>
      <w:r>
        <w:rPr>
          <w:rFonts w:hint="eastAsia" w:eastAsia="仿宋_GB2312"/>
          <w:b w:val="0"/>
          <w:bCs w:val="0"/>
          <w:color w:val="auto"/>
          <w:sz w:val="24"/>
          <w:highlight w:val="none"/>
          <w:lang w:val="en-US" w:eastAsia="zh-CN"/>
        </w:rPr>
        <w:t>5</w:t>
      </w:r>
      <w:r>
        <w:rPr>
          <w:rFonts w:hint="eastAsia" w:eastAsia="仿宋_GB2312"/>
          <w:b w:val="0"/>
          <w:bCs w:val="0"/>
          <w:color w:val="auto"/>
          <w:sz w:val="24"/>
          <w:highlight w:val="none"/>
        </w:rPr>
        <w:t>.6权属约定：</w:t>
      </w:r>
      <w:r>
        <w:rPr>
          <w:rFonts w:hint="eastAsia" w:eastAsia="仿宋_GB2312"/>
          <w:color w:val="auto"/>
          <w:sz w:val="24"/>
          <w:highlight w:val="none"/>
        </w:rPr>
        <w:t>合作期内丙方实际投资到位项目资金数额与项目总价款对应比例的项目所有权归属丙方，甲方出资部分对应比例的项目所有权归甲方，合作期内甲方拥有此项目全部的使用权。本项目合同期限届满后，合同项目的所有权和使用权全部归甲方。</w:t>
      </w:r>
    </w:p>
    <w:p w14:paraId="57026D17">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r>
        <w:rPr>
          <w:rFonts w:hint="eastAsia" w:eastAsia="仿宋_GB2312"/>
          <w:color w:val="auto"/>
          <w:sz w:val="24"/>
          <w:highlight w:val="none"/>
          <w:lang w:val="en-US" w:eastAsia="zh-CN"/>
        </w:rPr>
        <w:t>5</w:t>
      </w:r>
      <w:r>
        <w:rPr>
          <w:rFonts w:hint="eastAsia" w:eastAsia="仿宋_GB2312"/>
          <w:color w:val="auto"/>
          <w:sz w:val="24"/>
          <w:highlight w:val="none"/>
        </w:rPr>
        <w:t xml:space="preserve">.7 </w:t>
      </w:r>
      <w:r>
        <w:rPr>
          <w:rFonts w:hint="eastAsia" w:eastAsia="仿宋_GB2312"/>
          <w:b/>
          <w:bCs/>
          <w:color w:val="auto"/>
          <w:sz w:val="24"/>
          <w:highlight w:val="none"/>
        </w:rPr>
        <w:t>技术培训</w:t>
      </w:r>
      <w:bookmarkEnd w:id="28"/>
    </w:p>
    <w:p w14:paraId="64E6A79A">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bookmarkStart w:id="29" w:name="_Toc28269"/>
      <w:r>
        <w:rPr>
          <w:rFonts w:hint="eastAsia" w:eastAsia="仿宋_GB2312"/>
          <w:color w:val="auto"/>
          <w:sz w:val="24"/>
          <w:highlight w:val="none"/>
        </w:rPr>
        <w:t>乙方应在使用操作和维修技术方面向甲方提供培训，直至正确使用、熟练操作。</w:t>
      </w:r>
      <w:bookmarkEnd w:id="29"/>
    </w:p>
    <w:p w14:paraId="3524CFC0">
      <w:pPr>
        <w:keepNext w:val="0"/>
        <w:keepLines w:val="0"/>
        <w:pageBreakBefore w:val="0"/>
        <w:widowControl w:val="0"/>
        <w:kinsoku/>
        <w:wordWrap/>
        <w:overflowPunct/>
        <w:topLinePunct w:val="0"/>
        <w:autoSpaceDE/>
        <w:autoSpaceDN/>
        <w:bidi w:val="0"/>
        <w:adjustRightInd/>
        <w:snapToGrid/>
        <w:spacing w:line="360" w:lineRule="exact"/>
        <w:ind w:firstLine="482" w:firstLineChars="200"/>
        <w:textAlignment w:val="auto"/>
        <w:outlineLvl w:val="0"/>
        <w:rPr>
          <w:rFonts w:ascii="宋体" w:hAnsi="宋体" w:cs="宋体"/>
          <w:b/>
          <w:bCs/>
          <w:color w:val="auto"/>
          <w:sz w:val="24"/>
          <w:szCs w:val="18"/>
          <w:highlight w:val="none"/>
        </w:rPr>
      </w:pPr>
      <w:bookmarkStart w:id="30" w:name="_Toc26856"/>
      <w:r>
        <w:rPr>
          <w:rFonts w:hint="eastAsia" w:ascii="宋体" w:hAnsi="宋体" w:cs="宋体"/>
          <w:b/>
          <w:bCs/>
          <w:color w:val="auto"/>
          <w:sz w:val="24"/>
          <w:szCs w:val="18"/>
          <w:highlight w:val="none"/>
        </w:rPr>
        <w:t>第</w:t>
      </w:r>
      <w:r>
        <w:rPr>
          <w:rFonts w:hint="eastAsia" w:ascii="宋体" w:hAnsi="宋体" w:cs="宋体"/>
          <w:b/>
          <w:bCs/>
          <w:color w:val="auto"/>
          <w:sz w:val="24"/>
          <w:szCs w:val="18"/>
          <w:highlight w:val="none"/>
          <w:lang w:val="en-US" w:eastAsia="zh-CN"/>
        </w:rPr>
        <w:t>六</w:t>
      </w:r>
      <w:r>
        <w:rPr>
          <w:rFonts w:hint="eastAsia" w:ascii="宋体" w:hAnsi="宋体" w:cs="宋体"/>
          <w:b/>
          <w:bCs/>
          <w:color w:val="auto"/>
          <w:sz w:val="24"/>
          <w:szCs w:val="18"/>
          <w:highlight w:val="none"/>
        </w:rPr>
        <w:t>条 货款结算</w:t>
      </w:r>
      <w:bookmarkEnd w:id="30"/>
    </w:p>
    <w:p w14:paraId="3A22206D">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bookmarkStart w:id="31" w:name="_Toc14578"/>
      <w:r>
        <w:rPr>
          <w:rFonts w:hint="eastAsia" w:eastAsia="仿宋_GB2312"/>
          <w:color w:val="auto"/>
          <w:sz w:val="24"/>
          <w:highlight w:val="none"/>
          <w:lang w:val="en-US" w:eastAsia="zh-CN"/>
        </w:rPr>
        <w:t>6</w:t>
      </w:r>
      <w:r>
        <w:rPr>
          <w:rFonts w:hint="eastAsia" w:eastAsia="仿宋_GB2312"/>
          <w:color w:val="auto"/>
          <w:sz w:val="24"/>
          <w:highlight w:val="none"/>
        </w:rPr>
        <w:t>.1 本合同以人民币付款。</w:t>
      </w:r>
      <w:bookmarkEnd w:id="31"/>
    </w:p>
    <w:p w14:paraId="5C03ABF9">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hint="eastAsia" w:eastAsia="仿宋_GB2312"/>
          <w:color w:val="auto"/>
          <w:sz w:val="24"/>
          <w:highlight w:val="none"/>
        </w:rPr>
      </w:pPr>
      <w:r>
        <w:rPr>
          <w:rFonts w:hint="eastAsia" w:eastAsia="仿宋_GB2312"/>
          <w:color w:val="auto"/>
          <w:sz w:val="24"/>
          <w:highlight w:val="none"/>
        </w:rPr>
        <w:t>合同总价款：</w:t>
      </w:r>
      <w:r>
        <w:rPr>
          <w:rFonts w:hint="eastAsia" w:eastAsia="仿宋_GB2312"/>
          <w:color w:val="auto"/>
          <w:sz w:val="24"/>
          <w:highlight w:val="none"/>
          <w:u w:val="single"/>
        </w:rPr>
        <w:t xml:space="preserve">         </w:t>
      </w:r>
      <w:r>
        <w:rPr>
          <w:rFonts w:hint="eastAsia" w:eastAsia="仿宋_GB2312"/>
          <w:color w:val="auto"/>
          <w:sz w:val="24"/>
          <w:highlight w:val="none"/>
        </w:rPr>
        <w:t>元，大写</w:t>
      </w:r>
      <w:r>
        <w:rPr>
          <w:rFonts w:hint="eastAsia" w:eastAsia="仿宋_GB2312"/>
          <w:color w:val="auto"/>
          <w:sz w:val="24"/>
          <w:highlight w:val="none"/>
          <w:u w:val="single"/>
        </w:rPr>
        <w:t xml:space="preserve">                     </w:t>
      </w:r>
      <w:r>
        <w:rPr>
          <w:rFonts w:hint="eastAsia" w:eastAsia="仿宋_GB2312"/>
          <w:color w:val="auto"/>
          <w:sz w:val="24"/>
          <w:highlight w:val="none"/>
        </w:rPr>
        <w:t>（其中：丙方总投资不超过捌</w:t>
      </w:r>
      <w:r>
        <w:rPr>
          <w:rFonts w:hint="eastAsia" w:eastAsia="仿宋_GB2312"/>
          <w:color w:val="auto"/>
          <w:sz w:val="24"/>
          <w:highlight w:val="none"/>
          <w:lang w:val="en-US" w:eastAsia="zh-CN"/>
        </w:rPr>
        <w:t>佰</w:t>
      </w:r>
      <w:r>
        <w:rPr>
          <w:rFonts w:hint="eastAsia" w:eastAsia="仿宋_GB2312"/>
          <w:color w:val="auto"/>
          <w:sz w:val="24"/>
          <w:highlight w:val="none"/>
        </w:rPr>
        <w:t>万元整，超过部分由甲方自筹）。本合同执行期间，合同单价不变，该价格已经包含本合同第一条约定的所有费用。</w:t>
      </w:r>
    </w:p>
    <w:p w14:paraId="4123909C">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bookmarkStart w:id="32" w:name="_Toc26074"/>
      <w:r>
        <w:rPr>
          <w:rFonts w:hint="eastAsia" w:eastAsia="仿宋_GB2312"/>
          <w:color w:val="auto"/>
          <w:sz w:val="24"/>
          <w:highlight w:val="none"/>
          <w:lang w:val="en-US" w:eastAsia="zh-CN"/>
        </w:rPr>
        <w:t>6</w:t>
      </w:r>
      <w:r>
        <w:rPr>
          <w:rFonts w:hint="eastAsia" w:eastAsia="仿宋_GB2312"/>
          <w:color w:val="auto"/>
          <w:sz w:val="24"/>
          <w:highlight w:val="none"/>
        </w:rPr>
        <w:t>.2 结算方式：银行转账</w:t>
      </w:r>
      <w:bookmarkEnd w:id="32"/>
    </w:p>
    <w:p w14:paraId="1A66B31D">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bookmarkStart w:id="33" w:name="_Toc17581"/>
      <w:r>
        <w:rPr>
          <w:rFonts w:hint="eastAsia" w:eastAsia="仿宋_GB2312"/>
          <w:color w:val="auto"/>
          <w:sz w:val="24"/>
          <w:highlight w:val="none"/>
          <w:lang w:val="en-US" w:eastAsia="zh-CN"/>
        </w:rPr>
        <w:t>6</w:t>
      </w:r>
      <w:r>
        <w:rPr>
          <w:rFonts w:hint="eastAsia" w:eastAsia="仿宋_GB2312"/>
          <w:color w:val="auto"/>
          <w:sz w:val="24"/>
          <w:highlight w:val="none"/>
        </w:rPr>
        <w:t>.3付款比例：</w:t>
      </w:r>
      <w:bookmarkEnd w:id="33"/>
      <w:r>
        <w:rPr>
          <w:rFonts w:hint="eastAsia" w:eastAsia="仿宋_GB2312"/>
          <w:color w:val="auto"/>
          <w:sz w:val="24"/>
          <w:highlight w:val="none"/>
        </w:rPr>
        <w:t>采用分期付款方式</w:t>
      </w:r>
    </w:p>
    <w:p w14:paraId="5BBC4F50">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hint="eastAsia" w:ascii="Times New Roman" w:hAnsi="Times New Roman" w:eastAsia="仿宋_GB2312" w:cs="Times New Roman"/>
          <w:color w:val="auto"/>
          <w:sz w:val="24"/>
          <w:highlight w:val="none"/>
        </w:rPr>
      </w:pPr>
      <w:r>
        <w:rPr>
          <w:rFonts w:hint="eastAsia" w:ascii="Times New Roman" w:hAnsi="Times New Roman" w:eastAsia="仿宋_GB2312" w:cs="Times New Roman"/>
          <w:color w:val="auto"/>
          <w:sz w:val="24"/>
          <w:highlight w:val="none"/>
          <w:lang w:val="en-US" w:eastAsia="zh-CN"/>
        </w:rPr>
        <w:t>6</w:t>
      </w:r>
      <w:r>
        <w:rPr>
          <w:rFonts w:hint="eastAsia" w:ascii="Times New Roman" w:hAnsi="Times New Roman" w:eastAsia="仿宋_GB2312" w:cs="Times New Roman"/>
          <w:color w:val="auto"/>
          <w:sz w:val="24"/>
          <w:highlight w:val="none"/>
        </w:rPr>
        <w:t>.3. 1、合同签订后30天内，甲方向乙方支付合同总价款40%作为预付款，乙方需提供相关收款依据。</w:t>
      </w:r>
    </w:p>
    <w:p w14:paraId="6EB541FA">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r>
        <w:rPr>
          <w:rFonts w:hint="eastAsia" w:ascii="Times New Roman" w:hAnsi="Times New Roman" w:eastAsia="仿宋_GB2312" w:cs="Times New Roman"/>
          <w:color w:val="auto"/>
          <w:sz w:val="24"/>
          <w:highlight w:val="none"/>
          <w:lang w:val="en-US" w:eastAsia="zh-CN"/>
        </w:rPr>
        <w:t>6</w:t>
      </w:r>
      <w:r>
        <w:rPr>
          <w:rFonts w:hint="eastAsia" w:ascii="Times New Roman" w:hAnsi="Times New Roman" w:eastAsia="仿宋_GB2312" w:cs="Times New Roman"/>
          <w:color w:val="auto"/>
          <w:sz w:val="24"/>
          <w:highlight w:val="none"/>
        </w:rPr>
        <w:t>.3. 2、乙方须按其投标文件中响应的交货期按时交货并提供全额合规发票保证“货票同行”，到达甲方指定地点，安装、调试完毕并验收合格后，甲方30天内支付合同总价款的60%。</w:t>
      </w:r>
    </w:p>
    <w:p w14:paraId="0794A8F6">
      <w:pPr>
        <w:keepNext w:val="0"/>
        <w:keepLines w:val="0"/>
        <w:pageBreakBefore w:val="0"/>
        <w:widowControl w:val="0"/>
        <w:kinsoku/>
        <w:wordWrap/>
        <w:overflowPunct/>
        <w:topLinePunct w:val="0"/>
        <w:autoSpaceDE/>
        <w:autoSpaceDN/>
        <w:bidi w:val="0"/>
        <w:adjustRightInd/>
        <w:snapToGrid/>
        <w:spacing w:line="360" w:lineRule="exact"/>
        <w:ind w:firstLine="482" w:firstLineChars="200"/>
        <w:textAlignment w:val="auto"/>
        <w:outlineLvl w:val="0"/>
        <w:rPr>
          <w:rFonts w:ascii="宋体" w:hAnsi="宋体" w:cs="宋体"/>
          <w:color w:val="auto"/>
          <w:sz w:val="24"/>
          <w:szCs w:val="18"/>
          <w:highlight w:val="none"/>
        </w:rPr>
      </w:pPr>
      <w:bookmarkStart w:id="34" w:name="_Toc15730"/>
      <w:r>
        <w:rPr>
          <w:rFonts w:hint="eastAsia" w:ascii="宋体" w:hAnsi="宋体" w:cs="宋体"/>
          <w:b/>
          <w:bCs/>
          <w:color w:val="auto"/>
          <w:sz w:val="24"/>
          <w:szCs w:val="18"/>
          <w:highlight w:val="none"/>
        </w:rPr>
        <w:t>第</w:t>
      </w:r>
      <w:r>
        <w:rPr>
          <w:rFonts w:hint="eastAsia" w:ascii="宋体" w:hAnsi="宋体" w:cs="宋体"/>
          <w:b/>
          <w:bCs/>
          <w:color w:val="auto"/>
          <w:sz w:val="24"/>
          <w:szCs w:val="18"/>
          <w:highlight w:val="none"/>
          <w:lang w:val="en-US" w:eastAsia="zh-CN"/>
        </w:rPr>
        <w:t>七</w:t>
      </w:r>
      <w:r>
        <w:rPr>
          <w:rFonts w:hint="eastAsia" w:ascii="宋体" w:hAnsi="宋体" w:cs="宋体"/>
          <w:b/>
          <w:bCs/>
          <w:color w:val="auto"/>
          <w:sz w:val="24"/>
          <w:szCs w:val="18"/>
          <w:highlight w:val="none"/>
        </w:rPr>
        <w:t>条 售后服务</w:t>
      </w:r>
      <w:bookmarkEnd w:id="34"/>
    </w:p>
    <w:p w14:paraId="2536F0C3">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hint="eastAsia" w:eastAsia="仿宋_GB2312"/>
          <w:color w:val="auto"/>
          <w:sz w:val="24"/>
          <w:highlight w:val="none"/>
        </w:rPr>
      </w:pPr>
      <w:bookmarkStart w:id="35" w:name="_Toc12898"/>
      <w:r>
        <w:rPr>
          <w:rFonts w:hint="eastAsia" w:eastAsia="仿宋_GB2312"/>
          <w:color w:val="auto"/>
          <w:sz w:val="24"/>
          <w:highlight w:val="none"/>
          <w:lang w:val="en-US" w:eastAsia="zh-CN"/>
        </w:rPr>
        <w:t>7</w:t>
      </w:r>
      <w:r>
        <w:rPr>
          <w:rFonts w:hint="eastAsia" w:eastAsia="仿宋_GB2312"/>
          <w:color w:val="auto"/>
          <w:sz w:val="24"/>
          <w:highlight w:val="none"/>
        </w:rPr>
        <w:t>.1乙方应按国家相关法规及招标文件、投标文件对售后服务的要求和响应提供服务，质量保修期为</w:t>
      </w:r>
      <w:r>
        <w:rPr>
          <w:rFonts w:hint="eastAsia" w:eastAsia="仿宋_GB2312"/>
          <w:color w:val="auto"/>
          <w:sz w:val="24"/>
          <w:highlight w:val="none"/>
          <w:u w:val="single"/>
          <w:lang w:val="en-US" w:eastAsia="zh-CN"/>
        </w:rPr>
        <w:t>整</w:t>
      </w:r>
      <w:r>
        <w:rPr>
          <w:rFonts w:hint="eastAsia" w:eastAsia="仿宋_GB2312"/>
          <w:color w:val="auto"/>
          <w:sz w:val="24"/>
          <w:highlight w:val="none"/>
          <w:lang w:val="en-US" w:eastAsia="zh-CN"/>
        </w:rPr>
        <w:t>体质保三年，等保一年</w:t>
      </w:r>
      <w:r>
        <w:rPr>
          <w:rFonts w:hint="eastAsia" w:eastAsia="仿宋_GB2312"/>
          <w:color w:val="auto"/>
          <w:sz w:val="24"/>
          <w:highlight w:val="none"/>
        </w:rPr>
        <w:t>。质保期，自甲乙</w:t>
      </w:r>
      <w:bookmarkStart w:id="70" w:name="_GoBack"/>
      <w:bookmarkEnd w:id="70"/>
      <w:r>
        <w:rPr>
          <w:rFonts w:hint="eastAsia" w:eastAsia="仿宋_GB2312"/>
          <w:color w:val="auto"/>
          <w:sz w:val="24"/>
          <w:highlight w:val="none"/>
        </w:rPr>
        <w:t>方签署验收单的次日起算。</w:t>
      </w:r>
      <w:bookmarkEnd w:id="35"/>
    </w:p>
    <w:p w14:paraId="2B6F4495">
      <w:pPr>
        <w:keepNext w:val="0"/>
        <w:keepLines w:val="0"/>
        <w:pageBreakBefore w:val="0"/>
        <w:widowControl w:val="0"/>
        <w:kinsoku/>
        <w:wordWrap/>
        <w:overflowPunct/>
        <w:topLinePunct w:val="0"/>
        <w:autoSpaceDE/>
        <w:autoSpaceDN/>
        <w:bidi w:val="0"/>
        <w:adjustRightInd/>
        <w:snapToGrid/>
        <w:spacing w:line="360" w:lineRule="exact"/>
        <w:ind w:right="-1" w:firstLine="480" w:firstLineChars="200"/>
        <w:textAlignment w:val="auto"/>
        <w:outlineLvl w:val="0"/>
        <w:rPr>
          <w:rFonts w:eastAsia="仿宋_GB2312"/>
          <w:color w:val="auto"/>
          <w:sz w:val="24"/>
          <w:highlight w:val="none"/>
        </w:rPr>
      </w:pPr>
      <w:bookmarkStart w:id="36" w:name="_Toc11404"/>
      <w:r>
        <w:rPr>
          <w:rFonts w:hint="eastAsia" w:eastAsia="仿宋_GB2312"/>
          <w:color w:val="auto"/>
          <w:sz w:val="24"/>
          <w:highlight w:val="none"/>
          <w:lang w:val="en-US" w:eastAsia="zh-CN"/>
        </w:rPr>
        <w:t>7</w:t>
      </w:r>
      <w:r>
        <w:rPr>
          <w:rFonts w:hint="eastAsia" w:eastAsia="仿宋_GB2312"/>
          <w:color w:val="auto"/>
          <w:sz w:val="24"/>
          <w:highlight w:val="none"/>
        </w:rPr>
        <w:t>.2 质保期内，乙方将定期派员对甲方使用的产品进行检测，应保证产品处于正常使用状态；提供技术支持；进行系统免费升级；更换非人为因素损坏的零配件。</w:t>
      </w:r>
      <w:bookmarkEnd w:id="36"/>
    </w:p>
    <w:p w14:paraId="2FBF9DD7">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hint="eastAsia" w:eastAsia="仿宋_GB2312"/>
          <w:color w:val="auto"/>
          <w:sz w:val="24"/>
          <w:highlight w:val="none"/>
        </w:rPr>
      </w:pPr>
      <w:bookmarkStart w:id="37" w:name="_Toc18592"/>
      <w:r>
        <w:rPr>
          <w:rFonts w:hint="eastAsia" w:eastAsia="仿宋_GB2312"/>
          <w:color w:val="auto"/>
          <w:sz w:val="24"/>
          <w:highlight w:val="none"/>
          <w:lang w:val="en-US" w:eastAsia="zh-CN"/>
        </w:rPr>
        <w:t>7</w:t>
      </w:r>
      <w:r>
        <w:rPr>
          <w:rFonts w:hint="eastAsia" w:eastAsia="仿宋_GB2312"/>
          <w:color w:val="auto"/>
          <w:sz w:val="24"/>
          <w:highlight w:val="none"/>
        </w:rPr>
        <w:t>.3 如因产品质量或原始标（警）示不清等原因，导致甲方损失，或造成甲方操作人员、第三方人员人身伤害，乙方应依法予以赔偿。</w:t>
      </w:r>
      <w:bookmarkEnd w:id="37"/>
    </w:p>
    <w:p w14:paraId="0150D408">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hint="eastAsia" w:eastAsia="仿宋_GB2312"/>
          <w:color w:val="auto"/>
          <w:sz w:val="24"/>
          <w:highlight w:val="none"/>
        </w:rPr>
      </w:pPr>
      <w:r>
        <w:rPr>
          <w:rFonts w:hint="eastAsia" w:eastAsia="仿宋_GB2312"/>
          <w:color w:val="auto"/>
          <w:sz w:val="24"/>
          <w:highlight w:val="none"/>
          <w:lang w:val="en-US" w:eastAsia="zh-CN"/>
        </w:rPr>
        <w:t>7</w:t>
      </w:r>
      <w:r>
        <w:rPr>
          <w:rFonts w:hint="eastAsia" w:eastAsia="仿宋_GB2312"/>
          <w:color w:val="auto"/>
          <w:sz w:val="24"/>
          <w:highlight w:val="none"/>
        </w:rPr>
        <w:t xml:space="preserve">.4 项目交付经甲方验收合格后，乙方提供不少于1人、不少于1年的驻场服务，驻场人员应为全程参与本项目建设的人员。当驻场人员数量不能满足工作需要时，乙方应当增加临时驻场人员，数量由甲乙双方根据需求情况协商决定。 </w:t>
      </w:r>
    </w:p>
    <w:p w14:paraId="6C5EE9AB">
      <w:pPr>
        <w:keepNext w:val="0"/>
        <w:keepLines w:val="0"/>
        <w:pageBreakBefore w:val="0"/>
        <w:widowControl w:val="0"/>
        <w:kinsoku/>
        <w:wordWrap/>
        <w:overflowPunct/>
        <w:topLinePunct w:val="0"/>
        <w:autoSpaceDE/>
        <w:autoSpaceDN/>
        <w:bidi w:val="0"/>
        <w:adjustRightInd/>
        <w:snapToGrid/>
        <w:spacing w:line="360" w:lineRule="exact"/>
        <w:ind w:firstLine="482" w:firstLineChars="200"/>
        <w:textAlignment w:val="auto"/>
        <w:outlineLvl w:val="0"/>
        <w:rPr>
          <w:rFonts w:ascii="宋体" w:hAnsi="宋体" w:cs="宋体"/>
          <w:color w:val="auto"/>
          <w:sz w:val="24"/>
          <w:szCs w:val="18"/>
          <w:highlight w:val="none"/>
        </w:rPr>
      </w:pPr>
      <w:bookmarkStart w:id="38" w:name="_Toc5635"/>
      <w:bookmarkStart w:id="39" w:name="_Toc341030123"/>
      <w:r>
        <w:rPr>
          <w:rFonts w:hint="eastAsia" w:ascii="宋体" w:hAnsi="宋体" w:cs="宋体"/>
          <w:b/>
          <w:bCs/>
          <w:color w:val="auto"/>
          <w:sz w:val="24"/>
          <w:szCs w:val="18"/>
          <w:highlight w:val="none"/>
        </w:rPr>
        <w:t>第</w:t>
      </w:r>
      <w:r>
        <w:rPr>
          <w:rFonts w:hint="eastAsia" w:ascii="宋体" w:hAnsi="宋体" w:cs="宋体"/>
          <w:b/>
          <w:bCs/>
          <w:color w:val="auto"/>
          <w:sz w:val="24"/>
          <w:szCs w:val="18"/>
          <w:highlight w:val="none"/>
          <w:lang w:val="en-US" w:eastAsia="zh-CN"/>
        </w:rPr>
        <w:t>八</w:t>
      </w:r>
      <w:r>
        <w:rPr>
          <w:rFonts w:hint="eastAsia" w:ascii="宋体" w:hAnsi="宋体" w:cs="宋体"/>
          <w:b/>
          <w:bCs/>
          <w:color w:val="auto"/>
          <w:sz w:val="24"/>
          <w:szCs w:val="18"/>
          <w:highlight w:val="none"/>
        </w:rPr>
        <w:t>条 合同的变更、终止与转让</w:t>
      </w:r>
      <w:bookmarkEnd w:id="38"/>
    </w:p>
    <w:p w14:paraId="258D380F">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hint="eastAsia" w:eastAsia="仿宋_GB2312"/>
          <w:color w:val="auto"/>
          <w:sz w:val="24"/>
          <w:highlight w:val="none"/>
        </w:rPr>
      </w:pPr>
      <w:bookmarkStart w:id="40" w:name="_Toc10082"/>
      <w:r>
        <w:rPr>
          <w:rFonts w:hint="eastAsia" w:eastAsia="仿宋_GB2312"/>
          <w:color w:val="auto"/>
          <w:sz w:val="24"/>
          <w:highlight w:val="none"/>
          <w:lang w:val="en-US" w:eastAsia="zh-CN"/>
        </w:rPr>
        <w:t>8</w:t>
      </w:r>
      <w:r>
        <w:rPr>
          <w:rFonts w:hint="eastAsia" w:eastAsia="仿宋_GB2312"/>
          <w:color w:val="auto"/>
          <w:sz w:val="24"/>
          <w:highlight w:val="none"/>
        </w:rPr>
        <w:t>.1 甲乙</w:t>
      </w:r>
      <w:r>
        <w:rPr>
          <w:rFonts w:hint="eastAsia" w:eastAsia="仿宋_GB2312"/>
          <w:color w:val="auto"/>
          <w:sz w:val="24"/>
          <w:highlight w:val="none"/>
          <w:lang w:val="en-US" w:eastAsia="zh-CN"/>
        </w:rPr>
        <w:t>双</w:t>
      </w:r>
      <w:r>
        <w:rPr>
          <w:rFonts w:hint="eastAsia" w:eastAsia="仿宋_GB2312"/>
          <w:color w:val="auto"/>
          <w:sz w:val="24"/>
          <w:highlight w:val="none"/>
        </w:rPr>
        <w:t>方除非事先得到对方的书面同意或本合同另有约定，任何一方不得将合同项下的任何权利、义务、责任转让给任何第四方，不得擅自变更、中止或终止本合同。</w:t>
      </w:r>
      <w:bookmarkEnd w:id="40"/>
    </w:p>
    <w:p w14:paraId="54DA808F">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hint="eastAsia" w:eastAsia="仿宋_GB2312"/>
          <w:color w:val="auto"/>
          <w:sz w:val="24"/>
          <w:highlight w:val="none"/>
        </w:rPr>
      </w:pPr>
      <w:bookmarkStart w:id="41" w:name="_Toc18590"/>
      <w:r>
        <w:rPr>
          <w:rFonts w:hint="eastAsia" w:eastAsia="仿宋_GB2312"/>
          <w:color w:val="auto"/>
          <w:sz w:val="24"/>
          <w:highlight w:val="none"/>
          <w:lang w:val="en-US" w:eastAsia="zh-CN"/>
        </w:rPr>
        <w:t>8</w:t>
      </w:r>
      <w:r>
        <w:rPr>
          <w:rFonts w:hint="eastAsia" w:eastAsia="仿宋_GB2312"/>
          <w:color w:val="auto"/>
          <w:sz w:val="24"/>
          <w:highlight w:val="none"/>
        </w:rPr>
        <w:t>.2 乙方逾期未完成约定义务超过</w:t>
      </w:r>
      <w:r>
        <w:rPr>
          <w:rFonts w:hint="eastAsia" w:eastAsia="仿宋_GB2312"/>
          <w:color w:val="auto"/>
          <w:sz w:val="24"/>
          <w:highlight w:val="none"/>
          <w:u w:val="single"/>
        </w:rPr>
        <w:t xml:space="preserve"> 5 </w:t>
      </w:r>
      <w:r>
        <w:rPr>
          <w:rFonts w:hint="eastAsia" w:eastAsia="仿宋_GB2312"/>
          <w:color w:val="auto"/>
          <w:sz w:val="24"/>
          <w:highlight w:val="none"/>
        </w:rPr>
        <w:t>个工作日，甲方协商一致后有权解除本合同。</w:t>
      </w:r>
      <w:bookmarkEnd w:id="41"/>
    </w:p>
    <w:p w14:paraId="1B7204B0">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hint="default" w:eastAsia="仿宋_GB2312"/>
          <w:color w:val="auto"/>
          <w:sz w:val="24"/>
          <w:highlight w:val="none"/>
          <w:lang w:val="en-US" w:eastAsia="zh-CN"/>
        </w:rPr>
      </w:pPr>
      <w:bookmarkStart w:id="42" w:name="_Toc24336"/>
      <w:r>
        <w:rPr>
          <w:rFonts w:hint="eastAsia" w:eastAsia="仿宋_GB2312"/>
          <w:color w:val="auto"/>
          <w:sz w:val="24"/>
          <w:highlight w:val="none"/>
          <w:lang w:val="en-US" w:eastAsia="zh-CN"/>
        </w:rPr>
        <w:t>8</w:t>
      </w:r>
      <w:r>
        <w:rPr>
          <w:rFonts w:hint="eastAsia" w:eastAsia="仿宋_GB2312"/>
          <w:color w:val="auto"/>
          <w:sz w:val="24"/>
          <w:highlight w:val="none"/>
        </w:rPr>
        <w:t>.3 乙方履行本合同约定义务未达到甲方要求，修改或整改超过</w:t>
      </w:r>
      <w:r>
        <w:rPr>
          <w:rFonts w:hint="eastAsia" w:eastAsia="仿宋_GB2312"/>
          <w:color w:val="auto"/>
          <w:sz w:val="24"/>
          <w:highlight w:val="none"/>
          <w:u w:val="single"/>
        </w:rPr>
        <w:t xml:space="preserve"> 2 </w:t>
      </w:r>
      <w:r>
        <w:rPr>
          <w:rFonts w:hint="eastAsia" w:eastAsia="仿宋_GB2312"/>
          <w:color w:val="auto"/>
          <w:sz w:val="24"/>
          <w:highlight w:val="none"/>
        </w:rPr>
        <w:t>次，仍然无法达到甲方要求，甲方协商一致后有权解除本合同。</w:t>
      </w:r>
      <w:bookmarkEnd w:id="42"/>
      <w:bookmarkStart w:id="43" w:name="_Toc32440"/>
      <w:r>
        <w:rPr>
          <w:rFonts w:hint="eastAsia" w:eastAsia="仿宋_GB2312"/>
          <w:color w:val="auto"/>
          <w:sz w:val="24"/>
          <w:highlight w:val="none"/>
          <w:lang w:val="en-US" w:eastAsia="zh-CN"/>
        </w:rPr>
        <w:t>。</w:t>
      </w:r>
    </w:p>
    <w:p w14:paraId="50B31AE2">
      <w:pPr>
        <w:keepNext w:val="0"/>
        <w:keepLines w:val="0"/>
        <w:pageBreakBefore w:val="0"/>
        <w:widowControl w:val="0"/>
        <w:kinsoku/>
        <w:wordWrap/>
        <w:overflowPunct/>
        <w:topLinePunct w:val="0"/>
        <w:autoSpaceDE/>
        <w:autoSpaceDN/>
        <w:bidi w:val="0"/>
        <w:adjustRightInd/>
        <w:snapToGrid/>
        <w:spacing w:line="360" w:lineRule="exact"/>
        <w:ind w:firstLine="482" w:firstLineChars="200"/>
        <w:textAlignment w:val="auto"/>
        <w:outlineLvl w:val="0"/>
        <w:rPr>
          <w:rFonts w:ascii="宋体" w:hAnsi="宋体" w:cs="宋体"/>
          <w:color w:val="auto"/>
          <w:sz w:val="24"/>
          <w:szCs w:val="18"/>
          <w:highlight w:val="none"/>
        </w:rPr>
      </w:pPr>
      <w:r>
        <w:rPr>
          <w:rFonts w:hint="eastAsia" w:ascii="宋体" w:hAnsi="宋体" w:cs="宋体"/>
          <w:b/>
          <w:bCs/>
          <w:color w:val="auto"/>
          <w:sz w:val="24"/>
          <w:szCs w:val="18"/>
          <w:highlight w:val="none"/>
        </w:rPr>
        <w:t>第</w:t>
      </w:r>
      <w:r>
        <w:rPr>
          <w:rFonts w:hint="eastAsia" w:ascii="宋体" w:hAnsi="宋体" w:cs="宋体"/>
          <w:b/>
          <w:bCs/>
          <w:color w:val="auto"/>
          <w:sz w:val="24"/>
          <w:szCs w:val="18"/>
          <w:highlight w:val="none"/>
          <w:lang w:val="en-US" w:eastAsia="zh-CN"/>
        </w:rPr>
        <w:t>九</w:t>
      </w:r>
      <w:r>
        <w:rPr>
          <w:rFonts w:hint="eastAsia" w:ascii="宋体" w:hAnsi="宋体" w:cs="宋体"/>
          <w:b/>
          <w:bCs/>
          <w:color w:val="auto"/>
          <w:sz w:val="24"/>
          <w:szCs w:val="18"/>
          <w:highlight w:val="none"/>
        </w:rPr>
        <w:t>条 违约责任</w:t>
      </w:r>
      <w:bookmarkEnd w:id="43"/>
    </w:p>
    <w:p w14:paraId="013117A3">
      <w:pPr>
        <w:keepNext w:val="0"/>
        <w:keepLines w:val="0"/>
        <w:pageBreakBefore w:val="0"/>
        <w:widowControl w:val="0"/>
        <w:kinsoku/>
        <w:wordWrap/>
        <w:overflowPunct/>
        <w:topLinePunct w:val="0"/>
        <w:autoSpaceDE/>
        <w:autoSpaceDN/>
        <w:bidi w:val="0"/>
        <w:adjustRightInd/>
        <w:snapToGrid/>
        <w:spacing w:line="360" w:lineRule="exact"/>
        <w:ind w:right="-1" w:firstLine="480" w:firstLineChars="200"/>
        <w:textAlignment w:val="auto"/>
        <w:outlineLvl w:val="0"/>
        <w:rPr>
          <w:rFonts w:hint="eastAsia" w:eastAsia="仿宋_GB2312"/>
          <w:color w:val="auto"/>
          <w:sz w:val="24"/>
          <w:highlight w:val="none"/>
        </w:rPr>
      </w:pPr>
      <w:bookmarkStart w:id="44" w:name="_Toc17011"/>
      <w:r>
        <w:rPr>
          <w:rFonts w:hint="eastAsia" w:eastAsia="仿宋_GB2312"/>
          <w:color w:val="auto"/>
          <w:sz w:val="24"/>
          <w:highlight w:val="none"/>
          <w:lang w:val="en-US" w:eastAsia="zh-CN"/>
        </w:rPr>
        <w:t>9</w:t>
      </w:r>
      <w:r>
        <w:rPr>
          <w:rFonts w:hint="eastAsia" w:eastAsia="仿宋_GB2312"/>
          <w:color w:val="auto"/>
          <w:sz w:val="24"/>
          <w:highlight w:val="none"/>
        </w:rPr>
        <w:t>.1 合同签订后，甲丙方应按时履行付款义务，如甲丙方无正当理由延迟付款，甲丙方应予赔偿。</w:t>
      </w:r>
    </w:p>
    <w:p w14:paraId="1B2C0653">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r>
        <w:rPr>
          <w:rFonts w:hint="eastAsia" w:eastAsia="仿宋_GB2312"/>
          <w:color w:val="auto"/>
          <w:sz w:val="24"/>
          <w:highlight w:val="none"/>
          <w:lang w:val="en-US" w:eastAsia="zh-CN"/>
        </w:rPr>
        <w:t>9</w:t>
      </w:r>
      <w:r>
        <w:rPr>
          <w:rFonts w:hint="eastAsia" w:eastAsia="仿宋_GB2312"/>
          <w:color w:val="auto"/>
          <w:sz w:val="24"/>
          <w:highlight w:val="none"/>
        </w:rPr>
        <w:t>.2甲丙方没有按本合同约定的时间和数额支付合同约定款项的，应自收到书面催付15日后按迟延支付金额的</w:t>
      </w:r>
      <w:r>
        <w:rPr>
          <w:rFonts w:hint="eastAsia" w:eastAsia="仿宋_GB2312"/>
          <w:color w:val="auto"/>
          <w:sz w:val="24"/>
          <w:highlight w:val="none"/>
          <w:u w:val="single"/>
        </w:rPr>
        <w:t xml:space="preserve">1‰ </w:t>
      </w:r>
      <w:r>
        <w:rPr>
          <w:rFonts w:hint="eastAsia" w:eastAsia="仿宋_GB2312"/>
          <w:color w:val="auto"/>
          <w:sz w:val="24"/>
          <w:highlight w:val="none"/>
        </w:rPr>
        <w:t>（日）的标准向乙方支付违约金。</w:t>
      </w:r>
      <w:bookmarkEnd w:id="44"/>
    </w:p>
    <w:p w14:paraId="269A6545">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bookmarkStart w:id="45" w:name="_Toc27674"/>
      <w:r>
        <w:rPr>
          <w:rFonts w:hint="eastAsia" w:eastAsia="仿宋_GB2312"/>
          <w:color w:val="auto"/>
          <w:sz w:val="24"/>
          <w:highlight w:val="none"/>
          <w:lang w:val="en-US" w:eastAsia="zh-CN"/>
        </w:rPr>
        <w:t>9</w:t>
      </w:r>
      <w:r>
        <w:rPr>
          <w:rFonts w:hint="eastAsia" w:eastAsia="仿宋_GB2312"/>
          <w:color w:val="auto"/>
          <w:sz w:val="24"/>
          <w:highlight w:val="none"/>
        </w:rPr>
        <w:t>.3 乙方逾期交付项目的，乙方应按逾期交付部分总价款每日1‰向甲丙方支付违约金；逾期超过约定日期15个工作日不能交货的，甲丙方协商一致后有权解除本合同。</w:t>
      </w:r>
      <w:bookmarkEnd w:id="45"/>
    </w:p>
    <w:p w14:paraId="7BD57768">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bookmarkStart w:id="46" w:name="_Toc14797"/>
      <w:r>
        <w:rPr>
          <w:rFonts w:hint="eastAsia" w:eastAsia="仿宋_GB2312"/>
          <w:color w:val="auto"/>
          <w:sz w:val="24"/>
          <w:highlight w:val="none"/>
          <w:lang w:val="en-US" w:eastAsia="zh-CN"/>
        </w:rPr>
        <w:t>9</w:t>
      </w:r>
      <w:r>
        <w:rPr>
          <w:rFonts w:hint="eastAsia" w:eastAsia="仿宋_GB2312"/>
          <w:color w:val="auto"/>
          <w:sz w:val="24"/>
          <w:highlight w:val="none"/>
        </w:rPr>
        <w:t>.4 乙方因逾期交付或因其他违约行为导致甲丙方解除合同的，乙方应向甲丙方支付本合同约定总价款10%的违约金，如造成甲丙方损失超过违约金的，超出部分由乙方继续承担赔偿责任。</w:t>
      </w:r>
      <w:bookmarkEnd w:id="46"/>
    </w:p>
    <w:p w14:paraId="4AEE8DB8">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hint="eastAsia" w:eastAsia="仿宋_GB2312"/>
          <w:color w:val="auto"/>
          <w:sz w:val="24"/>
          <w:highlight w:val="none"/>
        </w:rPr>
      </w:pPr>
      <w:bookmarkStart w:id="47" w:name="_Toc13616"/>
      <w:r>
        <w:rPr>
          <w:rFonts w:hint="eastAsia" w:eastAsia="仿宋_GB2312"/>
          <w:color w:val="auto"/>
          <w:sz w:val="24"/>
          <w:highlight w:val="none"/>
          <w:lang w:val="en-US" w:eastAsia="zh-CN"/>
        </w:rPr>
        <w:t>9</w:t>
      </w:r>
      <w:r>
        <w:rPr>
          <w:rFonts w:hint="eastAsia" w:eastAsia="仿宋_GB2312"/>
          <w:color w:val="auto"/>
          <w:sz w:val="24"/>
          <w:highlight w:val="none"/>
        </w:rPr>
        <w:t>.5 乙方所交的产品品种、型号、规格、技术参数、质量不符合合同约定及招标文件规定的标准的，甲方有权拒收该产品，乙方应按本合同总价款的10%向甲丙方支付违约金。乙方愿意更换产品但逾期交付的，按乙方逾期交付处理。乙方拒绝更换产品的，甲丙方协商一致后有权解除本合同。</w:t>
      </w:r>
      <w:bookmarkEnd w:id="47"/>
    </w:p>
    <w:p w14:paraId="1043B735">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hint="eastAsia" w:eastAsia="仿宋_GB2312"/>
          <w:color w:val="auto"/>
          <w:sz w:val="24"/>
          <w:highlight w:val="none"/>
        </w:rPr>
      </w:pPr>
      <w:bookmarkStart w:id="48" w:name="_Toc2112"/>
      <w:r>
        <w:rPr>
          <w:rFonts w:hint="eastAsia" w:eastAsia="仿宋_GB2312"/>
          <w:color w:val="auto"/>
          <w:sz w:val="24"/>
          <w:highlight w:val="none"/>
          <w:lang w:val="en-US" w:eastAsia="zh-CN"/>
        </w:rPr>
        <w:t>9</w:t>
      </w:r>
      <w:r>
        <w:rPr>
          <w:rFonts w:hint="eastAsia" w:eastAsia="仿宋_GB2312"/>
          <w:color w:val="auto"/>
          <w:sz w:val="24"/>
          <w:highlight w:val="none"/>
        </w:rPr>
        <w:t>.6 乙方提供的产品如侵犯了第三方合法权益而引发的任何纠纷或诉讼，均由乙方负责交涉并承担全部责任。</w:t>
      </w:r>
      <w:bookmarkEnd w:id="48"/>
      <w:r>
        <w:rPr>
          <w:rFonts w:hint="eastAsia" w:eastAsia="仿宋_GB2312"/>
          <w:color w:val="auto"/>
          <w:sz w:val="24"/>
          <w:highlight w:val="none"/>
        </w:rPr>
        <w:t>如果乙方怠于交涉处理导致甲丙方担责，甲丙方由此产生的全部损失及追偿花费最终由乙方承担。</w:t>
      </w:r>
    </w:p>
    <w:p w14:paraId="4BFB3974">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hint="eastAsia" w:eastAsia="仿宋_GB2312"/>
          <w:strike/>
          <w:color w:val="auto"/>
          <w:sz w:val="24"/>
          <w:highlight w:val="none"/>
        </w:rPr>
      </w:pPr>
      <w:r>
        <w:rPr>
          <w:rFonts w:hint="eastAsia" w:eastAsia="仿宋_GB2312"/>
          <w:color w:val="auto"/>
          <w:sz w:val="24"/>
          <w:highlight w:val="none"/>
          <w:lang w:val="en-US" w:eastAsia="zh-CN"/>
        </w:rPr>
        <w:t>9</w:t>
      </w:r>
      <w:r>
        <w:rPr>
          <w:rFonts w:hint="eastAsia" w:eastAsia="仿宋_GB2312"/>
          <w:color w:val="auto"/>
          <w:sz w:val="24"/>
          <w:highlight w:val="none"/>
        </w:rPr>
        <w:t>.7 甲丙方对外享有权利及承担义务的范围以甲丙各自投资到位项目资金数额与项目总价款对应的比例为准。</w:t>
      </w:r>
    </w:p>
    <w:bookmarkEnd w:id="39"/>
    <w:p w14:paraId="0E844745">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ascii="宋体" w:hAnsi="宋体" w:cs="宋体"/>
          <w:b/>
          <w:color w:val="auto"/>
          <w:sz w:val="22"/>
          <w:highlight w:val="none"/>
        </w:rPr>
      </w:pPr>
      <w:r>
        <w:rPr>
          <w:rFonts w:hint="eastAsia" w:ascii="宋体" w:hAnsi="宋体" w:cs="宋体"/>
          <w:b/>
          <w:bCs/>
          <w:color w:val="auto"/>
          <w:sz w:val="24"/>
          <w:szCs w:val="18"/>
          <w:highlight w:val="none"/>
        </w:rPr>
        <w:t>第十条</w:t>
      </w:r>
      <w:r>
        <w:rPr>
          <w:rFonts w:hint="eastAsia" w:ascii="宋体" w:hAnsi="宋体" w:cs="宋体"/>
          <w:color w:val="auto"/>
          <w:sz w:val="24"/>
          <w:szCs w:val="18"/>
          <w:highlight w:val="none"/>
        </w:rPr>
        <w:t xml:space="preserve"> </w:t>
      </w:r>
      <w:r>
        <w:rPr>
          <w:rFonts w:hint="eastAsia" w:ascii="宋体" w:hAnsi="宋体" w:cs="宋体"/>
          <w:b/>
          <w:bCs/>
          <w:color w:val="auto"/>
          <w:sz w:val="24"/>
          <w:szCs w:val="18"/>
          <w:highlight w:val="none"/>
        </w:rPr>
        <w:t>不可抗力</w:t>
      </w:r>
    </w:p>
    <w:p w14:paraId="178406A4">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hint="eastAsia" w:eastAsia="仿宋_GB2312"/>
          <w:color w:val="auto"/>
          <w:sz w:val="24"/>
          <w:highlight w:val="none"/>
        </w:rPr>
      </w:pPr>
      <w:bookmarkStart w:id="49" w:name="_Toc10069"/>
      <w:r>
        <w:rPr>
          <w:rFonts w:hint="eastAsia" w:eastAsia="仿宋_GB2312"/>
          <w:color w:val="auto"/>
          <w:sz w:val="24"/>
          <w:highlight w:val="none"/>
          <w:lang w:val="en-US" w:eastAsia="zh-CN"/>
        </w:rPr>
        <w:t>10</w:t>
      </w:r>
      <w:r>
        <w:rPr>
          <w:rFonts w:hint="eastAsia" w:eastAsia="仿宋_GB2312"/>
          <w:color w:val="auto"/>
          <w:sz w:val="24"/>
          <w:highlight w:val="none"/>
        </w:rPr>
        <w:t>.1 “不可抗力”是指所有超出本合同双方控制范围的事件，该事件应不可预见，或虽然可以预见，但通过合理努力无法阻止或避免其发生，且这类事件发生于本合同签字之后，并且阻止任何一方全部或部分履行本合同。</w:t>
      </w:r>
      <w:bookmarkEnd w:id="49"/>
    </w:p>
    <w:p w14:paraId="5F9D6CDB">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bookmarkStart w:id="50" w:name="_Toc2425"/>
      <w:r>
        <w:rPr>
          <w:rFonts w:hint="eastAsia" w:eastAsia="仿宋_GB2312"/>
          <w:color w:val="auto"/>
          <w:sz w:val="24"/>
          <w:highlight w:val="none"/>
          <w:lang w:val="en-US" w:eastAsia="zh-CN"/>
        </w:rPr>
        <w:t>10</w:t>
      </w:r>
      <w:r>
        <w:rPr>
          <w:rFonts w:hint="eastAsia" w:eastAsia="仿宋_GB2312"/>
          <w:color w:val="auto"/>
          <w:sz w:val="24"/>
          <w:highlight w:val="none"/>
        </w:rPr>
        <w:t>.2  由于不可抗力事件，致使任何一方不能履行其在本合同下的义务，该方不承担由此给另一方造成的损失；该方应及时通知另一方其不能履行或延迟履行合同义务的原因，并应尽快向另一方提供有关发生不可抗力的证明文件，按事故对本合同的影响程度，双方协商是否终止本合同，或部分免除本合同的义务。</w:t>
      </w:r>
      <w:bookmarkEnd w:id="50"/>
    </w:p>
    <w:p w14:paraId="280B793D">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ascii="宋体" w:hAnsi="宋体" w:cs="宋体"/>
          <w:b/>
          <w:bCs/>
          <w:color w:val="auto"/>
          <w:sz w:val="24"/>
          <w:szCs w:val="18"/>
          <w:highlight w:val="none"/>
        </w:rPr>
      </w:pPr>
      <w:r>
        <w:rPr>
          <w:rFonts w:hint="eastAsia" w:ascii="宋体" w:hAnsi="宋体" w:cs="宋体"/>
          <w:b/>
          <w:bCs/>
          <w:color w:val="auto"/>
          <w:sz w:val="24"/>
          <w:szCs w:val="18"/>
          <w:highlight w:val="none"/>
        </w:rPr>
        <w:t>第十</w:t>
      </w:r>
      <w:r>
        <w:rPr>
          <w:rFonts w:hint="eastAsia" w:ascii="宋体" w:hAnsi="宋体" w:cs="宋体"/>
          <w:b/>
          <w:bCs/>
          <w:color w:val="auto"/>
          <w:sz w:val="24"/>
          <w:szCs w:val="18"/>
          <w:highlight w:val="none"/>
          <w:lang w:val="en-US" w:eastAsia="zh-CN"/>
        </w:rPr>
        <w:t>一</w:t>
      </w:r>
      <w:r>
        <w:rPr>
          <w:rFonts w:hint="eastAsia" w:ascii="宋体" w:hAnsi="宋体" w:cs="宋体"/>
          <w:b/>
          <w:bCs/>
          <w:color w:val="auto"/>
          <w:sz w:val="24"/>
          <w:szCs w:val="18"/>
          <w:highlight w:val="none"/>
        </w:rPr>
        <w:t>条 争议解决办法</w:t>
      </w:r>
    </w:p>
    <w:p w14:paraId="7BE9806A">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hint="eastAsia" w:eastAsia="仿宋_GB2312"/>
          <w:color w:val="auto"/>
          <w:sz w:val="24"/>
          <w:highlight w:val="none"/>
        </w:rPr>
      </w:pPr>
      <w:bookmarkStart w:id="51" w:name="_Toc19539"/>
      <w:r>
        <w:rPr>
          <w:rFonts w:hint="eastAsia" w:eastAsia="仿宋_GB2312"/>
          <w:color w:val="auto"/>
          <w:sz w:val="24"/>
          <w:highlight w:val="none"/>
          <w:lang w:val="en-US" w:eastAsia="zh-CN"/>
        </w:rPr>
        <w:t>11</w:t>
      </w:r>
      <w:r>
        <w:rPr>
          <w:rFonts w:hint="eastAsia" w:eastAsia="仿宋_GB2312"/>
          <w:color w:val="auto"/>
          <w:sz w:val="24"/>
          <w:highlight w:val="none"/>
        </w:rPr>
        <w:t>.1 因质量问题发生争议，由质量技术监督部门或质量技术监督部门指定的质量鉴定机构进行质量鉴定。鉴定费用由乙方预付，符合标准的，鉴定费由甲方承担；不符合质量标准的，鉴定费由乙方承担。</w:t>
      </w:r>
      <w:bookmarkEnd w:id="51"/>
    </w:p>
    <w:p w14:paraId="05ED16D4">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bookmarkStart w:id="52" w:name="_Toc4514"/>
      <w:r>
        <w:rPr>
          <w:rFonts w:hint="eastAsia" w:eastAsia="仿宋_GB2312"/>
          <w:color w:val="auto"/>
          <w:sz w:val="24"/>
          <w:highlight w:val="none"/>
          <w:lang w:val="en-US" w:eastAsia="zh-CN"/>
        </w:rPr>
        <w:t>11</w:t>
      </w:r>
      <w:r>
        <w:rPr>
          <w:rFonts w:hint="eastAsia" w:eastAsia="仿宋_GB2312"/>
          <w:color w:val="auto"/>
          <w:sz w:val="24"/>
          <w:highlight w:val="none"/>
        </w:rPr>
        <w:t>.2 合同履行期间，若三方发生争议，可协商或由相关部门调解解决，协商或调解不成的，任何一方均可以向丙方所在地的人民法院提起诉讼。</w:t>
      </w:r>
      <w:bookmarkEnd w:id="52"/>
    </w:p>
    <w:p w14:paraId="3CC38024">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ascii="宋体" w:hAnsi="宋体" w:cs="宋体"/>
          <w:b/>
          <w:bCs/>
          <w:color w:val="auto"/>
          <w:sz w:val="24"/>
          <w:szCs w:val="18"/>
          <w:highlight w:val="none"/>
        </w:rPr>
      </w:pPr>
      <w:r>
        <w:rPr>
          <w:rFonts w:hint="eastAsia" w:ascii="宋体" w:hAnsi="宋体" w:cs="宋体"/>
          <w:b/>
          <w:bCs/>
          <w:color w:val="auto"/>
          <w:sz w:val="24"/>
          <w:szCs w:val="18"/>
          <w:highlight w:val="none"/>
        </w:rPr>
        <w:t>第十</w:t>
      </w:r>
      <w:r>
        <w:rPr>
          <w:rFonts w:hint="eastAsia" w:ascii="宋体" w:hAnsi="宋体" w:cs="宋体"/>
          <w:b/>
          <w:bCs/>
          <w:color w:val="auto"/>
          <w:sz w:val="24"/>
          <w:szCs w:val="18"/>
          <w:highlight w:val="none"/>
          <w:lang w:val="en-US" w:eastAsia="zh-CN"/>
        </w:rPr>
        <w:t>二</w:t>
      </w:r>
      <w:r>
        <w:rPr>
          <w:rFonts w:hint="eastAsia" w:ascii="宋体" w:hAnsi="宋体" w:cs="宋体"/>
          <w:b/>
          <w:bCs/>
          <w:color w:val="auto"/>
          <w:sz w:val="24"/>
          <w:szCs w:val="18"/>
          <w:highlight w:val="none"/>
        </w:rPr>
        <w:t xml:space="preserve">条  其他   </w:t>
      </w:r>
    </w:p>
    <w:p w14:paraId="27D86114">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bookmarkStart w:id="53" w:name="_Toc31503"/>
      <w:r>
        <w:rPr>
          <w:rFonts w:hint="eastAsia" w:eastAsia="仿宋_GB2312"/>
          <w:color w:val="auto"/>
          <w:sz w:val="24"/>
          <w:highlight w:val="none"/>
        </w:rPr>
        <w:t>1</w:t>
      </w:r>
      <w:r>
        <w:rPr>
          <w:rFonts w:hint="eastAsia" w:eastAsia="仿宋_GB2312"/>
          <w:color w:val="auto"/>
          <w:sz w:val="24"/>
          <w:highlight w:val="none"/>
          <w:lang w:val="en-US" w:eastAsia="zh-CN"/>
        </w:rPr>
        <w:t>2</w:t>
      </w:r>
      <w:r>
        <w:rPr>
          <w:rFonts w:hint="eastAsia" w:eastAsia="仿宋_GB2312"/>
          <w:color w:val="auto"/>
          <w:sz w:val="24"/>
          <w:highlight w:val="none"/>
        </w:rPr>
        <w:t>.1 招投标文件、承诺书以及合同附件是本合同不可分割的组成部分，与本合同具有同等法律效力。</w:t>
      </w:r>
      <w:bookmarkEnd w:id="53"/>
    </w:p>
    <w:p w14:paraId="7E4E4EC7">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bookmarkStart w:id="54" w:name="_Toc10724"/>
      <w:r>
        <w:rPr>
          <w:rFonts w:hint="eastAsia" w:eastAsia="仿宋_GB2312"/>
          <w:color w:val="auto"/>
          <w:sz w:val="24"/>
          <w:highlight w:val="none"/>
        </w:rPr>
        <w:t>1</w:t>
      </w:r>
      <w:r>
        <w:rPr>
          <w:rFonts w:hint="eastAsia" w:eastAsia="仿宋_GB2312"/>
          <w:color w:val="auto"/>
          <w:sz w:val="24"/>
          <w:highlight w:val="none"/>
          <w:lang w:val="en-US" w:eastAsia="zh-CN"/>
        </w:rPr>
        <w:t>2</w:t>
      </w:r>
      <w:r>
        <w:rPr>
          <w:rFonts w:hint="eastAsia" w:eastAsia="仿宋_GB2312"/>
          <w:color w:val="auto"/>
          <w:sz w:val="24"/>
          <w:highlight w:val="none"/>
        </w:rPr>
        <w:t>.2 本合同未尽事宜，由甲乙丙三方协商后另行签订书面文件为本合同附件，本合同附件具备与本合同同等法律效力。</w:t>
      </w:r>
      <w:bookmarkEnd w:id="54"/>
      <w:r>
        <w:rPr>
          <w:rFonts w:hint="eastAsia" w:eastAsia="仿宋_GB2312"/>
          <w:color w:val="auto"/>
          <w:sz w:val="24"/>
          <w:highlight w:val="none"/>
        </w:rPr>
        <w:t xml:space="preserve"> </w:t>
      </w:r>
    </w:p>
    <w:p w14:paraId="1837BB57">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bookmarkStart w:id="55" w:name="_Toc22146"/>
      <w:r>
        <w:rPr>
          <w:rFonts w:hint="eastAsia" w:eastAsia="仿宋_GB2312"/>
          <w:color w:val="auto"/>
          <w:sz w:val="24"/>
          <w:highlight w:val="none"/>
        </w:rPr>
        <w:t>1</w:t>
      </w:r>
      <w:r>
        <w:rPr>
          <w:rFonts w:hint="eastAsia" w:eastAsia="仿宋_GB2312"/>
          <w:color w:val="auto"/>
          <w:sz w:val="24"/>
          <w:highlight w:val="none"/>
          <w:lang w:val="en-US" w:eastAsia="zh-CN"/>
        </w:rPr>
        <w:t>2</w:t>
      </w:r>
      <w:r>
        <w:rPr>
          <w:rFonts w:hint="eastAsia" w:eastAsia="仿宋_GB2312"/>
          <w:color w:val="auto"/>
          <w:sz w:val="24"/>
          <w:highlight w:val="none"/>
        </w:rPr>
        <w:t>.3 对本合同内容的任何修改和变更需要用书面形式，并经双方签字盖章确认后生效。</w:t>
      </w:r>
      <w:bookmarkEnd w:id="55"/>
    </w:p>
    <w:p w14:paraId="0AAB1F94">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bookmarkStart w:id="56" w:name="_Toc30047"/>
      <w:r>
        <w:rPr>
          <w:rFonts w:hint="eastAsia" w:eastAsia="仿宋_GB2312"/>
          <w:color w:val="auto"/>
          <w:sz w:val="24"/>
          <w:highlight w:val="none"/>
        </w:rPr>
        <w:t>1</w:t>
      </w:r>
      <w:r>
        <w:rPr>
          <w:rFonts w:hint="eastAsia" w:eastAsia="仿宋_GB2312"/>
          <w:color w:val="auto"/>
          <w:sz w:val="24"/>
          <w:highlight w:val="none"/>
          <w:lang w:val="en-US" w:eastAsia="zh-CN"/>
        </w:rPr>
        <w:t>2</w:t>
      </w:r>
      <w:r>
        <w:rPr>
          <w:rFonts w:hint="eastAsia" w:eastAsia="仿宋_GB2312"/>
          <w:color w:val="auto"/>
          <w:sz w:val="24"/>
          <w:highlight w:val="none"/>
        </w:rPr>
        <w:t>.4 本合同一式陆份，甲方贰份，乙方贰份，丙方贰份。本合同自甲乙丙三方签字盖章后生效。</w:t>
      </w:r>
      <w:bookmarkEnd w:id="56"/>
    </w:p>
    <w:p w14:paraId="7B81BCA1">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bookmarkStart w:id="57" w:name="_Toc30106"/>
      <w:bookmarkStart w:id="58" w:name="_Toc13278"/>
      <w:r>
        <w:rPr>
          <w:rFonts w:hint="eastAsia" w:eastAsia="仿宋_GB2312"/>
          <w:color w:val="auto"/>
          <w:sz w:val="24"/>
          <w:highlight w:val="none"/>
        </w:rPr>
        <w:t>附件：</w:t>
      </w:r>
      <w:bookmarkEnd w:id="57"/>
      <w:bookmarkEnd w:id="58"/>
    </w:p>
    <w:p w14:paraId="489727BA">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bookmarkStart w:id="59" w:name="_Toc10253"/>
      <w:bookmarkStart w:id="60" w:name="_Toc32"/>
      <w:r>
        <w:rPr>
          <w:rFonts w:hint="eastAsia" w:eastAsia="仿宋_GB2312"/>
          <w:color w:val="auto"/>
          <w:sz w:val="24"/>
          <w:highlight w:val="none"/>
        </w:rPr>
        <w:t>1.产品整套完整资质文件</w:t>
      </w:r>
      <w:bookmarkEnd w:id="59"/>
      <w:bookmarkEnd w:id="60"/>
    </w:p>
    <w:p w14:paraId="245B15D0">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bookmarkStart w:id="61" w:name="_Toc4974"/>
      <w:bookmarkStart w:id="62" w:name="_Toc3022"/>
      <w:r>
        <w:rPr>
          <w:rFonts w:hint="eastAsia" w:eastAsia="仿宋_GB2312"/>
          <w:color w:val="auto"/>
          <w:sz w:val="24"/>
          <w:highlight w:val="none"/>
        </w:rPr>
        <w:t>2.法定代表人授权书(含身份证正面扫描件)</w:t>
      </w:r>
      <w:bookmarkEnd w:id="61"/>
      <w:bookmarkEnd w:id="62"/>
    </w:p>
    <w:p w14:paraId="513BE87E">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bookmarkStart w:id="63" w:name="_Toc5843"/>
      <w:bookmarkStart w:id="64" w:name="_Toc16466"/>
      <w:r>
        <w:rPr>
          <w:rFonts w:hint="eastAsia" w:eastAsia="仿宋_GB2312"/>
          <w:color w:val="auto"/>
          <w:sz w:val="24"/>
          <w:highlight w:val="none"/>
        </w:rPr>
        <w:t>3.项目建设清单</w:t>
      </w:r>
      <w:bookmarkEnd w:id="63"/>
      <w:bookmarkEnd w:id="64"/>
    </w:p>
    <w:p w14:paraId="19EE188A">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bookmarkStart w:id="65" w:name="_Toc13137"/>
      <w:bookmarkStart w:id="66" w:name="_Toc18101"/>
      <w:r>
        <w:rPr>
          <w:rFonts w:hint="eastAsia" w:eastAsia="仿宋_GB2312"/>
          <w:color w:val="auto"/>
          <w:sz w:val="24"/>
          <w:highlight w:val="none"/>
        </w:rPr>
        <w:t>4.售后服务承诺</w:t>
      </w:r>
      <w:bookmarkEnd w:id="65"/>
      <w:bookmarkEnd w:id="66"/>
    </w:p>
    <w:p w14:paraId="6011FC31">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bookmarkStart w:id="67" w:name="_Toc3364"/>
      <w:bookmarkStart w:id="68" w:name="_Toc16737"/>
      <w:r>
        <w:rPr>
          <w:rFonts w:hint="eastAsia" w:eastAsia="仿宋_GB2312"/>
          <w:color w:val="auto"/>
          <w:sz w:val="24"/>
          <w:highlight w:val="none"/>
        </w:rPr>
        <w:t>5.中标通知书</w:t>
      </w:r>
      <w:bookmarkEnd w:id="67"/>
      <w:bookmarkEnd w:id="68"/>
    </w:p>
    <w:p w14:paraId="0B9341A1">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0"/>
        <w:rPr>
          <w:rFonts w:eastAsia="仿宋_GB2312"/>
          <w:color w:val="auto"/>
          <w:sz w:val="24"/>
          <w:highlight w:val="none"/>
        </w:rPr>
      </w:pPr>
      <w:bookmarkStart w:id="69" w:name="_Toc30578"/>
      <w:r>
        <w:rPr>
          <w:rFonts w:hint="eastAsia" w:eastAsia="仿宋_GB2312"/>
          <w:color w:val="auto"/>
          <w:sz w:val="24"/>
          <w:highlight w:val="none"/>
          <w:lang w:val="en-US" w:eastAsia="zh-CN"/>
        </w:rPr>
        <w:t>6</w:t>
      </w:r>
      <w:r>
        <w:rPr>
          <w:rFonts w:hint="eastAsia" w:eastAsia="仿宋_GB2312"/>
          <w:color w:val="auto"/>
          <w:sz w:val="24"/>
          <w:highlight w:val="none"/>
        </w:rPr>
        <w:t>.政府采购项目验收入库报告单</w:t>
      </w:r>
      <w:bookmarkEnd w:id="69"/>
    </w:p>
    <w:p w14:paraId="286E0D99">
      <w:pPr>
        <w:keepNext w:val="0"/>
        <w:keepLines w:val="0"/>
        <w:pageBreakBefore w:val="0"/>
        <w:widowControl w:val="0"/>
        <w:kinsoku/>
        <w:wordWrap/>
        <w:overflowPunct/>
        <w:topLinePunct w:val="0"/>
        <w:autoSpaceDE/>
        <w:autoSpaceDN/>
        <w:bidi w:val="0"/>
        <w:adjustRightInd/>
        <w:snapToGrid/>
        <w:spacing w:line="360" w:lineRule="exact"/>
        <w:ind w:right="-1" w:firstLine="480" w:firstLineChars="200"/>
        <w:textAlignment w:val="auto"/>
        <w:outlineLvl w:val="0"/>
        <w:rPr>
          <w:rFonts w:hint="eastAsia" w:eastAsia="仿宋_GB2312"/>
          <w:color w:val="auto"/>
          <w:sz w:val="24"/>
          <w:highlight w:val="none"/>
        </w:rPr>
      </w:pPr>
      <w:r>
        <w:rPr>
          <w:rFonts w:hint="eastAsia" w:eastAsia="仿宋_GB2312"/>
          <w:color w:val="auto"/>
          <w:sz w:val="24"/>
          <w:highlight w:val="none"/>
        </w:rPr>
        <w:t>甲方（章）</w:t>
      </w:r>
    </w:p>
    <w:p w14:paraId="4C1EC061">
      <w:pPr>
        <w:keepNext w:val="0"/>
        <w:keepLines w:val="0"/>
        <w:pageBreakBefore w:val="0"/>
        <w:widowControl w:val="0"/>
        <w:kinsoku/>
        <w:wordWrap/>
        <w:overflowPunct/>
        <w:topLinePunct w:val="0"/>
        <w:autoSpaceDE/>
        <w:autoSpaceDN/>
        <w:bidi w:val="0"/>
        <w:adjustRightInd/>
        <w:snapToGrid/>
        <w:spacing w:line="360" w:lineRule="exact"/>
        <w:ind w:right="-1" w:firstLine="480" w:firstLineChars="200"/>
        <w:textAlignment w:val="auto"/>
        <w:outlineLvl w:val="0"/>
        <w:rPr>
          <w:rFonts w:hint="eastAsia" w:eastAsia="仿宋_GB2312"/>
          <w:color w:val="auto"/>
          <w:sz w:val="24"/>
          <w:highlight w:val="none"/>
        </w:rPr>
      </w:pPr>
      <w:r>
        <w:rPr>
          <w:rFonts w:hint="eastAsia" w:eastAsia="仿宋_GB2312"/>
          <w:color w:val="auto"/>
          <w:sz w:val="24"/>
          <w:highlight w:val="none"/>
        </w:rPr>
        <w:t>单位地址：</w:t>
      </w:r>
    </w:p>
    <w:p w14:paraId="3C8F8463">
      <w:pPr>
        <w:keepNext w:val="0"/>
        <w:keepLines w:val="0"/>
        <w:pageBreakBefore w:val="0"/>
        <w:widowControl w:val="0"/>
        <w:kinsoku/>
        <w:wordWrap/>
        <w:overflowPunct/>
        <w:topLinePunct w:val="0"/>
        <w:autoSpaceDE/>
        <w:autoSpaceDN/>
        <w:bidi w:val="0"/>
        <w:adjustRightInd/>
        <w:snapToGrid/>
        <w:spacing w:line="360" w:lineRule="exact"/>
        <w:ind w:right="-1" w:firstLine="480" w:firstLineChars="200"/>
        <w:textAlignment w:val="auto"/>
        <w:outlineLvl w:val="0"/>
        <w:rPr>
          <w:rFonts w:hint="eastAsia" w:eastAsia="仿宋_GB2312"/>
          <w:color w:val="auto"/>
          <w:sz w:val="24"/>
          <w:highlight w:val="none"/>
        </w:rPr>
      </w:pPr>
      <w:r>
        <w:rPr>
          <w:rFonts w:hint="eastAsia" w:eastAsia="仿宋_GB2312"/>
          <w:color w:val="auto"/>
          <w:sz w:val="24"/>
          <w:highlight w:val="none"/>
        </w:rPr>
        <w:t>法定代表人（签字）：</w:t>
      </w:r>
    </w:p>
    <w:p w14:paraId="7446C113">
      <w:pPr>
        <w:keepNext w:val="0"/>
        <w:keepLines w:val="0"/>
        <w:pageBreakBefore w:val="0"/>
        <w:widowControl w:val="0"/>
        <w:kinsoku/>
        <w:wordWrap/>
        <w:overflowPunct/>
        <w:topLinePunct w:val="0"/>
        <w:autoSpaceDE/>
        <w:autoSpaceDN/>
        <w:bidi w:val="0"/>
        <w:adjustRightInd/>
        <w:snapToGrid/>
        <w:spacing w:line="360" w:lineRule="exact"/>
        <w:ind w:right="-1" w:firstLine="480" w:firstLineChars="200"/>
        <w:textAlignment w:val="auto"/>
        <w:outlineLvl w:val="0"/>
        <w:rPr>
          <w:rFonts w:hint="eastAsia" w:eastAsia="仿宋_GB2312"/>
          <w:color w:val="auto"/>
          <w:sz w:val="24"/>
          <w:highlight w:val="none"/>
        </w:rPr>
      </w:pPr>
      <w:r>
        <w:rPr>
          <w:rFonts w:hint="eastAsia" w:eastAsia="仿宋_GB2312"/>
          <w:color w:val="auto"/>
          <w:sz w:val="24"/>
          <w:highlight w:val="none"/>
        </w:rPr>
        <w:t>授权代表（签字）：</w:t>
      </w:r>
    </w:p>
    <w:p w14:paraId="5A09F62E">
      <w:pPr>
        <w:keepNext w:val="0"/>
        <w:keepLines w:val="0"/>
        <w:pageBreakBefore w:val="0"/>
        <w:widowControl w:val="0"/>
        <w:kinsoku/>
        <w:wordWrap/>
        <w:overflowPunct/>
        <w:topLinePunct w:val="0"/>
        <w:autoSpaceDE/>
        <w:autoSpaceDN/>
        <w:bidi w:val="0"/>
        <w:adjustRightInd/>
        <w:snapToGrid/>
        <w:spacing w:line="360" w:lineRule="exact"/>
        <w:ind w:right="-1" w:firstLine="480" w:firstLineChars="200"/>
        <w:textAlignment w:val="auto"/>
        <w:outlineLvl w:val="0"/>
        <w:rPr>
          <w:rFonts w:hint="eastAsia" w:eastAsia="仿宋_GB2312"/>
          <w:color w:val="auto"/>
          <w:sz w:val="24"/>
          <w:highlight w:val="none"/>
        </w:rPr>
      </w:pPr>
      <w:r>
        <w:rPr>
          <w:rFonts w:hint="eastAsia" w:eastAsia="仿宋_GB2312"/>
          <w:color w:val="auto"/>
          <w:sz w:val="24"/>
          <w:highlight w:val="none"/>
        </w:rPr>
        <w:t>电话：</w:t>
      </w:r>
    </w:p>
    <w:p w14:paraId="2DA7CD43">
      <w:pPr>
        <w:keepNext w:val="0"/>
        <w:keepLines w:val="0"/>
        <w:pageBreakBefore w:val="0"/>
        <w:widowControl w:val="0"/>
        <w:kinsoku/>
        <w:wordWrap/>
        <w:overflowPunct/>
        <w:topLinePunct w:val="0"/>
        <w:autoSpaceDE/>
        <w:autoSpaceDN/>
        <w:bidi w:val="0"/>
        <w:adjustRightInd/>
        <w:snapToGrid/>
        <w:spacing w:line="360" w:lineRule="exact"/>
        <w:ind w:right="-1" w:firstLine="480" w:firstLineChars="200"/>
        <w:textAlignment w:val="auto"/>
        <w:outlineLvl w:val="0"/>
        <w:rPr>
          <w:rFonts w:hint="eastAsia" w:eastAsia="仿宋_GB2312"/>
          <w:color w:val="auto"/>
          <w:sz w:val="24"/>
          <w:highlight w:val="none"/>
        </w:rPr>
      </w:pPr>
      <w:r>
        <w:rPr>
          <w:rFonts w:hint="eastAsia" w:eastAsia="仿宋_GB2312"/>
          <w:color w:val="auto"/>
          <w:sz w:val="24"/>
          <w:highlight w:val="none"/>
        </w:rPr>
        <w:t>开户银行：</w:t>
      </w:r>
    </w:p>
    <w:p w14:paraId="03F16A53">
      <w:pPr>
        <w:keepNext w:val="0"/>
        <w:keepLines w:val="0"/>
        <w:pageBreakBefore w:val="0"/>
        <w:widowControl w:val="0"/>
        <w:kinsoku/>
        <w:wordWrap/>
        <w:overflowPunct/>
        <w:topLinePunct w:val="0"/>
        <w:autoSpaceDE/>
        <w:autoSpaceDN/>
        <w:bidi w:val="0"/>
        <w:adjustRightInd/>
        <w:snapToGrid/>
        <w:spacing w:line="360" w:lineRule="exact"/>
        <w:ind w:right="-1" w:firstLine="480" w:firstLineChars="200"/>
        <w:textAlignment w:val="auto"/>
        <w:outlineLvl w:val="0"/>
        <w:rPr>
          <w:rFonts w:hint="eastAsia" w:eastAsia="仿宋_GB2312"/>
          <w:color w:val="auto"/>
          <w:sz w:val="24"/>
          <w:highlight w:val="none"/>
        </w:rPr>
      </w:pPr>
      <w:r>
        <w:rPr>
          <w:rFonts w:hint="eastAsia" w:eastAsia="仿宋_GB2312"/>
          <w:color w:val="auto"/>
          <w:sz w:val="24"/>
          <w:highlight w:val="none"/>
        </w:rPr>
        <w:t>账号：</w:t>
      </w:r>
    </w:p>
    <w:p w14:paraId="5A6F98F1">
      <w:pPr>
        <w:keepNext w:val="0"/>
        <w:keepLines w:val="0"/>
        <w:pageBreakBefore w:val="0"/>
        <w:widowControl w:val="0"/>
        <w:kinsoku/>
        <w:wordWrap/>
        <w:overflowPunct/>
        <w:topLinePunct w:val="0"/>
        <w:autoSpaceDE/>
        <w:autoSpaceDN/>
        <w:bidi w:val="0"/>
        <w:adjustRightInd/>
        <w:snapToGrid/>
        <w:spacing w:line="360" w:lineRule="exact"/>
        <w:ind w:right="-1" w:firstLine="480" w:firstLineChars="200"/>
        <w:textAlignment w:val="auto"/>
        <w:outlineLvl w:val="0"/>
        <w:rPr>
          <w:rFonts w:hint="eastAsia" w:eastAsia="仿宋_GB2312"/>
          <w:color w:val="auto"/>
          <w:sz w:val="24"/>
          <w:highlight w:val="none"/>
        </w:rPr>
      </w:pPr>
    </w:p>
    <w:p w14:paraId="6F229748">
      <w:pPr>
        <w:keepNext w:val="0"/>
        <w:keepLines w:val="0"/>
        <w:pageBreakBefore w:val="0"/>
        <w:widowControl w:val="0"/>
        <w:kinsoku/>
        <w:wordWrap/>
        <w:overflowPunct/>
        <w:topLinePunct w:val="0"/>
        <w:autoSpaceDE/>
        <w:autoSpaceDN/>
        <w:bidi w:val="0"/>
        <w:adjustRightInd/>
        <w:snapToGrid/>
        <w:spacing w:line="360" w:lineRule="exact"/>
        <w:ind w:right="-1" w:firstLine="480" w:firstLineChars="200"/>
        <w:textAlignment w:val="auto"/>
        <w:outlineLvl w:val="0"/>
        <w:rPr>
          <w:rFonts w:hint="eastAsia" w:eastAsia="仿宋_GB2312"/>
          <w:color w:val="auto"/>
          <w:sz w:val="24"/>
          <w:highlight w:val="none"/>
        </w:rPr>
      </w:pPr>
      <w:r>
        <w:rPr>
          <w:rFonts w:hint="eastAsia" w:eastAsia="仿宋_GB2312"/>
          <w:color w:val="auto"/>
          <w:sz w:val="24"/>
          <w:highlight w:val="none"/>
        </w:rPr>
        <w:t>乙方（章）</w:t>
      </w:r>
    </w:p>
    <w:p w14:paraId="6B691E61">
      <w:pPr>
        <w:keepNext w:val="0"/>
        <w:keepLines w:val="0"/>
        <w:pageBreakBefore w:val="0"/>
        <w:widowControl w:val="0"/>
        <w:kinsoku/>
        <w:wordWrap/>
        <w:overflowPunct/>
        <w:topLinePunct w:val="0"/>
        <w:autoSpaceDE/>
        <w:autoSpaceDN/>
        <w:bidi w:val="0"/>
        <w:adjustRightInd/>
        <w:snapToGrid/>
        <w:spacing w:line="360" w:lineRule="exact"/>
        <w:ind w:right="-1" w:firstLine="480" w:firstLineChars="200"/>
        <w:textAlignment w:val="auto"/>
        <w:outlineLvl w:val="0"/>
        <w:rPr>
          <w:rFonts w:hint="eastAsia" w:eastAsia="仿宋_GB2312"/>
          <w:color w:val="auto"/>
          <w:sz w:val="24"/>
          <w:highlight w:val="none"/>
        </w:rPr>
      </w:pPr>
      <w:r>
        <w:rPr>
          <w:rFonts w:hint="eastAsia" w:eastAsia="仿宋_GB2312"/>
          <w:color w:val="auto"/>
          <w:sz w:val="24"/>
          <w:highlight w:val="none"/>
        </w:rPr>
        <w:t>单位地址：</w:t>
      </w:r>
    </w:p>
    <w:p w14:paraId="652D9300">
      <w:pPr>
        <w:keepNext w:val="0"/>
        <w:keepLines w:val="0"/>
        <w:pageBreakBefore w:val="0"/>
        <w:widowControl w:val="0"/>
        <w:kinsoku/>
        <w:wordWrap/>
        <w:overflowPunct/>
        <w:topLinePunct w:val="0"/>
        <w:autoSpaceDE/>
        <w:autoSpaceDN/>
        <w:bidi w:val="0"/>
        <w:adjustRightInd/>
        <w:snapToGrid/>
        <w:spacing w:line="360" w:lineRule="exact"/>
        <w:ind w:right="-1" w:firstLine="480" w:firstLineChars="200"/>
        <w:textAlignment w:val="auto"/>
        <w:outlineLvl w:val="0"/>
        <w:rPr>
          <w:rFonts w:hint="eastAsia" w:eastAsia="仿宋_GB2312"/>
          <w:color w:val="auto"/>
          <w:sz w:val="24"/>
          <w:highlight w:val="none"/>
        </w:rPr>
      </w:pPr>
      <w:r>
        <w:rPr>
          <w:rFonts w:hint="eastAsia" w:eastAsia="仿宋_GB2312"/>
          <w:color w:val="auto"/>
          <w:sz w:val="24"/>
          <w:highlight w:val="none"/>
        </w:rPr>
        <w:t>法定代表人（签字）：</w:t>
      </w:r>
    </w:p>
    <w:p w14:paraId="7D1B7BF1">
      <w:pPr>
        <w:keepNext w:val="0"/>
        <w:keepLines w:val="0"/>
        <w:pageBreakBefore w:val="0"/>
        <w:widowControl w:val="0"/>
        <w:kinsoku/>
        <w:wordWrap/>
        <w:overflowPunct/>
        <w:topLinePunct w:val="0"/>
        <w:autoSpaceDE/>
        <w:autoSpaceDN/>
        <w:bidi w:val="0"/>
        <w:adjustRightInd/>
        <w:snapToGrid/>
        <w:spacing w:line="360" w:lineRule="exact"/>
        <w:ind w:right="-1" w:firstLine="480" w:firstLineChars="200"/>
        <w:textAlignment w:val="auto"/>
        <w:outlineLvl w:val="0"/>
        <w:rPr>
          <w:rFonts w:hint="eastAsia" w:eastAsia="仿宋_GB2312"/>
          <w:color w:val="auto"/>
          <w:sz w:val="24"/>
          <w:highlight w:val="none"/>
        </w:rPr>
      </w:pPr>
      <w:r>
        <w:rPr>
          <w:rFonts w:hint="eastAsia" w:eastAsia="仿宋_GB2312"/>
          <w:color w:val="auto"/>
          <w:sz w:val="24"/>
          <w:highlight w:val="none"/>
        </w:rPr>
        <w:t>授权代表（签字）：</w:t>
      </w:r>
    </w:p>
    <w:p w14:paraId="26969B11">
      <w:pPr>
        <w:keepNext w:val="0"/>
        <w:keepLines w:val="0"/>
        <w:pageBreakBefore w:val="0"/>
        <w:widowControl w:val="0"/>
        <w:kinsoku/>
        <w:wordWrap/>
        <w:overflowPunct/>
        <w:topLinePunct w:val="0"/>
        <w:autoSpaceDE/>
        <w:autoSpaceDN/>
        <w:bidi w:val="0"/>
        <w:adjustRightInd/>
        <w:snapToGrid/>
        <w:spacing w:line="360" w:lineRule="exact"/>
        <w:ind w:right="-1" w:firstLine="480" w:firstLineChars="200"/>
        <w:textAlignment w:val="auto"/>
        <w:outlineLvl w:val="0"/>
        <w:rPr>
          <w:rFonts w:hint="eastAsia" w:eastAsia="仿宋_GB2312"/>
          <w:color w:val="auto"/>
          <w:sz w:val="24"/>
          <w:highlight w:val="none"/>
        </w:rPr>
      </w:pPr>
      <w:r>
        <w:rPr>
          <w:rFonts w:hint="eastAsia" w:eastAsia="仿宋_GB2312"/>
          <w:color w:val="auto"/>
          <w:sz w:val="24"/>
          <w:highlight w:val="none"/>
        </w:rPr>
        <w:t>电话：</w:t>
      </w:r>
    </w:p>
    <w:p w14:paraId="48EEA663">
      <w:pPr>
        <w:keepNext w:val="0"/>
        <w:keepLines w:val="0"/>
        <w:pageBreakBefore w:val="0"/>
        <w:widowControl w:val="0"/>
        <w:kinsoku/>
        <w:wordWrap/>
        <w:overflowPunct/>
        <w:topLinePunct w:val="0"/>
        <w:autoSpaceDE/>
        <w:autoSpaceDN/>
        <w:bidi w:val="0"/>
        <w:adjustRightInd/>
        <w:snapToGrid/>
        <w:spacing w:line="360" w:lineRule="exact"/>
        <w:ind w:right="-1" w:firstLine="480" w:firstLineChars="200"/>
        <w:textAlignment w:val="auto"/>
        <w:outlineLvl w:val="0"/>
        <w:rPr>
          <w:rFonts w:hint="eastAsia" w:eastAsia="仿宋_GB2312"/>
          <w:color w:val="auto"/>
          <w:sz w:val="24"/>
          <w:highlight w:val="none"/>
        </w:rPr>
      </w:pPr>
      <w:r>
        <w:rPr>
          <w:rFonts w:hint="eastAsia" w:eastAsia="仿宋_GB2312"/>
          <w:color w:val="auto"/>
          <w:sz w:val="24"/>
          <w:highlight w:val="none"/>
        </w:rPr>
        <w:t>开户银行：</w:t>
      </w:r>
    </w:p>
    <w:p w14:paraId="0A0EEB6C">
      <w:pPr>
        <w:keepNext w:val="0"/>
        <w:keepLines w:val="0"/>
        <w:pageBreakBefore w:val="0"/>
        <w:widowControl w:val="0"/>
        <w:kinsoku/>
        <w:wordWrap/>
        <w:overflowPunct/>
        <w:topLinePunct w:val="0"/>
        <w:autoSpaceDE/>
        <w:autoSpaceDN/>
        <w:bidi w:val="0"/>
        <w:adjustRightInd/>
        <w:snapToGrid/>
        <w:spacing w:line="360" w:lineRule="exact"/>
        <w:ind w:right="-1" w:firstLine="480" w:firstLineChars="200"/>
        <w:textAlignment w:val="auto"/>
        <w:outlineLvl w:val="0"/>
        <w:rPr>
          <w:rFonts w:hint="eastAsia" w:eastAsia="仿宋_GB2312"/>
          <w:color w:val="auto"/>
          <w:sz w:val="24"/>
          <w:highlight w:val="none"/>
        </w:rPr>
      </w:pPr>
      <w:r>
        <w:rPr>
          <w:rFonts w:hint="eastAsia" w:eastAsia="仿宋_GB2312"/>
          <w:color w:val="auto"/>
          <w:sz w:val="24"/>
          <w:highlight w:val="none"/>
        </w:rPr>
        <w:t>账号：</w:t>
      </w:r>
    </w:p>
    <w:p w14:paraId="23BD40D7">
      <w:pPr>
        <w:spacing w:line="360" w:lineRule="auto"/>
        <w:ind w:right="-1" w:firstLine="480" w:firstLineChars="200"/>
        <w:outlineLvl w:val="0"/>
        <w:rPr>
          <w:rFonts w:hint="eastAsia" w:eastAsia="仿宋_GB2312"/>
          <w:color w:val="auto"/>
          <w:sz w:val="24"/>
          <w:highlight w:val="none"/>
        </w:rPr>
      </w:pPr>
    </w:p>
    <w:p w14:paraId="11C18489">
      <w:pPr>
        <w:rPr>
          <w:rFonts w:hint="eastAsia"/>
          <w:b/>
          <w:color w:val="auto"/>
          <w:sz w:val="28"/>
          <w:szCs w:val="28"/>
          <w:highlight w:val="none"/>
        </w:rPr>
      </w:pPr>
    </w:p>
    <w:p w14:paraId="6FE54E4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wMzI3OWNhNmU5ZWMzNDQwNDRiMWZjOGU2Njk3ZWMifQ=="/>
  </w:docVars>
  <w:rsids>
    <w:rsidRoot w:val="00000000"/>
    <w:rsid w:val="250F759E"/>
    <w:rsid w:val="62E83D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标题 1 字符"/>
    <w:link w:val="2"/>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3859</Words>
  <Characters>3992</Characters>
  <Lines>0</Lines>
  <Paragraphs>0</Paragraphs>
  <TotalTime>8</TotalTime>
  <ScaleCrop>false</ScaleCrop>
  <LinksUpToDate>false</LinksUpToDate>
  <CharactersWithSpaces>4201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2024-09-22T04:03:00Z</dcterms:created>
  <dc:creator>mi</dc:creator>
  <cp:lastModifiedBy>薛盼</cp:lastModifiedBy>
  <dcterms:modified xsi:type="dcterms:W3CDTF">2024-09-22T07:30:04Z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51B128112E4F456FAB7CFBAFA7534EBC_12</vt:lpwstr>
  </property>
</Properties>
</file>