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1A246"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合同样本</w:t>
      </w:r>
    </w:p>
    <w:p w14:paraId="4BE23BB0">
      <w:pPr>
        <w:spacing w:line="560" w:lineRule="exact"/>
        <w:ind w:firstLine="3000" w:firstLineChars="1000"/>
        <w:rPr>
          <w:rFonts w:hint="eastAsia" w:ascii="宋体" w:hAnsi="宋体"/>
          <w:color w:val="000000"/>
          <w:sz w:val="30"/>
          <w:szCs w:val="30"/>
        </w:rPr>
      </w:pPr>
    </w:p>
    <w:p w14:paraId="1C14A56D">
      <w:pPr>
        <w:widowControl/>
        <w:jc w:val="center"/>
        <w:rPr>
          <w:rFonts w:hint="eastAsia" w:ascii="华文中宋" w:hAnsi="华文中宋" w:eastAsia="华文中宋" w:cs="华文中宋"/>
          <w:color w:val="000000"/>
          <w:kern w:val="0"/>
          <w:sz w:val="32"/>
          <w:szCs w:val="32"/>
          <w:lang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32"/>
          <w:szCs w:val="32"/>
          <w:lang w:bidi="ar"/>
        </w:rPr>
        <w:t>西乡政府采购合同</w:t>
      </w:r>
    </w:p>
    <w:p w14:paraId="51E6C9CB">
      <w:pPr>
        <w:widowControl/>
        <w:jc w:val="center"/>
        <w:rPr>
          <w:rFonts w:hint="eastAsia" w:ascii="华文中宋" w:hAnsi="华文中宋" w:eastAsia="华文中宋" w:cs="华文中宋"/>
          <w:color w:val="000000"/>
          <w:kern w:val="0"/>
          <w:sz w:val="32"/>
          <w:szCs w:val="32"/>
          <w:lang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32"/>
          <w:szCs w:val="32"/>
          <w:lang w:bidi="ar"/>
        </w:rPr>
        <w:t>合同编号：XC2025—  号</w:t>
      </w:r>
    </w:p>
    <w:p w14:paraId="5B6C06A4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采购人：                         （以下简称甲  方）</w:t>
      </w:r>
    </w:p>
    <w:p w14:paraId="2216167E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成交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供应商：                        （以下简称乙  方）</w:t>
      </w:r>
    </w:p>
    <w:p w14:paraId="49778DA5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招标机构：西乡县政府采购预算评审中心   （以下简称鉴证方）</w:t>
      </w:r>
    </w:p>
    <w:p w14:paraId="5768BA95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签订时间：2025年    月    日        签订地点：西乡县</w:t>
      </w:r>
    </w:p>
    <w:p w14:paraId="11C0A8ED">
      <w:pPr>
        <w:pStyle w:val="2"/>
        <w:autoSpaceDE/>
        <w:autoSpaceDN/>
        <w:adjustRightInd/>
        <w:ind w:firstLine="840" w:firstLineChars="300"/>
        <w:rPr>
          <w:rFonts w:hint="eastAsia" w:ascii="仿宋_GB2312" w:hAnsi="仿宋_GB2312" w:eastAsia="仿宋_GB2312" w:cs="仿宋_GB2312"/>
          <w:color w:val="000000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lang w:bidi="ar"/>
        </w:rPr>
        <w:t>为明确采购人和中标供应商的权利和义务，确保项目任务顺利完成，依据西乡县政府采购预算评审中心（西采XC2025——</w:t>
      </w:r>
      <w:r>
        <w:rPr>
          <w:rFonts w:hint="eastAsia" w:ascii="仿宋_GB2312" w:hAnsi="仿宋_GB2312" w:eastAsia="仿宋_GB2312" w:cs="仿宋_GB2312"/>
          <w:color w:val="000000"/>
          <w:lang w:val="en-US" w:eastAsia="zh-CN" w:bidi="ar"/>
        </w:rPr>
        <w:t>36</w:t>
      </w:r>
      <w:r>
        <w:rPr>
          <w:rFonts w:hint="eastAsia" w:ascii="仿宋_GB2312" w:hAnsi="仿宋_GB2312" w:eastAsia="仿宋_GB2312" w:cs="仿宋_GB2312"/>
          <w:color w:val="000000"/>
          <w:lang w:bidi="ar"/>
        </w:rPr>
        <w:t>号）</w:t>
      </w:r>
      <w:r>
        <w:rPr>
          <w:rFonts w:hint="eastAsia" w:ascii="仿宋_GB2312" w:hAnsi="仿宋_GB2312" w:eastAsia="仿宋_GB2312" w:cs="仿宋_GB2312"/>
          <w:color w:val="000000"/>
          <w:lang w:val="en-US" w:eastAsia="zh-CN" w:bidi="ar"/>
        </w:rPr>
        <w:t>磋商</w:t>
      </w:r>
      <w:r>
        <w:rPr>
          <w:rFonts w:hint="eastAsia" w:ascii="仿宋_GB2312" w:hAnsi="仿宋_GB2312" w:eastAsia="仿宋_GB2312" w:cs="仿宋_GB2312"/>
          <w:color w:val="000000"/>
          <w:lang w:bidi="ar"/>
        </w:rPr>
        <w:t>文件和</w:t>
      </w:r>
      <w:r>
        <w:rPr>
          <w:rFonts w:hint="eastAsia" w:ascii="仿宋_GB2312" w:hAnsi="仿宋_GB2312" w:eastAsia="仿宋_GB2312" w:cs="仿宋_GB2312"/>
          <w:color w:val="000000"/>
          <w:lang w:val="en-US" w:eastAsia="zh-CN" w:bidi="ar"/>
        </w:rPr>
        <w:t>成交</w:t>
      </w:r>
      <w:r>
        <w:rPr>
          <w:rFonts w:hint="eastAsia" w:ascii="仿宋_GB2312" w:hAnsi="仿宋_GB2312" w:eastAsia="仿宋_GB2312" w:cs="仿宋_GB2312"/>
          <w:color w:val="000000"/>
          <w:lang w:bidi="ar"/>
        </w:rPr>
        <w:t>方的</w:t>
      </w:r>
      <w:r>
        <w:rPr>
          <w:rFonts w:hint="eastAsia" w:ascii="仿宋_GB2312" w:hAnsi="仿宋_GB2312" w:eastAsia="仿宋_GB2312" w:cs="仿宋_GB2312"/>
          <w:color w:val="000000"/>
          <w:lang w:val="en-US" w:eastAsia="zh-CN" w:bidi="ar"/>
        </w:rPr>
        <w:t>响应</w:t>
      </w:r>
      <w:r>
        <w:rPr>
          <w:rFonts w:hint="eastAsia" w:ascii="仿宋_GB2312" w:hAnsi="仿宋_GB2312" w:eastAsia="仿宋_GB2312" w:cs="仿宋_GB2312"/>
          <w:color w:val="000000"/>
          <w:lang w:bidi="ar"/>
        </w:rPr>
        <w:t>文件，甲、乙双方，特签订本合同。本合同条款对甲乙双方具有同等法律效力。</w:t>
      </w:r>
    </w:p>
    <w:p w14:paraId="555C87F2">
      <w:pPr>
        <w:pStyle w:val="2"/>
        <w:autoSpaceDE/>
        <w:autoSpaceDN/>
        <w:adjustRightInd/>
        <w:ind w:firstLine="560" w:firstLineChars="200"/>
        <w:rPr>
          <w:rFonts w:hint="eastAsia" w:ascii="仿宋_GB2312" w:hAnsi="仿宋_GB2312" w:eastAsia="仿宋_GB2312" w:cs="仿宋_GB2312"/>
          <w:color w:val="000000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lang w:bidi="ar"/>
        </w:rPr>
        <w:t xml:space="preserve">一、项目实施 </w:t>
      </w:r>
    </w:p>
    <w:p w14:paraId="3D8E264F">
      <w:pPr>
        <w:pStyle w:val="2"/>
        <w:autoSpaceDE/>
        <w:autoSpaceDN/>
        <w:adjustRightInd/>
        <w:ind w:firstLine="560" w:firstLineChars="200"/>
        <w:rPr>
          <w:rFonts w:hint="eastAsia" w:ascii="仿宋_GB2312" w:hAnsi="仿宋_GB2312" w:eastAsia="仿宋_GB2312" w:cs="仿宋_GB2312"/>
          <w:color w:val="000000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lang w:bidi="ar"/>
        </w:rPr>
        <w:t>（一）项目实施地点：</w:t>
      </w:r>
    </w:p>
    <w:p w14:paraId="28E6F4B7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（二）项目实施期限：     </w:t>
      </w:r>
    </w:p>
    <w:p w14:paraId="39533A84">
      <w:pPr>
        <w:pStyle w:val="2"/>
        <w:autoSpaceDE/>
        <w:autoSpaceDN/>
        <w:adjustRightInd/>
        <w:ind w:firstLine="560" w:firstLineChars="200"/>
        <w:rPr>
          <w:rFonts w:hint="eastAsia" w:ascii="仿宋_GB2312" w:hAnsi="仿宋_GB2312" w:eastAsia="仿宋_GB2312" w:cs="仿宋_GB2312"/>
          <w:color w:val="000000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lang w:bidi="ar"/>
        </w:rPr>
        <w:t xml:space="preserve">二、合同价款 </w:t>
      </w:r>
    </w:p>
    <w:p w14:paraId="2CA39E61">
      <w:pPr>
        <w:widowControl/>
        <w:spacing w:line="600" w:lineRule="exact"/>
        <w:jc w:val="center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成交内容及技术指标、金额</w:t>
      </w: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827"/>
        <w:gridCol w:w="850"/>
        <w:gridCol w:w="1134"/>
        <w:gridCol w:w="993"/>
        <w:gridCol w:w="1606"/>
      </w:tblGrid>
      <w:tr w14:paraId="6030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993" w:type="dxa"/>
            <w:noWrap w:val="0"/>
            <w:vAlign w:val="center"/>
          </w:tcPr>
          <w:p w14:paraId="42247C12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名称</w:t>
            </w:r>
          </w:p>
        </w:tc>
        <w:tc>
          <w:tcPr>
            <w:tcW w:w="3827" w:type="dxa"/>
            <w:noWrap w:val="0"/>
            <w:vAlign w:val="center"/>
          </w:tcPr>
          <w:p w14:paraId="40B7259C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项目内容</w:t>
            </w:r>
          </w:p>
        </w:tc>
        <w:tc>
          <w:tcPr>
            <w:tcW w:w="850" w:type="dxa"/>
            <w:noWrap w:val="0"/>
            <w:vAlign w:val="center"/>
          </w:tcPr>
          <w:p w14:paraId="44EF2C59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</w:t>
            </w:r>
          </w:p>
        </w:tc>
        <w:tc>
          <w:tcPr>
            <w:tcW w:w="1134" w:type="dxa"/>
            <w:noWrap w:val="0"/>
            <w:vAlign w:val="center"/>
          </w:tcPr>
          <w:p w14:paraId="38DF78C8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数量</w:t>
            </w:r>
          </w:p>
        </w:tc>
        <w:tc>
          <w:tcPr>
            <w:tcW w:w="993" w:type="dxa"/>
            <w:noWrap w:val="0"/>
            <w:vAlign w:val="center"/>
          </w:tcPr>
          <w:p w14:paraId="28904DF0">
            <w:pPr>
              <w:widowControl/>
              <w:spacing w:line="600" w:lineRule="exac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单价（元）</w:t>
            </w:r>
          </w:p>
          <w:p w14:paraId="6EA1F90C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06" w:type="dxa"/>
            <w:noWrap w:val="0"/>
            <w:vAlign w:val="center"/>
          </w:tcPr>
          <w:p w14:paraId="38139B8C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合计</w:t>
            </w:r>
          </w:p>
          <w:p w14:paraId="5225FF71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（元）</w:t>
            </w:r>
          </w:p>
        </w:tc>
      </w:tr>
      <w:tr w14:paraId="6D41F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93" w:type="dxa"/>
            <w:noWrap w:val="0"/>
            <w:vAlign w:val="center"/>
          </w:tcPr>
          <w:p w14:paraId="47B03B60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827" w:type="dxa"/>
            <w:noWrap w:val="0"/>
            <w:vAlign w:val="center"/>
          </w:tcPr>
          <w:p w14:paraId="3ABE0EAC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50" w:type="dxa"/>
            <w:noWrap w:val="0"/>
            <w:vAlign w:val="center"/>
          </w:tcPr>
          <w:p w14:paraId="19219FAD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DCFA68E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993" w:type="dxa"/>
            <w:noWrap w:val="0"/>
            <w:vAlign w:val="center"/>
          </w:tcPr>
          <w:p w14:paraId="109FA539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06" w:type="dxa"/>
            <w:noWrap w:val="0"/>
            <w:vAlign w:val="center"/>
          </w:tcPr>
          <w:p w14:paraId="392D177B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A61F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993" w:type="dxa"/>
            <w:noWrap w:val="0"/>
            <w:vAlign w:val="center"/>
          </w:tcPr>
          <w:p w14:paraId="15EEA865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3827" w:type="dxa"/>
            <w:noWrap w:val="0"/>
            <w:vAlign w:val="center"/>
          </w:tcPr>
          <w:p w14:paraId="17621C87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850" w:type="dxa"/>
            <w:noWrap w:val="0"/>
            <w:vAlign w:val="center"/>
          </w:tcPr>
          <w:p w14:paraId="0764ED82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8BCC8F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993" w:type="dxa"/>
            <w:noWrap w:val="0"/>
            <w:vAlign w:val="center"/>
          </w:tcPr>
          <w:p w14:paraId="2E89F873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606" w:type="dxa"/>
            <w:noWrap w:val="0"/>
            <w:vAlign w:val="center"/>
          </w:tcPr>
          <w:p w14:paraId="5A55D835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52F91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93" w:type="dxa"/>
            <w:noWrap w:val="0"/>
            <w:vAlign w:val="center"/>
          </w:tcPr>
          <w:p w14:paraId="5F7A24DB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总价</w:t>
            </w:r>
          </w:p>
        </w:tc>
        <w:tc>
          <w:tcPr>
            <w:tcW w:w="5811" w:type="dxa"/>
            <w:gridSpan w:val="3"/>
            <w:noWrap w:val="0"/>
            <w:vAlign w:val="center"/>
          </w:tcPr>
          <w:p w14:paraId="05024A5C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599" w:type="dxa"/>
            <w:gridSpan w:val="2"/>
            <w:noWrap w:val="0"/>
            <w:vAlign w:val="center"/>
          </w:tcPr>
          <w:p w14:paraId="6B2A8666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</w:tbl>
    <w:p w14:paraId="423635A2">
      <w:pPr>
        <w:pStyle w:val="2"/>
        <w:autoSpaceDE/>
        <w:autoSpaceDN/>
        <w:adjustRightInd/>
        <w:ind w:firstLine="1124" w:firstLineChars="400"/>
        <w:rPr>
          <w:rFonts w:hint="eastAsia" w:ascii="仿宋_GB2312" w:hAnsi="仿宋_GB2312" w:eastAsia="仿宋_GB2312" w:cs="仿宋_GB2312"/>
          <w:b/>
          <w:color w:val="000000"/>
          <w:lang w:bidi="ar"/>
        </w:rPr>
      </w:pPr>
      <w:r>
        <w:rPr>
          <w:rFonts w:hint="eastAsia" w:ascii="仿宋_GB2312" w:hAnsi="仿宋_GB2312" w:eastAsia="仿宋_GB2312" w:cs="仿宋_GB2312"/>
          <w:b/>
          <w:color w:val="000000"/>
          <w:lang w:bidi="ar"/>
        </w:rPr>
        <w:t>注：合同总价一次性包死，不受市场价格变化因素的影响。</w:t>
      </w:r>
    </w:p>
    <w:p w14:paraId="7C31DE9D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三、款项结算 </w:t>
      </w:r>
    </w:p>
    <w:p w14:paraId="3C54238E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 xml:space="preserve">（一）支付方式：银行转账 </w:t>
      </w:r>
    </w:p>
    <w:p w14:paraId="60402128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bidi="ar"/>
        </w:rPr>
        <w:t xml:space="preserve">（二）货币单位：人民币 </w:t>
      </w:r>
    </w:p>
    <w:p w14:paraId="40978F07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28"/>
          <w:szCs w:val="28"/>
          <w:lang w:bidi="ar"/>
        </w:rPr>
        <w:t>（三）结算方式：</w:t>
      </w:r>
    </w:p>
    <w:p w14:paraId="3DA92F12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四、服务承诺</w:t>
      </w:r>
    </w:p>
    <w:p w14:paraId="44DE8F6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1.服务承诺</w:t>
      </w:r>
      <w:r>
        <w:rPr>
          <w:rFonts w:hint="eastAsia" w:ascii="仿宋_GB2312" w:hAnsi="仿宋_GB2312" w:eastAsia="仿宋_GB2312" w:cs="仿宋_GB2312"/>
          <w:sz w:val="28"/>
          <w:szCs w:val="28"/>
        </w:rPr>
        <w:t>以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sz w:val="28"/>
          <w:szCs w:val="28"/>
        </w:rPr>
        <w:t>文件、澄清表（函）、合同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sz w:val="28"/>
          <w:szCs w:val="28"/>
        </w:rPr>
        <w:t>相关文件为准。</w:t>
      </w:r>
    </w:p>
    <w:p w14:paraId="0C1FA2DF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2.本项目产品质量等级要求为合格及以上。项目自竣工验收合格之日起落实整体工程质保2年。</w:t>
      </w:r>
    </w:p>
    <w:p w14:paraId="6035F697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3.本项目所需主要产品、辅助材料均由乙方负责供应，必须满足采购要求和国家有关标准。</w:t>
      </w:r>
    </w:p>
    <w:p w14:paraId="0A49F9BB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4.施工周期内发生的一切安全责任事故由乙方自行负责。如发生突发情况，乙方须无条件服从甲方的派遣、调配，若造成重大影响或经济损失，甲方可直接解除合同，并要求乙方赔偿经济损失。</w:t>
      </w:r>
    </w:p>
    <w:p w14:paraId="1A9042BD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5.所选材料必须保证质量可靠、进货渠道正常，符合国家环保等相关标准，满足施工要求。</w:t>
      </w:r>
      <w:bookmarkStart w:id="0" w:name="_GoBack"/>
      <w:bookmarkEnd w:id="0"/>
    </w:p>
    <w:p w14:paraId="4AD57C38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违约责任</w:t>
      </w:r>
    </w:p>
    <w:p w14:paraId="2296FFFB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依据《中华人民共和国民法典》、《中华人民共和国政府采购法》的 相关条款规定和本合同约定，中标供应商未全面履行合同义务或者发生违 约的，采购人有权终止合同；若给采购人造成经济损失的，采购人可依法向中标供应商进行经济索赔，并报请政府采购监管机关依法进行相应的行 政处罚。采购人违约的，须依法赔偿给中标供应商造成的经济损失。</w:t>
      </w:r>
    </w:p>
    <w:p w14:paraId="5CD04ED2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六、不可抗力情况下的免责约定</w:t>
      </w:r>
    </w:p>
    <w:p w14:paraId="4D9C4E84">
      <w:pPr>
        <w:spacing w:line="600" w:lineRule="exact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双方约定不可抗力情况指:双方不可预见、不可避免、不可克服的客观情况，但不包括双方的违约或疏忽。这些事件包括但不限于:战争、严重火灾、洪水、台风、地震等。</w:t>
      </w:r>
    </w:p>
    <w:p w14:paraId="3D289C35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七、解决合同纠纷的方式：</w:t>
      </w:r>
    </w:p>
    <w:p w14:paraId="7D3352C1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执行本合同中产生纠纷，由采购人与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成交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供应商双方协商解决；协商不成，向有管辖权的人民法院提起诉讼。</w:t>
      </w:r>
    </w:p>
    <w:p w14:paraId="16796EFA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八、其它约定事项：</w:t>
      </w:r>
    </w:p>
    <w:p w14:paraId="3F6FCCA1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1、本合同以招标机构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采购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文件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西采XC2025——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36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号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）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及乙方响应文件为签订依据。</w:t>
      </w:r>
      <w:r>
        <w:rPr>
          <w:rFonts w:hint="eastAsia" w:ascii="仿宋_GB2312" w:hAnsi="仿宋_GB2312" w:eastAsia="仿宋_GB2312" w:cs="仿宋_GB2312"/>
          <w:color w:val="000000"/>
          <w:spacing w:val="-23"/>
          <w:kern w:val="0"/>
          <w:sz w:val="28"/>
          <w:szCs w:val="28"/>
          <w:lang w:bidi="ar"/>
        </w:rPr>
        <w:t xml:space="preserve"> </w:t>
      </w:r>
    </w:p>
    <w:p w14:paraId="25AE51BD">
      <w:pPr>
        <w:widowControl/>
        <w:spacing w:line="600" w:lineRule="exact"/>
        <w:ind w:firstLine="56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2、本合同自签字盖章之日起生效。合同执行期内，甲、乙双方均不得随意变更或解除合同。本合同一式肆份，甲、乙双方各执两份，具有同等法律效力。</w:t>
      </w:r>
    </w:p>
    <w:tbl>
      <w:tblPr>
        <w:tblStyle w:val="3"/>
        <w:tblpPr w:leftFromText="180" w:rightFromText="180" w:vertAnchor="text" w:horzAnchor="page" w:tblpX="1750" w:tblpY="250"/>
        <w:tblOverlap w:val="never"/>
        <w:tblW w:w="88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5"/>
        <w:gridCol w:w="4440"/>
      </w:tblGrid>
      <w:tr w14:paraId="467E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0" w:hRule="atLeast"/>
        </w:trPr>
        <w:tc>
          <w:tcPr>
            <w:tcW w:w="4425" w:type="dxa"/>
            <w:noWrap w:val="0"/>
            <w:vAlign w:val="top"/>
          </w:tcPr>
          <w:p w14:paraId="51337AA7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甲            方</w:t>
            </w:r>
          </w:p>
          <w:p w14:paraId="41FDD4BD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(采   购   人)</w:t>
            </w:r>
          </w:p>
          <w:p w14:paraId="5A86EDFE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单位名称（章）：</w:t>
            </w:r>
          </w:p>
          <w:p w14:paraId="18117216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单位地址：</w:t>
            </w:r>
          </w:p>
          <w:p w14:paraId="0888A843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法定代表人：</w:t>
            </w:r>
          </w:p>
          <w:p w14:paraId="25BCEC63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委托经办人：</w:t>
            </w:r>
          </w:p>
          <w:p w14:paraId="6A831F53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电话：</w:t>
            </w:r>
          </w:p>
          <w:p w14:paraId="1B2E4681">
            <w:pPr>
              <w:widowControl/>
              <w:spacing w:line="600" w:lineRule="exact"/>
              <w:ind w:firstLine="1400" w:firstLineChars="5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年  月  日</w:t>
            </w:r>
          </w:p>
        </w:tc>
        <w:tc>
          <w:tcPr>
            <w:tcW w:w="4440" w:type="dxa"/>
            <w:noWrap w:val="0"/>
            <w:vAlign w:val="top"/>
          </w:tcPr>
          <w:p w14:paraId="43EFFBE2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乙           方</w:t>
            </w:r>
          </w:p>
          <w:p w14:paraId="63119176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（供  应  商）</w:t>
            </w:r>
          </w:p>
          <w:p w14:paraId="4093676D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单位名称（章）：</w:t>
            </w:r>
          </w:p>
          <w:p w14:paraId="3F1FAAE4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单位地址：</w:t>
            </w:r>
          </w:p>
          <w:p w14:paraId="7A17D2E4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法定代表人：</w:t>
            </w:r>
          </w:p>
          <w:p w14:paraId="752B4907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委托代理人：</w:t>
            </w:r>
          </w:p>
          <w:p w14:paraId="331F4798">
            <w:pPr>
              <w:widowControl/>
              <w:spacing w:line="60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电话：</w:t>
            </w:r>
          </w:p>
          <w:p w14:paraId="1ED3268E">
            <w:pPr>
              <w:widowControl/>
              <w:spacing w:line="600" w:lineRule="exact"/>
              <w:ind w:firstLine="560" w:firstLineChars="20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     年  月  日</w:t>
            </w:r>
          </w:p>
        </w:tc>
      </w:tr>
    </w:tbl>
    <w:p w14:paraId="4A224FF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书宋简体">
    <w:altName w:val="宋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543BD2"/>
    <w:rsid w:val="2F45590C"/>
    <w:rsid w:val="34DA64C3"/>
    <w:rsid w:val="4D543BD2"/>
    <w:rsid w:val="589C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560"/>
    </w:pPr>
    <w:rPr>
      <w:rFonts w:ascii="方正书宋简体" w:eastAsia="方正书宋简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2025-10-11T05:48:00Z</dcterms:created>
  <dc:creator>陌上花开</dc:creator>
  <cp:lastModifiedBy>陌上花开</cp:lastModifiedBy>
  <dcterms:modified xsi:type="dcterms:W3CDTF">2025-10-11T05:55:06Z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52025090CADC4AE7AA2F147541F44D5C_11</vt:lpwstr>
  </property>
  <property fmtid="{D5CDD505-2E9C-101B-9397-08002B2CF9AE}" pid="4" name="KSOTemplateDocerSaveRecord">
    <vt:lpwstr>eyJoZGlkIjoiMGY1MmZiMmZhYjYzZTYxOTM4YmZmZTJmNjRhY2NiNjIiLCJ1c2VySWQiOiI0NTk5NTAwMzYifQ==</vt:lpwstr>
  </property>
</Properties>
</file>