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版本号：HZJZS2025-022920251015001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汉中市2025年文旅外宣推广项目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HZJZS2025-0229</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汉中市2025年文旅外宣推广项目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HZJZS2025-0229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汉中市2025年文旅外宣推广项目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近年来，随着文旅产业的快速发展，数字技术的日益成熟，本项目将通过裸眼 3D 体验、VR 虚拟体验、主题视频宣传“三维一体”的创新形式，将汉中的历史文化、自然风光、美食特产等文旅资源进行全方位、多角度、深层次的展示，让更多人跨越地域限制，真切感受汉中的独特魅力，吸引更多游客前来观光旅游、休闲度假，进而推动汉中文旅产业的转型升级和高质量发展，为城市经济增长注入新活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 0165 0042 0000 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负责解释。除上述招标文件内容，其他内容由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近年来，随着文旅产业的快速发展，数字技术的日益成熟，本项目将通过裸眼 3D 体验、VR 虚拟体验、主题视频宣传“三维一体”的创新形式，将汉中的历史文化、自然风光、美食特产等文旅资源进行全方位、多角度、深层次的展示，让更多人跨越地域限制，真切感受汉中的独特魅力，吸引更多游客前来观光旅游、休闲度假，进而推动汉中文旅产业的转型升级和高质量发展，为城市经济增长注入新活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汉中市2025年文旅外宣推广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标的名称：汉中市2025年文旅外宣推广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 xml:space="preserve">  （一）裸眼</w:t>
            </w:r>
            <w:r>
              <w:rPr>
                <w:rFonts w:ascii="仿宋_GB2312" w:hAnsi="仿宋_GB2312" w:cs="仿宋_GB2312" w:eastAsia="仿宋_GB2312"/>
                <w:sz w:val="28"/>
                <w:b/>
              </w:rPr>
              <w:t>3D</w:t>
            </w:r>
            <w:r>
              <w:rPr>
                <w:rFonts w:ascii="仿宋_GB2312" w:hAnsi="仿宋_GB2312" w:cs="仿宋_GB2312" w:eastAsia="仿宋_GB2312"/>
                <w:sz w:val="28"/>
                <w:b/>
              </w:rPr>
              <w:t>片源制作：</w:t>
            </w:r>
          </w:p>
          <w:p>
            <w:pPr>
              <w:pStyle w:val="null3"/>
              <w:jc w:val="both"/>
            </w:pPr>
            <w:r>
              <w:rPr>
                <w:rFonts w:ascii="仿宋_GB2312" w:hAnsi="仿宋_GB2312" w:cs="仿宋_GB2312" w:eastAsia="仿宋_GB2312"/>
                <w:sz w:val="28"/>
              </w:rPr>
              <w:t xml:space="preserve">  1.形式要求：需采用领先的裸眼</w:t>
            </w:r>
            <w:r>
              <w:rPr>
                <w:rFonts w:ascii="仿宋_GB2312" w:hAnsi="仿宋_GB2312" w:cs="仿宋_GB2312" w:eastAsia="仿宋_GB2312"/>
                <w:sz w:val="28"/>
              </w:rPr>
              <w:t>3D 技术进行制作，确保画面具有极强的立体感和视觉冲击力，让观众能获得仿佛置身其中的沉浸式观看体验。画面的立体感要自然真实，避免出现视觉疲劳等不适反应。</w:t>
            </w:r>
          </w:p>
          <w:p>
            <w:pPr>
              <w:pStyle w:val="null3"/>
              <w:jc w:val="both"/>
            </w:pPr>
            <w:r>
              <w:rPr>
                <w:rFonts w:ascii="仿宋_GB2312" w:hAnsi="仿宋_GB2312" w:cs="仿宋_GB2312" w:eastAsia="仿宋_GB2312"/>
                <w:sz w:val="28"/>
              </w:rPr>
              <w:t xml:space="preserve">  2.内容要求：内容需紧紧围绕汉中主要城市文化展开，聚焦汉中市最具城市核心文化、景区、非遗及标志性美食特产等资源。如汉中面皮、西乡牛肉干、镇巴腊肉、两汉三国文化、朱鹮生态文化、秦巴民俗文化、石门栈道、兴汉胜境、青木川古镇、汉中藤编、汉调桄桄、镇巴民歌等。</w:t>
            </w:r>
          </w:p>
          <w:p>
            <w:pPr>
              <w:pStyle w:val="null3"/>
              <w:jc w:val="both"/>
            </w:pPr>
            <w:r>
              <w:rPr>
                <w:rFonts w:ascii="仿宋_GB2312" w:hAnsi="仿宋_GB2312" w:cs="仿宋_GB2312" w:eastAsia="仿宋_GB2312"/>
                <w:sz w:val="28"/>
              </w:rPr>
              <w:t xml:space="preserve">  内容要突出汉中文化的独特性和代表性，真实、准确、积极向上，同时融入富有创意的表现手法，增强吸引力和感染力，充分展现汉中的文化魅力。</w:t>
            </w:r>
          </w:p>
          <w:p>
            <w:pPr>
              <w:pStyle w:val="null3"/>
              <w:jc w:val="both"/>
            </w:pPr>
            <w:r>
              <w:rPr>
                <w:rFonts w:ascii="仿宋_GB2312" w:hAnsi="仿宋_GB2312" w:cs="仿宋_GB2312" w:eastAsia="仿宋_GB2312"/>
                <w:sz w:val="28"/>
              </w:rPr>
              <w:t xml:space="preserve">  3.时长要求：内容时长控制在</w:t>
            </w:r>
            <w:r>
              <w:rPr>
                <w:rFonts w:ascii="仿宋_GB2312" w:hAnsi="仿宋_GB2312" w:cs="仿宋_GB2312" w:eastAsia="仿宋_GB2312"/>
                <w:sz w:val="28"/>
              </w:rPr>
              <w:t>45 秒左右，整体节奏紧凑、流畅，在有限的时间内合理分配各部分内容的时长，确保信息传递丰富且重点突出。开篇要迅速抓住观众眼球，中间内容层层递进，结尾留下深刻印象。</w:t>
            </w:r>
          </w:p>
          <w:p>
            <w:pPr>
              <w:pStyle w:val="null3"/>
              <w:jc w:val="both"/>
            </w:pPr>
            <w:r>
              <w:rPr>
                <w:rFonts w:ascii="仿宋_GB2312" w:hAnsi="仿宋_GB2312" w:cs="仿宋_GB2312" w:eastAsia="仿宋_GB2312"/>
                <w:sz w:val="28"/>
              </w:rPr>
              <w:t xml:space="preserve">  4.技术指标：画面分辨率不低于</w:t>
            </w:r>
            <w:r>
              <w:rPr>
                <w:rFonts w:ascii="仿宋_GB2312" w:hAnsi="仿宋_GB2312" w:cs="仿宋_GB2312" w:eastAsia="仿宋_GB2312"/>
                <w:sz w:val="28"/>
              </w:rPr>
              <w:t>4K（3840×2160），帧率不低于 60fps，确保画面清晰、细腻、稳定、无卡顿。色彩还原度高，能够准确呈现汉中不同场景的色彩特点，如历史古迹的古朴色调、自然景观的绚丽色彩、现代城市的明快色调等，符合汉中城市文化的整体风格。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 xml:space="preserve">  （二）VR </w:t>
            </w:r>
            <w:r>
              <w:rPr>
                <w:rFonts w:ascii="仿宋_GB2312" w:hAnsi="仿宋_GB2312" w:cs="仿宋_GB2312" w:eastAsia="仿宋_GB2312"/>
                <w:sz w:val="28"/>
                <w:b/>
              </w:rPr>
              <w:t>虚拟</w:t>
            </w:r>
            <w:r>
              <w:rPr>
                <w:rFonts w:ascii="仿宋_GB2312" w:hAnsi="仿宋_GB2312" w:cs="仿宋_GB2312" w:eastAsia="仿宋_GB2312"/>
                <w:sz w:val="28"/>
                <w:b/>
              </w:rPr>
              <w:t>体验</w:t>
            </w:r>
            <w:r>
              <w:rPr>
                <w:rFonts w:ascii="仿宋_GB2312" w:hAnsi="仿宋_GB2312" w:cs="仿宋_GB2312" w:eastAsia="仿宋_GB2312"/>
                <w:sz w:val="28"/>
                <w:b/>
              </w:rPr>
              <w:t>资源制作</w:t>
            </w:r>
          </w:p>
          <w:p>
            <w:pPr>
              <w:pStyle w:val="null3"/>
              <w:jc w:val="both"/>
            </w:pPr>
            <w:r>
              <w:rPr>
                <w:rFonts w:ascii="仿宋_GB2312" w:hAnsi="仿宋_GB2312" w:cs="仿宋_GB2312" w:eastAsia="仿宋_GB2312"/>
                <w:sz w:val="28"/>
              </w:rPr>
              <w:t xml:space="preserve">  1.形式要求：采用高品质的</w:t>
            </w:r>
            <w:r>
              <w:rPr>
                <w:rFonts w:ascii="仿宋_GB2312" w:hAnsi="仿宋_GB2312" w:cs="仿宋_GB2312" w:eastAsia="仿宋_GB2312"/>
                <w:sz w:val="28"/>
              </w:rPr>
              <w:t>VR 技术，搭载先进的头显设备，为用户提供身临其境的沉浸式体验感。操作界面简洁直观，操作流程简单、便捷。</w:t>
            </w:r>
          </w:p>
          <w:p>
            <w:pPr>
              <w:pStyle w:val="null3"/>
              <w:jc w:val="both"/>
            </w:pPr>
            <w:r>
              <w:rPr>
                <w:rFonts w:ascii="仿宋_GB2312" w:hAnsi="仿宋_GB2312" w:cs="仿宋_GB2312" w:eastAsia="仿宋_GB2312"/>
                <w:sz w:val="28"/>
              </w:rPr>
              <w:t xml:space="preserve">  2.内容要求：重点介绍汉中当地的文化、美食特产等资源，构建特色</w:t>
            </w:r>
            <w:r>
              <w:rPr>
                <w:rFonts w:ascii="仿宋_GB2312" w:hAnsi="仿宋_GB2312" w:cs="仿宋_GB2312" w:eastAsia="仿宋_GB2312"/>
                <w:sz w:val="28"/>
              </w:rPr>
              <w:t>VR 场景，内容生动有趣，实时交互。具体包括汉中市</w:t>
            </w:r>
            <w:r>
              <w:rPr>
                <w:rFonts w:ascii="仿宋_GB2312" w:hAnsi="仿宋_GB2312" w:cs="仿宋_GB2312" w:eastAsia="仿宋_GB2312"/>
                <w:sz w:val="28"/>
              </w:rPr>
              <w:t>技艺类非遗展示场景</w:t>
            </w:r>
            <w:r>
              <w:rPr>
                <w:rFonts w:ascii="仿宋_GB2312" w:hAnsi="仿宋_GB2312" w:cs="仿宋_GB2312" w:eastAsia="仿宋_GB2312"/>
                <w:sz w:val="28"/>
              </w:rPr>
              <w:t>2处、美食类非遗展示场景2处，</w:t>
            </w:r>
            <w:r>
              <w:rPr>
                <w:rFonts w:ascii="仿宋_GB2312" w:hAnsi="仿宋_GB2312" w:cs="仿宋_GB2312" w:eastAsia="仿宋_GB2312"/>
                <w:sz w:val="28"/>
              </w:rPr>
              <w:t>要求</w:t>
            </w:r>
            <w:r>
              <w:rPr>
                <w:rFonts w:ascii="仿宋_GB2312" w:hAnsi="仿宋_GB2312" w:cs="仿宋_GB2312" w:eastAsia="仿宋_GB2312"/>
                <w:sz w:val="28"/>
              </w:rPr>
              <w:t>场景过渡自然流畅，保证用户能全面体验内容</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3.技术要求：</w:t>
            </w:r>
            <w:r>
              <w:rPr>
                <w:rFonts w:ascii="仿宋_GB2312" w:hAnsi="仿宋_GB2312" w:cs="仿宋_GB2312" w:eastAsia="仿宋_GB2312"/>
                <w:sz w:val="28"/>
              </w:rPr>
              <w:t>VR 场景建模精细，细节丰富，场景真实感强，纹理质感清晰，光影效果自然，能够高度还原真实场景的物理特性。交互设计合理、流畅，音效清晰、逼真，与场景内容相匹配，增强沉浸感。</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 xml:space="preserve">  （三）主题</w:t>
            </w:r>
            <w:r>
              <w:rPr>
                <w:rFonts w:ascii="仿宋_GB2312" w:hAnsi="仿宋_GB2312" w:cs="仿宋_GB2312" w:eastAsia="仿宋_GB2312"/>
                <w:sz w:val="28"/>
                <w:b/>
              </w:rPr>
              <w:t>视频宣传</w:t>
            </w:r>
          </w:p>
          <w:p>
            <w:pPr>
              <w:pStyle w:val="null3"/>
              <w:jc w:val="both"/>
            </w:pPr>
            <w:r>
              <w:rPr>
                <w:rFonts w:ascii="仿宋_GB2312" w:hAnsi="仿宋_GB2312" w:cs="仿宋_GB2312" w:eastAsia="仿宋_GB2312"/>
                <w:sz w:val="28"/>
              </w:rPr>
              <w:t xml:space="preserve">  1.形式要求：由甲方提供已有的汉中市高清文旅宣传片及拍摄素材，在此素材基础上进行剪辑、配音，调整画面以适配数字大屏，最终剪辑视频将通过平面数字大屏的形式进行轮播。</w:t>
            </w:r>
          </w:p>
          <w:p>
            <w:pPr>
              <w:pStyle w:val="null3"/>
              <w:jc w:val="both"/>
            </w:pPr>
            <w:r>
              <w:rPr>
                <w:rFonts w:ascii="仿宋_GB2312" w:hAnsi="仿宋_GB2312" w:cs="仿宋_GB2312" w:eastAsia="仿宋_GB2312"/>
                <w:sz w:val="28"/>
              </w:rPr>
              <w:t xml:space="preserve">  2.时长要求：内容时长</w:t>
            </w:r>
            <w:r>
              <w:rPr>
                <w:rFonts w:ascii="仿宋_GB2312" w:hAnsi="仿宋_GB2312" w:cs="仿宋_GB2312" w:eastAsia="仿宋_GB2312"/>
                <w:sz w:val="28"/>
              </w:rPr>
              <w:t>3 分钟，结构清晰，层次分明，分为开篇引入、主体介绍、结尾升华三个部分。能够让观众在短时间内对汉中的文旅资源有全面、深入的了解。</w:t>
            </w:r>
          </w:p>
          <w:p>
            <w:pPr>
              <w:pStyle w:val="null3"/>
              <w:jc w:val="both"/>
            </w:pPr>
            <w:r>
              <w:rPr>
                <w:rFonts w:ascii="仿宋_GB2312" w:hAnsi="仿宋_GB2312" w:cs="仿宋_GB2312" w:eastAsia="仿宋_GB2312"/>
                <w:sz w:val="28"/>
              </w:rPr>
              <w:t xml:space="preserve">  3.技术要求：分辨率不低于</w:t>
            </w:r>
            <w:r>
              <w:rPr>
                <w:rFonts w:ascii="仿宋_GB2312" w:hAnsi="仿宋_GB2312" w:cs="仿宋_GB2312" w:eastAsia="仿宋_GB2312"/>
                <w:sz w:val="28"/>
              </w:rPr>
              <w:t>1080P（1920×1080），配音专业、富有感染力，语音清晰、语调适中，能够准确传达内容的情感；背景音乐与内容风格相符。</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 xml:space="preserve">  （四）宣传推广</w:t>
            </w:r>
          </w:p>
          <w:p>
            <w:pPr>
              <w:pStyle w:val="null3"/>
              <w:jc w:val="both"/>
            </w:pPr>
            <w:r>
              <w:rPr>
                <w:rFonts w:ascii="仿宋_GB2312" w:hAnsi="仿宋_GB2312" w:cs="仿宋_GB2312" w:eastAsia="仿宋_GB2312"/>
                <w:sz w:val="28"/>
              </w:rPr>
              <w:t xml:space="preserve">  1.围绕汉中优质旅游、人文、文化、传统风俗等内容制定宣传策划方案。项目最终将融合汉中历史遗迹、自然风光以及民俗特色，采用第一视角叙述，结合高科技裸眼</w:t>
            </w:r>
            <w:r>
              <w:rPr>
                <w:rFonts w:ascii="仿宋_GB2312" w:hAnsi="仿宋_GB2312" w:cs="仿宋_GB2312" w:eastAsia="仿宋_GB2312"/>
                <w:sz w:val="28"/>
              </w:rPr>
              <w:t>3D效果与VR技术，展现汉中古今交融的独特韵味，创造沉浸式体验。</w:t>
            </w:r>
          </w:p>
          <w:p>
            <w:pPr>
              <w:pStyle w:val="null3"/>
              <w:jc w:val="both"/>
            </w:pPr>
            <w:r>
              <w:rPr>
                <w:rFonts w:ascii="仿宋_GB2312" w:hAnsi="仿宋_GB2312" w:cs="仿宋_GB2312" w:eastAsia="仿宋_GB2312"/>
                <w:sz w:val="28"/>
              </w:rPr>
              <w:t xml:space="preserve">  2.本项目打造的沉浸式体验场景，将创新汉中文化旅游资源的宣传推广方式，展现汉中丰富的旅游文化资源，在甲方指定播放位置进行宣传推广策划，制作完成的裸眼</w:t>
            </w:r>
            <w:r>
              <w:rPr>
                <w:rFonts w:ascii="仿宋_GB2312" w:hAnsi="仿宋_GB2312" w:cs="仿宋_GB2312" w:eastAsia="仿宋_GB2312"/>
                <w:sz w:val="28"/>
              </w:rPr>
              <w:t>3D视频及宣传片将在指定位置进行投放。轮播场地安排专人负责维护运营。</w:t>
            </w:r>
            <w:r>
              <w:rPr>
                <w:rFonts w:ascii="仿宋_GB2312" w:hAnsi="仿宋_GB2312" w:cs="仿宋_GB2312" w:eastAsia="仿宋_GB2312"/>
                <w:sz w:val="28"/>
              </w:rPr>
              <w:t>播放时间段不少于</w:t>
            </w:r>
            <w:r>
              <w:rPr>
                <w:rFonts w:ascii="仿宋_GB2312" w:hAnsi="仿宋_GB2312" w:cs="仿宋_GB2312" w:eastAsia="仿宋_GB2312"/>
                <w:sz w:val="28"/>
              </w:rPr>
              <w:t>1年。</w:t>
            </w:r>
          </w:p>
          <w:p>
            <w:pPr>
              <w:pStyle w:val="null3"/>
              <w:jc w:val="both"/>
            </w:pPr>
            <w:r>
              <w:rPr>
                <w:rFonts w:ascii="仿宋_GB2312" w:hAnsi="仿宋_GB2312" w:cs="仿宋_GB2312" w:eastAsia="仿宋_GB2312"/>
                <w:sz w:val="28"/>
              </w:rPr>
              <w:t xml:space="preserve">  3.裸眼</w:t>
            </w:r>
            <w:r>
              <w:rPr>
                <w:rFonts w:ascii="仿宋_GB2312" w:hAnsi="仿宋_GB2312" w:cs="仿宋_GB2312" w:eastAsia="仿宋_GB2312"/>
                <w:sz w:val="28"/>
              </w:rPr>
              <w:t>3D片源播放视频时长为45秒/片，全天播放不低于10次，每月播放不低于300次，全年播放不低于3600次，全年覆盖人流量累计不少于8万人次。</w:t>
            </w:r>
          </w:p>
          <w:p>
            <w:pPr>
              <w:pStyle w:val="null3"/>
              <w:jc w:val="both"/>
            </w:pPr>
            <w:r>
              <w:rPr>
                <w:rFonts w:ascii="仿宋_GB2312" w:hAnsi="仿宋_GB2312" w:cs="仿宋_GB2312" w:eastAsia="仿宋_GB2312"/>
                <w:sz w:val="28"/>
              </w:rPr>
              <w:t xml:space="preserve">  4.VR</w:t>
            </w:r>
            <w:r>
              <w:rPr>
                <w:rFonts w:ascii="仿宋_GB2312" w:hAnsi="仿宋_GB2312" w:cs="仿宋_GB2312" w:eastAsia="仿宋_GB2312"/>
                <w:sz w:val="28"/>
              </w:rPr>
              <w:t>虚拟</w:t>
            </w:r>
            <w:r>
              <w:rPr>
                <w:rFonts w:ascii="仿宋_GB2312" w:hAnsi="仿宋_GB2312" w:cs="仿宋_GB2312" w:eastAsia="仿宋_GB2312"/>
                <w:sz w:val="28"/>
              </w:rPr>
              <w:t>体验</w:t>
            </w:r>
            <w:r>
              <w:rPr>
                <w:rFonts w:ascii="仿宋_GB2312" w:hAnsi="仿宋_GB2312" w:cs="仿宋_GB2312" w:eastAsia="仿宋_GB2312"/>
                <w:sz w:val="28"/>
              </w:rPr>
              <w:t>全天播放场次不少于</w:t>
            </w:r>
            <w:r>
              <w:rPr>
                <w:rFonts w:ascii="仿宋_GB2312" w:hAnsi="仿宋_GB2312" w:cs="仿宋_GB2312" w:eastAsia="仿宋_GB2312"/>
                <w:sz w:val="28"/>
              </w:rPr>
              <w:t>2场，每月不少于60场，全年不少于720场。</w:t>
            </w:r>
          </w:p>
          <w:p>
            <w:pPr>
              <w:pStyle w:val="null3"/>
              <w:jc w:val="both"/>
            </w:pPr>
            <w:r>
              <w:rPr>
                <w:rFonts w:ascii="仿宋_GB2312" w:hAnsi="仿宋_GB2312" w:cs="仿宋_GB2312" w:eastAsia="仿宋_GB2312"/>
                <w:sz w:val="28"/>
              </w:rPr>
              <w:t xml:space="preserve">  5.主题视频宣传播放时长为</w:t>
            </w:r>
            <w:r>
              <w:rPr>
                <w:rFonts w:ascii="仿宋_GB2312" w:hAnsi="仿宋_GB2312" w:cs="仿宋_GB2312" w:eastAsia="仿宋_GB2312"/>
                <w:sz w:val="28"/>
              </w:rPr>
              <w:t>180秒/片，全天播放不少于10次，每月播放不少于300次，全年播放不少于3600次，全年覆盖人流量累计不少于8万人次。</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服务要求</w:t>
            </w:r>
          </w:p>
          <w:p>
            <w:pPr>
              <w:pStyle w:val="null3"/>
              <w:ind w:firstLine="560"/>
              <w:jc w:val="both"/>
            </w:pPr>
            <w:r>
              <w:rPr>
                <w:rFonts w:ascii="仿宋_GB2312" w:hAnsi="仿宋_GB2312" w:cs="仿宋_GB2312" w:eastAsia="仿宋_GB2312"/>
                <w:sz w:val="28"/>
              </w:rPr>
              <w:t>1.项目实施过程中，投标人需成立专门的项目团队，包括项目经理、技术人员、策划人员等，确保项目的顺利推进。项目经理需具有丰富的项目管理经验，能够及时协调解决项目实施过程中出现的问题。</w:t>
            </w:r>
          </w:p>
          <w:p>
            <w:pPr>
              <w:pStyle w:val="null3"/>
              <w:ind w:firstLine="560"/>
              <w:jc w:val="both"/>
            </w:pPr>
            <w:r>
              <w:rPr>
                <w:rFonts w:ascii="仿宋_GB2312" w:hAnsi="仿宋_GB2312" w:cs="仿宋_GB2312" w:eastAsia="仿宋_GB2312"/>
                <w:sz w:val="28"/>
              </w:rPr>
              <w:t>2.提供完善的售后服务，包括项目验收后的技术支持、维护保养等，及时响应甲方的需求。</w:t>
            </w:r>
          </w:p>
          <w:p>
            <w:pPr>
              <w:pStyle w:val="null3"/>
              <w:ind w:firstLine="560"/>
              <w:jc w:val="both"/>
            </w:pPr>
            <w:r>
              <w:rPr>
                <w:rFonts w:ascii="仿宋_GB2312" w:hAnsi="仿宋_GB2312" w:cs="仿宋_GB2312" w:eastAsia="仿宋_GB2312"/>
                <w:sz w:val="28"/>
              </w:rPr>
              <w:t>3.严格遵守甲方的相关规定和要求，保守甲方的商业秘密和项目信息，不得向第三方泄露。</w:t>
            </w:r>
          </w:p>
          <w:p>
            <w:pPr>
              <w:pStyle w:val="null3"/>
              <w:ind w:firstLine="562"/>
              <w:jc w:val="both"/>
            </w:pPr>
            <w:r>
              <w:rPr>
                <w:rFonts w:ascii="仿宋_GB2312" w:hAnsi="仿宋_GB2312" w:cs="仿宋_GB2312" w:eastAsia="仿宋_GB2312"/>
                <w:sz w:val="28"/>
                <w:b/>
              </w:rPr>
              <w:t>成果资料</w:t>
            </w:r>
          </w:p>
          <w:p>
            <w:pPr>
              <w:pStyle w:val="null3"/>
              <w:ind w:firstLine="562"/>
              <w:jc w:val="both"/>
            </w:pPr>
            <w:r>
              <w:rPr>
                <w:rFonts w:ascii="仿宋_GB2312" w:hAnsi="仿宋_GB2312" w:cs="仿宋_GB2312" w:eastAsia="仿宋_GB2312"/>
                <w:sz w:val="28"/>
              </w:rPr>
              <w:t>1.定制裸眼3D视频（45秒）素材2套（.mp4格式），其中1套用于屏幕播放，1套用于数据备份。</w:t>
            </w:r>
          </w:p>
          <w:p>
            <w:pPr>
              <w:pStyle w:val="null3"/>
              <w:ind w:firstLine="560"/>
              <w:jc w:val="both"/>
            </w:pPr>
            <w:r>
              <w:rPr>
                <w:rFonts w:ascii="仿宋_GB2312" w:hAnsi="仿宋_GB2312" w:cs="仿宋_GB2312" w:eastAsia="仿宋_GB2312"/>
                <w:sz w:val="28"/>
              </w:rPr>
              <w:t>2.提供汉中市VR虚拟体验“非遗演绎”场景2处、“非遗美食”场景2处（.apk格式文件）。</w:t>
            </w:r>
          </w:p>
          <w:p>
            <w:pPr>
              <w:pStyle w:val="null3"/>
              <w:ind w:firstLine="560"/>
              <w:jc w:val="both"/>
            </w:pPr>
            <w:r>
              <w:rPr>
                <w:rFonts w:ascii="仿宋_GB2312" w:hAnsi="仿宋_GB2312" w:cs="仿宋_GB2312" w:eastAsia="仿宋_GB2312"/>
                <w:sz w:val="28"/>
              </w:rPr>
              <w:t>3.提供3分钟主题宣传视频2套（.mp4格式文件），其中1套用于屏幕播放，1套用于数据备份。</w:t>
            </w:r>
          </w:p>
          <w:p>
            <w:pPr>
              <w:pStyle w:val="null3"/>
              <w:ind w:firstLine="560"/>
              <w:jc w:val="both"/>
            </w:pPr>
            <w:r>
              <w:rPr>
                <w:rFonts w:ascii="仿宋_GB2312" w:hAnsi="仿宋_GB2312" w:cs="仿宋_GB2312" w:eastAsia="仿宋_GB2312"/>
                <w:sz w:val="28"/>
              </w:rPr>
              <w:t>4.提供项目实施方案、工作总结、资料移交清单等文档资料，电子版1套，纸质版1套。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 天内完成项目方案设计，设计方案经甲方确认后180 天内，完成裸眼 3D视频制作、VR 虚拟体验、主题视频宣传工作，交付后播放时间段不少于1年。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自合同签订至本项目所有内容全部完成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非联合体声明.docx 投标函 残疾人福利性单位声明函 服务方案 标的清单 投标文件封面 业绩相关证明材料.docx 项目拟派人员情况表.docx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非联合体声明.docx 投标函 残疾人福利性单位声明函 服务方案 标的清单 投标文件封面 业绩相关证明材料.docx 项目拟派人员情况表.docx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不得超过采购预算，不得提交选择性报价</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供应商近三年（即2022年1月1日之后）拥有执行类似项目。（以合同签订时间为准），每提供一个得2.5分，最高得5.0分。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供应商结合本项目要求，配备专业的服务团队，人员能力强且具备相关工作经验，满足项目要求。 ①服务团队不少于5人且完全满足项目需求的得3分，每增加一人加 1分，本项最高得7分。 ②其中项目负责人具有本科及以上学历得2分，未提供不计分。 ③项目人员中具备高级职称的得2分，具备中级职称的得1分，本项最多得6分。需提供职称证书，否则不得分。 （需提供人员的学历证书和投标截止时间前连续3个月的社保缴纳证明。）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供应商针对本项目须确保项目能按时、按质完成，作出具有实质性的服务承诺，对采购人提出的服务要求和成果问题能得到及时解决。内容具体可行得3.1～5分，内容基本可行得0～3分；未提供不得分。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（1）对项目背景理解分析。包含：①项目理解和认知；②项目需求分析；③项目重难点分析； （2）对文件服务要求提供针对性强且完善的项目实施方案。包含：①方案策划；②资源制作；③宣传推广。 服务方案应紧扣项目实际情况，内容科学合理。以上方案每缺少一项内容扣 5 分，每项中每有一处缺陷的扣2分，扣完为止；每项内容最多扣5分。（缺陷是指项目名称错误、地点区域错误、内容与本项目需求无关、方案内容矛盾或表述前后不一致、仅有框架或标题，无与本项目相关的具体描述、明显复制其他项目内容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供应商对本项目服务工作中的常见问题进行梳理，具有良好的解决方案并及时向采购人提出合理化建议，每提供一条得1分，满分5分。不提供不得分。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服务质量及保障措施</w:t>
            </w:r>
          </w:p>
        </w:tc>
        <w:tc>
          <w:tcPr>
            <w:tcW w:type="dxa" w:w="2492"/>
          </w:tcPr>
          <w:p>
            <w:pPr>
              <w:pStyle w:val="null3"/>
            </w:pPr>
            <w:r>
              <w:rPr>
                <w:rFonts w:ascii="仿宋_GB2312" w:hAnsi="仿宋_GB2312" w:cs="仿宋_GB2312" w:eastAsia="仿宋_GB2312"/>
              </w:rPr>
              <w:t>质量管理组织方面，针对本项目设置的质量保证措施，可行性、合理性符合相关规范及地方法规要求。质量保障可行，针对性强得7.1～10分，质量保障较为可行，针对性一般得3.1～7分，质量保障较弱，针对性弱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周期保证方案</w:t>
            </w:r>
          </w:p>
        </w:tc>
        <w:tc>
          <w:tcPr>
            <w:tcW w:type="dxa" w:w="2492"/>
          </w:tcPr>
          <w:p>
            <w:pPr>
              <w:pStyle w:val="null3"/>
            </w:pPr>
            <w:r>
              <w:rPr>
                <w:rFonts w:ascii="仿宋_GB2312" w:hAnsi="仿宋_GB2312" w:cs="仿宋_GB2312" w:eastAsia="仿宋_GB2312"/>
              </w:rPr>
              <w:t>项目实施进度计划内容详细、工作节点安排清晰、科学合理可行，可以确保项目能按时、按质完成。 方案详细、合理、可行性强得7.1～10分，方案较详细、合理、可行性较强得3.1～7分，方案不够详细、合理、可行性不尽合理得0～3分；未提供不得分。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供应商对突发事件具有完善合理的应急预案，有明确的响应时间，有效的处理措施和应急能力，内容完善、具体、可行性强得7.1～10分；内容基本完善、具体、可行性一般的得3.1～7分；内容不够完善、具体、可行性差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