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版本号：2025-（117）1224-CG-（15）6120251028002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汉中市公路养护统计和公路基础属性数据及农村公路电子地图更新服务项目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2025-（117）1224-CG-（15）61</w:t>
      </w:r>
      <w:r>
        <w:br/>
      </w:r>
      <w:r>
        <w:br/>
      </w:r>
      <w:r>
        <w:br/>
      </w:r>
    </w:p>
    <w:p>
      <w:pPr>
        <w:pStyle w:val="null3"/>
        <w:jc w:val="center"/>
        <w:outlineLvl w:val="2"/>
      </w:pPr>
      <w:r>
        <w:rPr>
          <w:rFonts w:ascii="仿宋_GB2312" w:hAnsi="仿宋_GB2312" w:cs="仿宋_GB2312" w:eastAsia="仿宋_GB2312"/>
          <w:sz w:val="28"/>
          <w:b/>
        </w:rPr>
        <w:t>汉中市交通运输局</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汉中市交通运输局</w:t>
      </w:r>
      <w:r>
        <w:rPr>
          <w:rFonts w:ascii="仿宋_GB2312" w:hAnsi="仿宋_GB2312" w:cs="仿宋_GB2312" w:eastAsia="仿宋_GB2312"/>
        </w:rPr>
        <w:t>委托，拟对</w:t>
      </w:r>
      <w:r>
        <w:rPr>
          <w:rFonts w:ascii="仿宋_GB2312" w:hAnsi="仿宋_GB2312" w:cs="仿宋_GB2312" w:eastAsia="仿宋_GB2312"/>
        </w:rPr>
        <w:t>汉中市公路养护统计和公路基础属性数据及农村公路电子地图更新服务项目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2025-（117）1224-CG-（15）61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汉中市公路养护统计和公路基础属性数据及农村公路电子地图更新服务项目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全市范围内开展新增国省道和农村公路基础及电子地图的年度更新工作，更新范围为新增国省道基础属性数据（路段、桥梁、隧道、交通安全设施、服务设施），农村公路路线（段）及其所属桥梁、隧道、安防工程、乡镇、建制村、自然村等的基础属性数据及其对应的电子地图，在全市数据更新工作服务期间，提供相关系统软件操作培训、数据处理、审核、汇总统计、报送、编制统计资料、地图（册）制作等技术工作，确保数据更新及时、准确、完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1、营业执照等主体资格证明文件：具有独立承担民事责任能力的法人或其他组织，提供合法有效的统一社会信用代码营业执照（事业单位提供事业单位的法人证书，自然人提供身份证明）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附法定代表人身份证复印件），法定代表人委托代理人参加磋商的，须提供法定代表人授权委托书（附法定代表人及委托代理人身份证复印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4、承诺书：未被省级及以上交通运输主管部门限制进入公路建养市场，且不在处罚有效期内（提供承诺书）</w:t>
      </w:r>
    </w:p>
    <w:p>
      <w:pPr>
        <w:pStyle w:val="null3"/>
      </w:pPr>
      <w:r>
        <w:rPr>
          <w:rFonts w:ascii="仿宋_GB2312" w:hAnsi="仿宋_GB2312" w:cs="仿宋_GB2312" w:eastAsia="仿宋_GB2312"/>
        </w:rPr>
        <w:t>5、非联合体不分包投标声明：本项目不接受联合体投标，不允许分包。供应商应提供《非联合体不分包投标声明》，视为独立投标，不分包。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汉中市东一环路东段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0916-2214413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15592679774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员会颁发的《招标代理服务收费管理暂行办法》（计价格[2002]1980号）和国家发展改革委员会办公厅颁发的《关于招标代理服务收费有关问题的通知》（发改办价格[2003]857号）的有关规定计取。成交供应商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汉中市交通运输局</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联系电话：15592679774</w:t>
      </w:r>
    </w:p>
    <w:p>
      <w:pPr>
        <w:pStyle w:val="null3"/>
      </w:pPr>
      <w:r>
        <w:rPr>
          <w:rFonts w:ascii="仿宋_GB2312" w:hAnsi="仿宋_GB2312" w:cs="仿宋_GB2312" w:eastAsia="仿宋_GB2312"/>
        </w:rPr>
        <w:t>地址：陕西汇鑫林丰项目管理有限责任公司</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全市范围内开展新增国省道和农村公路基础及电子地图的年度更新工作，更新范围为新增国省道基础属性数据（路段、桥梁、隧道、交通安全设施、服务设施），农村公路路线（段）及其所属桥梁、隧道、安防工程、乡镇、建制村、自然村等的基础属性数据及其对应的电子地图，在全市数据更新工作服务期间，提供相关系统软件操作培训、数据处理、审核、汇总统计、报送、编制统计资料、地图（册）制作等技术工作，确保数据更新及时、准确、完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298,000.00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汉中市公路养护统计和公路基础属性数据及农村公路电子地图更新服务项目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标的名称：汉中市公路养护统计和公路基础属性数据及农村公路电子地图更新服务项目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left"/>
              <w:outlineLvl w:val="1"/>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根据交通运输部印发的《公路养护统计报表制度》、《交通运输部门统计调查制度》要求，是年、季公路统计工作开展的法律依据和义务，据此开展的公路养护统计和公路基础属性及农村公路电子更新工作，客观、准确反映公路公共基础设施“家底”，是公路交通规划、建设、养护管理科学决策的重要支撑，更是公路建设成就和发展水平的综合体现。同时也是公路养护活动的自然拓展和有机组成部分。公路养护统计数据和公路基础数据数据及农村公路公路电子地图数据的完整性、准确性从中央、省、市层面管理日趋重要，形成的统计成果为行业的建管运营生产提供了坚实的数据基础，助力各级部门精准施策。</w:t>
            </w:r>
          </w:p>
          <w:p>
            <w:pPr>
              <w:pStyle w:val="null3"/>
              <w:ind w:firstLine="480"/>
              <w:jc w:val="left"/>
            </w:pPr>
            <w:r>
              <w:rPr>
                <w:rFonts w:ascii="仿宋_GB2312" w:hAnsi="仿宋_GB2312" w:cs="仿宋_GB2312" w:eastAsia="仿宋_GB2312"/>
                <w:sz w:val="24"/>
              </w:rPr>
              <w:t>建立健全全市公路养护统计和公路基础属性及农村公路电子地图数据更新工作是一项任务繁重且非常重要的基础性工作，通过该项目的实施，依托信息技术，在系统建设、升级、完善过程中充分兼容行业管理的业务特点及交通运输部、省交通运输厅、省公路局相关公路行业标准规范、制度等的相关要求，提供数据采集、维护、审核、管理、汇总分析等一揽子技术解决方法，尤其在数据采集方面要具备实现与电子地图匹配拟合，在公路基础数据的审核与校验方面要尽可能全面，能涵盖行业数据逻辑业务关系与规则，能自动审核与查错；同时依托项目的实施，能够形成一系列的数据采集、更新维护标准流程规范体系等，从技术和管理角度层面上以确保形成的公路养护统计数据和公路基础属性数据及农村公路电子地图的完整性、准确性。从而有效提升我市公路养护统计和公路基础属性数据及农村公路电子地图数据采集的技术手段和工作效率，推动我市公路数字化建设进程，进一步发挥公路基础属性数据、养护统计、农村公路电子地图数据对行业生产、运营、管理的综合效益。</w:t>
            </w:r>
          </w:p>
          <w:p>
            <w:pPr>
              <w:pStyle w:val="null3"/>
              <w:spacing w:before="120" w:after="120"/>
              <w:jc w:val="left"/>
              <w:outlineLvl w:val="1"/>
            </w:pPr>
            <w:r>
              <w:rPr>
                <w:rFonts w:ascii="仿宋_GB2312" w:hAnsi="仿宋_GB2312" w:cs="仿宋_GB2312" w:eastAsia="仿宋_GB2312"/>
                <w:sz w:val="24"/>
                <w:b/>
              </w:rPr>
              <w:t>二、项目工作目标</w:t>
            </w:r>
          </w:p>
          <w:p>
            <w:pPr>
              <w:pStyle w:val="null3"/>
              <w:ind w:firstLine="480"/>
              <w:jc w:val="left"/>
            </w:pPr>
            <w:r>
              <w:rPr>
                <w:rFonts w:ascii="仿宋_GB2312" w:hAnsi="仿宋_GB2312" w:cs="仿宋_GB2312" w:eastAsia="仿宋_GB2312"/>
                <w:sz w:val="24"/>
              </w:rPr>
              <w:t>实现公路养护统计数据、公路基础数据及农村公路电子地图更新的全面性、精准性和时效性，年度形成全市新增国省及农村公路基础数据和电子地图能够满足中省数据报送和审核要求，服务于全市公路养护管理和计划安排，提升公路基础设施管理水平，确保数据支撑科学决策，助力公路交通可持续发展。通过优化资源配置，提高工作效率。</w:t>
            </w:r>
          </w:p>
          <w:p>
            <w:pPr>
              <w:pStyle w:val="null3"/>
              <w:spacing w:before="120" w:after="120"/>
              <w:jc w:val="left"/>
              <w:outlineLvl w:val="1"/>
            </w:pPr>
            <w:r>
              <w:rPr>
                <w:rFonts w:ascii="仿宋_GB2312" w:hAnsi="仿宋_GB2312" w:cs="仿宋_GB2312" w:eastAsia="仿宋_GB2312"/>
                <w:sz w:val="24"/>
                <w:b/>
              </w:rPr>
              <w:t>三、服务要求</w:t>
            </w:r>
          </w:p>
          <w:p>
            <w:pPr>
              <w:pStyle w:val="null3"/>
              <w:jc w:val="both"/>
              <w:outlineLvl w:val="2"/>
            </w:pPr>
            <w:r>
              <w:rPr>
                <w:rFonts w:ascii="仿宋_GB2312" w:hAnsi="仿宋_GB2312" w:cs="仿宋_GB2312" w:eastAsia="仿宋_GB2312"/>
                <w:sz w:val="24"/>
                <w:b/>
              </w:rPr>
              <w:t>（一）服务范围及服务内容</w:t>
            </w:r>
          </w:p>
          <w:p>
            <w:pPr>
              <w:pStyle w:val="null3"/>
              <w:ind w:firstLine="480"/>
              <w:jc w:val="left"/>
            </w:pPr>
            <w:r>
              <w:rPr>
                <w:rFonts w:ascii="仿宋_GB2312" w:hAnsi="仿宋_GB2312" w:cs="仿宋_GB2312" w:eastAsia="仿宋_GB2312"/>
                <w:sz w:val="24"/>
              </w:rPr>
              <w:t>按照中省专项统计调查制度、管理办法等要求，基于省公路局陕西公路信息资源管理平台技术标准，结合我市新增国省道及农村公路管理要求和现状，年度更新的具体内容（新改建通车路段、危旧桥改造、县乡公路改造、旅游路产业路资源路、联网工程、桥涵配套工程、乡镇通三级公路、通组路等完工项目）、公路基础数据核查错误清单等，在全市范围内开展新增国省道和农村公路基础及电子地图的年度更新工作，更新范围为新增国省道基础属性数据（路段、桥梁、隧道、交通安全设施、服务设施），农村公路路线（段）及其所属桥梁、隧道、安防工程、乡镇、建制村、自然村等的基础属性数据及其对应的电子地图，在全市数据更新工作服务期间，提供相关系统软件操作培训、数据处理、审核、汇总统计、报送、编制统计资料、地图（册）制作等技术工作，确保数据更新及时、准确、完整。主要包括以下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在年度新增国省道和农村公路基础属性数据及农村公路电子地图更新工作开展期间，解决软件系统使用过程中出现的问题。</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为市局及下属区县使用有关新增国省道公路基础属性数据、农村公路基础属性和电子地图更新系统软件，提供技术及业务操作的指导工作，确保各级单位人员能够熟练掌握系统操作，提升数据采集和处理的效率。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根据中、省相关新增国省道、农村公路基础属性和电子地图数据年度填报更新要求，完成全市上年度报部审核通过认定数据到区县的拆解与分发工作，作为本年度数据更新填报的基础。</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分区县，对各单位填报的新增国省道基础属性数据、农村公路基础数据和电子地图更新工作数据的审核、处理、汇总、数据转换等技术服务。确保数据质量符合上级单位审核的标准要求。</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协调利用最新遥感影像卫片数据，通过叠加融合技术，对各区县市上报的电子地图数据进行抽检核查，尤其对于新增路线就线形轨迹，技术等级、面层类型等属性数据抽检核查，确保更新数据的准确性。</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结合省局新增国省路线（段）检测、桥梁检测、数据复核结果，对下属区县填报的数据进行全面核对，达到中央、省、市对新增国省道和农村公路基础数据填报和审核要求。</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结合中央、省、市相关普通省道和农村公路以奖代补考核暂行管理办法，对全市和下属区县市相关数据进行全面核对，避免出现偏差和遗漏。</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将各区县的农村公路基础数据和电子地图数据进行全市合并汇总，并进行再审核、核实处理、全市汇总分析等工作。</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完成全市合并汇总数据到陕西省公路局的数据报送并通过审核。</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为市局提供相关新增国省道、农村公路基础数据相关的各类日常统计数据报表、数据分析等技术服务工作。</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根据市局要求，对区县提供相关新增国省道、农村公路基础属性数据和电子地图更新工作系统软件操作应用及业务培训工作。</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协助市局完成年度养护统计数据分析报告及年度统计资料册的编制工作。</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基于省局陕西公路信息资源平台研发手机app应用系统，用于通过手机及现场定位查看路线（段）、桥梁、隧道等基础信息等。</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分全市及下属区县年度编制公路交通地图或地图册，为日常管理及决策提供支撑。</w:t>
            </w:r>
          </w:p>
          <w:p>
            <w:pPr>
              <w:pStyle w:val="null3"/>
              <w:jc w:val="both"/>
              <w:outlineLvl w:val="2"/>
            </w:pPr>
            <w:r>
              <w:rPr>
                <w:rFonts w:ascii="仿宋_GB2312" w:hAnsi="仿宋_GB2312" w:cs="仿宋_GB2312" w:eastAsia="仿宋_GB2312"/>
                <w:sz w:val="24"/>
                <w:b/>
              </w:rPr>
              <w:t>（二）报价要求</w:t>
            </w:r>
          </w:p>
          <w:p>
            <w:pPr>
              <w:pStyle w:val="null3"/>
              <w:ind w:firstLine="480"/>
              <w:jc w:val="left"/>
            </w:pPr>
            <w:r>
              <w:rPr>
                <w:rFonts w:ascii="仿宋_GB2312" w:hAnsi="仿宋_GB2312" w:cs="仿宋_GB2312" w:eastAsia="仿宋_GB2312"/>
                <w:sz w:val="24"/>
              </w:rPr>
              <w:t>项目服务报价表上项目服务的价格，是交货（或服务提供）地的验收价格，其总价即为履行合同的最终价格。</w:t>
            </w:r>
          </w:p>
          <w:p>
            <w:pPr>
              <w:pStyle w:val="null3"/>
              <w:ind w:firstLine="480"/>
              <w:jc w:val="left"/>
            </w:pPr>
            <w:r>
              <w:rPr>
                <w:rFonts w:ascii="仿宋_GB2312" w:hAnsi="仿宋_GB2312" w:cs="仿宋_GB2312" w:eastAsia="仿宋_GB2312"/>
                <w:sz w:val="24"/>
              </w:rPr>
              <w:t>响应文件中规定的软件技术支持、数据审核、数据处理、数据报送等全部费用，包括在项目服务报价中。</w:t>
            </w:r>
          </w:p>
          <w:p>
            <w:pPr>
              <w:pStyle w:val="null3"/>
              <w:jc w:val="both"/>
              <w:outlineLvl w:val="2"/>
            </w:pPr>
            <w:r>
              <w:rPr>
                <w:rFonts w:ascii="仿宋_GB2312" w:hAnsi="仿宋_GB2312" w:cs="仿宋_GB2312" w:eastAsia="仿宋_GB2312"/>
                <w:sz w:val="24"/>
                <w:b/>
              </w:rPr>
              <w:t>（三）验收标准</w:t>
            </w:r>
          </w:p>
          <w:p>
            <w:pPr>
              <w:pStyle w:val="null3"/>
              <w:ind w:firstLine="480"/>
              <w:jc w:val="left"/>
            </w:pPr>
            <w:r>
              <w:rPr>
                <w:rFonts w:ascii="仿宋_GB2312" w:hAnsi="仿宋_GB2312" w:cs="仿宋_GB2312" w:eastAsia="仿宋_GB2312"/>
                <w:sz w:val="24"/>
              </w:rPr>
              <w:t>成果资料满足国家现行的相关技术标准、规范、规程等以及我省公路管理相关规定。提交的数据核查成果通过陕西省公路局及交通运输部的审核。</w:t>
            </w:r>
          </w:p>
          <w:p>
            <w:pPr>
              <w:pStyle w:val="null3"/>
              <w:jc w:val="both"/>
              <w:outlineLvl w:val="2"/>
            </w:pPr>
            <w:r>
              <w:rPr>
                <w:rFonts w:ascii="仿宋_GB2312" w:hAnsi="仿宋_GB2312" w:cs="仿宋_GB2312" w:eastAsia="仿宋_GB2312"/>
                <w:sz w:val="24"/>
                <w:b/>
              </w:rPr>
              <w:t>（四）人员配置要求</w:t>
            </w:r>
          </w:p>
          <w:p>
            <w:pPr>
              <w:pStyle w:val="null3"/>
              <w:ind w:firstLine="480"/>
              <w:jc w:val="left"/>
            </w:pPr>
            <w:r>
              <w:rPr>
                <w:rFonts w:ascii="仿宋_GB2312" w:hAnsi="仿宋_GB2312" w:cs="仿宋_GB2312" w:eastAsia="仿宋_GB2312"/>
                <w:sz w:val="24"/>
              </w:rPr>
              <w:t>项目负责人1人，团队成员不少于3人，详见磋商文件评审要求。</w:t>
            </w:r>
          </w:p>
          <w:p>
            <w:pPr>
              <w:pStyle w:val="null3"/>
              <w:jc w:val="both"/>
              <w:outlineLvl w:val="2"/>
            </w:pPr>
            <w:r>
              <w:rPr>
                <w:rFonts w:ascii="仿宋_GB2312" w:hAnsi="仿宋_GB2312" w:cs="仿宋_GB2312" w:eastAsia="仿宋_GB2312"/>
                <w:sz w:val="24"/>
                <w:b/>
              </w:rPr>
              <w:t>（五）其他要求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成果要求：形成的数据成果能够通过陕西省公路局、交通运输部的审核。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成交磋商供应商合作期间应确定项目联络人员。如有变更，应及时书面通知采购方。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响应方必须为本项目配备专职团队，应保证骨干人员的稳定性。</w:t>
            </w:r>
          </w:p>
          <w:p>
            <w:pPr>
              <w:pStyle w:val="null3"/>
              <w:spacing w:before="120" w:after="120"/>
              <w:jc w:val="left"/>
              <w:outlineLvl w:val="1"/>
            </w:pPr>
            <w:r>
              <w:rPr>
                <w:rFonts w:ascii="仿宋_GB2312" w:hAnsi="仿宋_GB2312" w:cs="仿宋_GB2312" w:eastAsia="仿宋_GB2312"/>
                <w:sz w:val="24"/>
                <w:b/>
              </w:rPr>
              <w:t>四、技术要求</w:t>
            </w:r>
          </w:p>
          <w:p>
            <w:pPr>
              <w:pStyle w:val="null3"/>
              <w:ind w:firstLine="480"/>
              <w:jc w:val="left"/>
            </w:pPr>
            <w:r>
              <w:rPr>
                <w:rFonts w:ascii="仿宋_GB2312" w:hAnsi="仿宋_GB2312" w:cs="仿宋_GB2312" w:eastAsia="仿宋_GB2312"/>
                <w:sz w:val="24"/>
              </w:rPr>
              <w:t>为保证上述服务需求及内容得以有效落实和实现，根据我市的实际情况及省交通运输厅、省公路局的相关要求，提出以下几个方面的技术要求，作为该项目的约束性技术要求，该项目的最终成交磋商供应商必须严格遵守相应技术要求，以确保我市养护统计业务、行业管理业务管理的连续性、延续性。</w:t>
            </w:r>
          </w:p>
          <w:p>
            <w:pPr>
              <w:pStyle w:val="null3"/>
              <w:jc w:val="both"/>
              <w:outlineLvl w:val="2"/>
            </w:pPr>
            <w:r>
              <w:rPr>
                <w:rFonts w:ascii="仿宋_GB2312" w:hAnsi="仿宋_GB2312" w:cs="仿宋_GB2312" w:eastAsia="仿宋_GB2312"/>
                <w:sz w:val="24"/>
                <w:b/>
              </w:rPr>
              <w:t>（一）数据项</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公路基础属性数据项内容</w:t>
            </w:r>
          </w:p>
          <w:p>
            <w:pPr>
              <w:pStyle w:val="null3"/>
              <w:ind w:firstLine="480"/>
              <w:jc w:val="left"/>
            </w:pPr>
            <w:r>
              <w:rPr>
                <w:rFonts w:ascii="仿宋_GB2312" w:hAnsi="仿宋_GB2312" w:cs="仿宋_GB2312" w:eastAsia="仿宋_GB2312"/>
                <w:sz w:val="24"/>
              </w:rPr>
              <w:t>公路基础属性数据分类及内容，包括但不限于以下内容。</w:t>
            </w:r>
          </w:p>
          <w:p>
            <w:pPr>
              <w:pStyle w:val="null3"/>
            </w:pPr>
            <w:r>
              <w:rPr>
                <w:rFonts w:ascii="仿宋_GB2312" w:hAnsi="仿宋_GB2312" w:cs="仿宋_GB2312" w:eastAsia="仿宋_GB2312"/>
                <w:sz w:val="24"/>
              </w:rPr>
              <w:t>（1）路段综合信息</w:t>
            </w:r>
          </w:p>
          <w:tbl>
            <w:tblPr>
              <w:tblBorders>
                <w:top w:val="none" w:color="000000" w:sz="4"/>
                <w:left w:val="none" w:color="000000" w:sz="4"/>
                <w:bottom w:val="none" w:color="000000" w:sz="4"/>
                <w:right w:val="none" w:color="000000" w:sz="4"/>
                <w:insideH w:val="none"/>
                <w:insideV w:val="none"/>
              </w:tblBorders>
            </w:tblPr>
            <w:tblGrid>
              <w:gridCol w:w="324"/>
              <w:gridCol w:w="1575"/>
              <w:gridCol w:w="648"/>
            </w:tblGrid>
            <w:tr>
              <w:tc>
                <w:tcPr>
                  <w:tcW w:type="dxa" w:w="324"/>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1575"/>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数据项名称</w:t>
                  </w:r>
                </w:p>
              </w:tc>
              <w:tc>
                <w:tcPr>
                  <w:tcW w:type="dxa" w:w="648"/>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备注</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both"/>
                  </w:pPr>
                  <w:r>
                    <w:rPr>
                      <w:rFonts w:ascii="仿宋_GB2312" w:hAnsi="仿宋_GB2312" w:cs="仿宋_GB2312" w:eastAsia="仿宋_GB2312"/>
                      <w:sz w:val="21"/>
                    </w:rPr>
                    <w:t>路线代码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both"/>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路段起点名称</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起点是否为分界点</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起点分界点类别</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路段止点名称</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止点是否为分界点</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止点分界点类别</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里程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地貌</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路段断链类型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收费性质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路段省际出入口标识</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抗震等级</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设计洪水频率</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高边坡段位数量(处)</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高边坡段位长度(延米)</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路段技术等级</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路段面层类型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路段路基宽度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路段路面宽度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路段车道分类</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路段车道数量</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路段面层厚度(厘米)</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路段设计时速</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路段是否为分离式路段</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路段是否为一幅高速</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路段是否为断头路</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路段是否为城管路段</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路段是否为晴雨通车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是否按干线公路管养</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养护里程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路段养护类型_按资金来源</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可绿化里程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已绿化里程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涵洞(道)</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涵洞(延米)</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是否渡口路段</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是否机动渡口</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已实施GBM里程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已实施文明样板路里程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年平均日交通量(辆/日)</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管理单位性质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养护单位名称</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监管单位名称</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修建年度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改建年度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最近一次修复养护年度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开工日期</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通车日期</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竣工验收日期</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被重复路线代码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被重复路段起点桩号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被重复路段止点桩号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被重复路段是否为长链</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路网调整前路线代码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路网调整前路段起点桩号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路网调整前路段止点桩号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路网调整说明</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上年路线代码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上年路段起点桩号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上年路段止点桩号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上年路段技术等级</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上年路段面层类型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上年路段路基宽度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上年路段路面宽度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上年路段车道分类</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路段地方名称</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路段编号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路段唯一ID</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匝道起点主线代码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匝道起点出入口类型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匝道止点主线代码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匝道止点出入口类型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起点经度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起点纬度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止点经度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止点纬度</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是否纳入年报统计</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数据新增状态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新增事由及审批意见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数据删除状态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both"/>
                  </w:pPr>
                  <w:r>
                    <w:rPr>
                      <w:rFonts w:ascii="仿宋_GB2312" w:hAnsi="仿宋_GB2312" w:cs="仿宋_GB2312" w:eastAsia="仿宋_GB2312"/>
                      <w:sz w:val="21"/>
                    </w:rPr>
                    <w:t>删除事由及审批意见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both"/>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99</w:t>
                  </w:r>
                </w:p>
              </w:tc>
              <w:tc>
                <w:tcPr>
                  <w:tcW w:type="dxa" w:w="1575"/>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648"/>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（2）农村公路安防工程实施情况</w:t>
            </w:r>
          </w:p>
          <w:tbl>
            <w:tblPr>
              <w:tblBorders>
                <w:top w:val="none" w:color="000000" w:sz="4"/>
                <w:left w:val="none" w:color="000000" w:sz="4"/>
                <w:bottom w:val="none" w:color="000000" w:sz="4"/>
                <w:right w:val="none" w:color="000000" w:sz="4"/>
                <w:insideH w:val="none"/>
                <w:insideV w:val="none"/>
              </w:tblBorders>
            </w:tblPr>
            <w:tblGrid>
              <w:gridCol w:w="324"/>
              <w:gridCol w:w="1575"/>
              <w:gridCol w:w="648"/>
            </w:tblGrid>
            <w:tr>
              <w:tc>
                <w:tcPr>
                  <w:tcW w:type="dxa" w:w="324"/>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75"/>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数据项名称</w:t>
                  </w:r>
                </w:p>
              </w:tc>
              <w:tc>
                <w:tcPr>
                  <w:tcW w:type="dxa" w:w="648"/>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both"/>
                  </w:pPr>
                  <w:r>
                    <w:rPr>
                      <w:rFonts w:ascii="仿宋_GB2312" w:hAnsi="仿宋_GB2312" w:cs="仿宋_GB2312" w:eastAsia="仿宋_GB2312"/>
                      <w:sz w:val="21"/>
                    </w:rPr>
                    <w:t>年份</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both"/>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路段类型(安防)</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是否需要实施安防工程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是否已实施安防工程</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标志是否齐全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标线是否齐全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护栏是否齐全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减速带是否齐全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示警墩/桩是否齐全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限高设施是否齐全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限宽设施是否齐全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视距设施</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错车道</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其他安防设施是否齐全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平交路口个数(个)</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平交路口减速带数量(个)</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575"/>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648"/>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575"/>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648"/>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（3）桥梁概况属性信息</w:t>
            </w:r>
          </w:p>
          <w:tbl>
            <w:tblPr>
              <w:tblBorders>
                <w:top w:val="none" w:color="000000" w:sz="4"/>
                <w:left w:val="none" w:color="000000" w:sz="4"/>
                <w:bottom w:val="none" w:color="000000" w:sz="4"/>
                <w:right w:val="none" w:color="000000" w:sz="4"/>
                <w:insideH w:val="none"/>
                <w:insideV w:val="none"/>
              </w:tblBorders>
            </w:tblPr>
            <w:tblGrid>
              <w:gridCol w:w="328"/>
              <w:gridCol w:w="1720"/>
              <w:gridCol w:w="506"/>
            </w:tblGrid>
            <w:tr>
              <w:tc>
                <w:tcPr>
                  <w:tcW w:type="dxa" w:w="328"/>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720"/>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06"/>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桥梁编号</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桥梁所在地名</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桥梁中心桩号</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按使用年限分类</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按跨径分类</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收费性质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桥梁用途分类</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桥梁所在位置</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匝道桥行车方向</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是否为宽路窄桥</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是否为漫水桥</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是否在长大桥梁目录中</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跨越地物类型</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跨越地物名称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下穿通道名</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下穿通道桩号</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是否互通立交</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立交桥连通路线代码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立交桥跨越路线代码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是否公铁立交</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是否公铁两用桥</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是否有健康监测系统</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桥梁全长(米)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跨径总长(米)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单孔最大跨径(米)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跨径组合(孔*米)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桥梁全宽(米)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桥面全宽(米)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桥面净宽(米)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车行道宽(米)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人行道宽(米)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桥面标高(米)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桥上净高(米)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桥梁坡度(%)</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桥梁平曲线半径(米)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引道总宽(米)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引道曲线半径(米)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护栏或防撞墙高度(米)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中央分隔带宽度(米)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桥梁孔数(孔)</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主桥孔数(孔)</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主桥主跨(米)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主桥边跨(米)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前引桥长(米)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后引桥长(米)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桥梁高度(米)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桥下净空(米)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桥面纵坡</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管理单位性质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管理单位联系电话</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养护单位联系电话</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桥梁养护工程师姓名</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监管单位名称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监管单位联系电话</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执法单位名称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执法单位联系电话</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桥梁养护检查等级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桥梁技术状况评定等级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桥梁技术状况评定日期</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桥梁技术状况评定单位名称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桥梁最近定期检查日期</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桥梁当前主要病害部位</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桥梁当前主要病害描述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采取交通管制措施</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评定为四五类桥梁的原因</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最近改建(造)年度</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最近改造部位(桥梁)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最近改造工程性质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最近改造施工单位名称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最近改造是否为危桥改造</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最近改造完工日期</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最近改造是否为部补项目</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是否为拆除重建桥梁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拆除重建年度</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桥梁上部结构类型(主桥主跨)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桥梁上部结构材料(主桥主跨)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桥墩类型(主桥主跨)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是否独柱墩</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墩台防撞设施类型</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桥梁防船撞设施类型</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抗震等级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设计荷载等级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通行载重</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桥梁验算荷载</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中央分隔带护栏防撞等级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路侧护栏防撞等级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翼墙、耳墙</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锥坡</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护坡</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河床</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调治构造物</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引桥基础类型</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主桥截面型式</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引桥截面型式</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桥位地形</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桥梁弯坡斜特征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拱桥矢跨比</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通航等级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设计洪水频率</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设计洪水位(米)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历史洪水位(米)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寻常洪水位(米)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常年水位(米)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河床地质</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河床变迁情况</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河床最低标高(米)</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桥梁施工批复文号</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桥梁总造价(万元）</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开工日期</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竣工日期</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通车日期</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建成通车年度</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建设单位名称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施工单位名称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监理单位名称</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桥梁设计图纸</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桥梁设计文件</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桥梁竣工图纸</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桥梁施工文件</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桥梁验收文件</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桥梁行政审批文件</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是否公路界河桥梁(国界)</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是否跨省桥梁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桥梁链接省份(己方、对方)</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是否共同管养桥梁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起点桩号(本省管理养护桥梁部分)</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终点桩号(本省管理养护桥梁部分)</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管养长度(米)(本省管理养护桥梁部分)</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桥梁代码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桥梁身份码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桥梁唯一ID</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桥梁中心位置经度</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桥梁中心位置纬度</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桥梁正面照片</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桥梁立面照片</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桥梁典型照片</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上年桥梁代码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上年桥梁技术状况评定等级</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是否纳入年报统计</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数据删除状态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删除事由及审批意见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152</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数据新增状态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153</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新增事由及审批意见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154</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155</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156</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157</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158</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159</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160</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161</w:t>
                  </w:r>
                </w:p>
              </w:tc>
              <w:tc>
                <w:tcPr>
                  <w:tcW w:type="dxa" w:w="172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06"/>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8"/>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162</w:t>
                  </w:r>
                </w:p>
              </w:tc>
              <w:tc>
                <w:tcPr>
                  <w:tcW w:type="dxa" w:w="1720"/>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06"/>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（4）桥梁上部结构属性信息</w:t>
            </w:r>
          </w:p>
          <w:tbl>
            <w:tblPr>
              <w:tblBorders>
                <w:top w:val="none" w:color="000000" w:sz="4"/>
                <w:left w:val="none" w:color="000000" w:sz="4"/>
                <w:bottom w:val="none" w:color="000000" w:sz="4"/>
                <w:right w:val="none" w:color="000000" w:sz="4"/>
                <w:insideH w:val="none"/>
                <w:insideV w:val="none"/>
              </w:tblBorders>
            </w:tblPr>
            <w:tblGrid>
              <w:gridCol w:w="314"/>
              <w:gridCol w:w="1688"/>
              <w:gridCol w:w="551"/>
            </w:tblGrid>
            <w:tr>
              <w:tc>
                <w:tcPr>
                  <w:tcW w:type="dxa" w:w="314"/>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88"/>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51"/>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桥梁编号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桥梁孔号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是否包含主桥主跨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桥梁上部结构类型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桥梁上部结构材料</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桥面板位</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受力形式(上部结构)</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桥面铺装类型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上部构件集合</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上部构件唯一ID</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88"/>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51"/>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（5）桥梁下部结构属性信息</w:t>
            </w:r>
          </w:p>
          <w:tbl>
            <w:tblPr>
              <w:tblBorders>
                <w:top w:val="none" w:color="000000" w:sz="4"/>
                <w:left w:val="none" w:color="000000" w:sz="4"/>
                <w:bottom w:val="none" w:color="000000" w:sz="4"/>
                <w:right w:val="none" w:color="000000" w:sz="4"/>
                <w:insideH w:val="none"/>
                <w:insideV w:val="none"/>
              </w:tblBorders>
            </w:tblPr>
            <w:tblGrid>
              <w:gridCol w:w="314"/>
              <w:gridCol w:w="1688"/>
              <w:gridCol w:w="551"/>
            </w:tblGrid>
            <w:tr>
              <w:tc>
                <w:tcPr>
                  <w:tcW w:type="dxa" w:w="314"/>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88"/>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51"/>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桥梁编号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分类(桥墩/桥台)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桥梁墩台号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是否包含主桥主跨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桥墩类型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桥墩材料</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桥台类型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桥台材料</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受力形式(桥墩/桥台)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桥梁基础类型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桥梁基础材料</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基础施工方式</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墩身每墩个数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有无盖梁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有无系梁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有无伸缩缝</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伸缩缝类型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支座每墩排数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支座每排个数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支座类型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下部构件唯一ID</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688"/>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51"/>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（6）隧道基础属性信息</w:t>
            </w:r>
          </w:p>
          <w:tbl>
            <w:tblPr>
              <w:tblBorders>
                <w:top w:val="none" w:color="000000" w:sz="4"/>
                <w:left w:val="none" w:color="000000" w:sz="4"/>
                <w:bottom w:val="none" w:color="000000" w:sz="4"/>
                <w:right w:val="none" w:color="000000" w:sz="4"/>
                <w:insideH w:val="none"/>
                <w:insideV w:val="none"/>
              </w:tblBorders>
            </w:tblPr>
            <w:tblGrid>
              <w:gridCol w:w="314"/>
              <w:gridCol w:w="1688"/>
              <w:gridCol w:w="551"/>
            </w:tblGrid>
            <w:tr>
              <w:tc>
                <w:tcPr>
                  <w:tcW w:type="dxa" w:w="314"/>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88"/>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51"/>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隧道编号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隧道所在地名</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隧道入口桩号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隧道中心桩号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按隧道长度分类</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隧道养护等级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隧道所在位置</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是否水下隧道</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是否在长大隧道目录中</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抗震等级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设计洪水频率</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隧道设计时速(km/h)</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隧道长度(米)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隧道全宽(米)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隧道净宽(米)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隧道净高(米)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最大纵坡(%)</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隧道车道数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单车道宽度(米)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人行道宽(米)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车道总宽度(米)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检修道</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检修道宽度(米)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隧道安全通道数量(个)</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人行横洞数量</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车行横洞数量</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紧急停车带数量</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施工工法</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进洞门类型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出洞门类型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围岩等级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衬砌材料</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衬砌类型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断面形式</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隧道路面类型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隧道防排水类型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是否有逃生通道</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交通工程与附属设施配置等级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机电设施类别</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共用机电设施的隧道ID</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隧道通风</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通风控制方式</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隧道照明</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照明设施控制方式</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隧道电子设备</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进洞口防护和过渡</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出洞口防护和过滤</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管理单位性质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监管单位名称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建设单位名称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施工单位名称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监理单位名称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设计批复文件</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交竣工图纸</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开工日期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竣工日期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通车日期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建成通车年度</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最近改建(造)年度</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最近改造工程性质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最近改造部位(隧道)</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最近改造完工日期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最近改造施工单位名称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最近改造是否为部补项目</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隧道施工批复文号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隧道总造价(万元）</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隧道土建结构造价(万元）</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隧道交通工程与附属设施造价(万元）</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隧道技术总体评定等级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隧道技术总体评定日期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隧道技术总体评定单位名称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隧道土建结构技术评定等级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隧道土建结构技术评定日期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隧道土建结构技术评定单位名称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隧道机电设施是否存在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隧道机电设施技术评定等级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隧道机电设施技术评定日期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隧道机电设施技术评定单位名称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隧道其他工程设施是否存在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隧道其他工程设施技术评定等级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隧道其他工程设施技术评定日期</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隧道其他工程设施技术评定单位名称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隧道当前主要病害位置</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隧道当前主要病害描述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是否跨省隧道</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隧道链接省份(己方、对方)</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是否共同管养隧道</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起点桩号(本省管理养护隧道部分)</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终点桩号(本省管理养护隧道部分)</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管养长度(米)(本省管理养护隧道部分)</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隧道代码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隧道唯一ID</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新桥隧道唯一ID</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隧道入口位置经度</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隧道入口位置纬度</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隧道洞口照片</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隧道洞内照片</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隧道典型照片</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上年隧道代码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上年隧道技术总体评定等级</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是否纳入年报统计</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数据新增状态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新增事由及审批意见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114</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数据删除状态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115</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删除事由及审批意见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116</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117</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118</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119</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120</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121</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122</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123</w:t>
                  </w:r>
                </w:p>
              </w:tc>
              <w:tc>
                <w:tcPr>
                  <w:tcW w:type="dxa" w:w="168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4"/>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124</w:t>
                  </w:r>
                </w:p>
              </w:tc>
              <w:tc>
                <w:tcPr>
                  <w:tcW w:type="dxa" w:w="1688"/>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51"/>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（7）隧道机电设施属性信息</w:t>
            </w:r>
          </w:p>
          <w:tbl>
            <w:tblPr>
              <w:tblBorders>
                <w:top w:val="none" w:color="000000" w:sz="4"/>
                <w:left w:val="none" w:color="000000" w:sz="4"/>
                <w:bottom w:val="none" w:color="000000" w:sz="4"/>
                <w:right w:val="none" w:color="000000" w:sz="4"/>
                <w:insideH w:val="none"/>
                <w:insideV w:val="none"/>
              </w:tblBorders>
            </w:tblPr>
            <w:tblGrid>
              <w:gridCol w:w="339"/>
              <w:gridCol w:w="1642"/>
              <w:gridCol w:w="572"/>
            </w:tblGrid>
            <w:tr>
              <w:tc>
                <w:tcPr>
                  <w:tcW w:type="dxa" w:w="339"/>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42"/>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72"/>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隧道编号</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隧道名称</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机电设施类别</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机电设施名称(原)</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机电设施名称</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机电设施编号</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光源类别（照明设施）</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桩号（设施起点或点状设施点位）</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桩号（设施止点）</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机电设施数量</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机电设施ID</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42"/>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72"/>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（8）隧道交安设施属性信息</w:t>
            </w:r>
          </w:p>
          <w:tbl>
            <w:tblPr>
              <w:tblBorders>
                <w:top w:val="none" w:color="000000" w:sz="4"/>
                <w:left w:val="none" w:color="000000" w:sz="4"/>
                <w:bottom w:val="none" w:color="000000" w:sz="4"/>
                <w:right w:val="none" w:color="000000" w:sz="4"/>
                <w:insideH w:val="none"/>
                <w:insideV w:val="none"/>
              </w:tblBorders>
            </w:tblPr>
            <w:tblGrid>
              <w:gridCol w:w="339"/>
              <w:gridCol w:w="1642"/>
              <w:gridCol w:w="572"/>
            </w:tblGrid>
            <w:tr>
              <w:tc>
                <w:tcPr>
                  <w:tcW w:type="dxa" w:w="339"/>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42"/>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72"/>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隧道编号</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隧道名称</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交安设施类别</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交安设施名称分类</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其他特有设施名称</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交安设施编号</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交安设施数量</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交安设施桩号</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交安设施ID</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42"/>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72"/>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（9）涵洞属性信息</w:t>
            </w:r>
          </w:p>
          <w:tbl>
            <w:tblPr>
              <w:tblBorders>
                <w:top w:val="none" w:color="000000" w:sz="4"/>
                <w:left w:val="none" w:color="000000" w:sz="4"/>
                <w:bottom w:val="none" w:color="000000" w:sz="4"/>
                <w:right w:val="none" w:color="000000" w:sz="4"/>
                <w:insideH w:val="none"/>
                <w:insideV w:val="none"/>
              </w:tblBorders>
            </w:tblPr>
            <w:tblGrid>
              <w:gridCol w:w="339"/>
              <w:gridCol w:w="1642"/>
              <w:gridCol w:w="572"/>
            </w:tblGrid>
            <w:tr>
              <w:tc>
                <w:tcPr>
                  <w:tcW w:type="dxa" w:w="339"/>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42"/>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72"/>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涵洞编号</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涵洞中心桩号</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涵洞类型</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涵洞入洞口形式</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涵洞出洞口形式</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涵洞长度(米)</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涵洞净高(米)</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涵洞洞身长(米)</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拱圈、板厚(米)</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洞顶填土厚(米)</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涵洞护底长度(米)</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涵洞孔数</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涵底纵坡(%)</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通车日期</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建成通车年度</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数据删除状态</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涵洞位置经度</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涵洞位置纬度</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涵洞入口正面照片</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涵洞出口正面照片</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3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6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7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39"/>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642"/>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72"/>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（10）渡口属性信息</w:t>
            </w:r>
          </w:p>
          <w:tbl>
            <w:tblPr>
              <w:tblBorders>
                <w:top w:val="none" w:color="000000" w:sz="4"/>
                <w:left w:val="none" w:color="000000" w:sz="4"/>
                <w:bottom w:val="none" w:color="000000" w:sz="4"/>
                <w:right w:val="none" w:color="000000" w:sz="4"/>
                <w:insideH w:val="none"/>
                <w:insideV w:val="none"/>
              </w:tblBorders>
            </w:tblPr>
            <w:tblGrid>
              <w:gridCol w:w="319"/>
              <w:gridCol w:w="1672"/>
              <w:gridCol w:w="562"/>
            </w:tblGrid>
            <w:tr>
              <w:tc>
                <w:tcPr>
                  <w:tcW w:type="dxa" w:w="319"/>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72"/>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62"/>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渡口编号</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渡口名称</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河流名称</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渡口桩号</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渡口种类</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渡口分类</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渡口宽度(米)</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河流宽度(米)</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管理单位性质</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修建年度</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改建年度</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码头数量(座)</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最大渡运量</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渡口职工人数</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渡口职工_管理人员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渡口职工_渡工</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全年渡运车辆(辆)</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年均日渡运车辆(辆)</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最多一日渡运车辆(辆)</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全年渡运航行量_数量(次)</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全年油料消耗_柴油(千克)</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全年油料消耗_机油(千克)</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年过渡费收入(万元)</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拖轮_数量(艘)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拖轮_净载重量(吨位)</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拖轮_功率(千瓦)</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推轮_数量(艘)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机动驳_数量(艘)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非机动驳_数量(艘)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人力渡船_数量(艘)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其他渡船_ 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机动渡船_数量(艘)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机动渡船_净载重量(吨位)</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机动渡船_总功率(千瓦)</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非机动渡船_数量(艘)</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非机动渡船_净载重量(吨位)</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非机动渡船_功率(千瓦)</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渡口代码</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上年渡口代码</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渡口唯一ID</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是否纳入年报统计</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数据删除状态</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渡口位置经度</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渡口位置纬度</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54</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56</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57</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58</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59</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9"/>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60</w:t>
                  </w:r>
                </w:p>
              </w:tc>
              <w:tc>
                <w:tcPr>
                  <w:tcW w:type="dxa" w:w="167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62"/>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19"/>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61</w:t>
                  </w:r>
                </w:p>
              </w:tc>
              <w:tc>
                <w:tcPr>
                  <w:tcW w:type="dxa" w:w="1672"/>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62"/>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（11）公路管养机构信息</w:t>
            </w:r>
          </w:p>
          <w:tbl>
            <w:tblPr>
              <w:tblBorders>
                <w:top w:val="none" w:color="000000" w:sz="4"/>
                <w:left w:val="none" w:color="000000" w:sz="4"/>
                <w:bottom w:val="none" w:color="000000" w:sz="4"/>
                <w:right w:val="none" w:color="000000" w:sz="4"/>
                <w:insideH w:val="none"/>
                <w:insideV w:val="none"/>
              </w:tblBorders>
            </w:tblPr>
            <w:tblGrid>
              <w:gridCol w:w="358"/>
              <w:gridCol w:w="1644"/>
              <w:gridCol w:w="551"/>
            </w:tblGrid>
            <w:tr>
              <w:tc>
                <w:tcPr>
                  <w:tcW w:type="dxa" w:w="358"/>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44"/>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51"/>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公路管理机构编码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公路管理机构名称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办公地址</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管理人员(人)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工勤人员(人)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正式在编人员(人)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借调人员(人)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办公楼结构类型</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建筑层数(层)</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总间数</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占地面积(亩)</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建筑面积(平方米)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使用面积(平方米)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办公用房合计(平方米)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办公面积(平方米)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实际人均办公面积(平方米)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门厅面积(平方米)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信息化用房面积(平方米)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图书室面积(平方米)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档案室面积(平方米)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会议室面积(平方米)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卫生间面积(平方米)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电梯间面积(平方米)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食堂面积(平方米)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库房面积(平方米)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宿舍面积(平方米)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修建年度</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最近一次维修改造年份(年)</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累计投资(万元)</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目前办公楼使用情况及存在问题</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出租单位个数(个)</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出租面积(平方米)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下属单位个数(个)</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下属单位使用面积(平方米)</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使用人数(人)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58"/>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164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5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58"/>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1644"/>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51"/>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（12）机械化养护中心属性信息</w:t>
            </w:r>
          </w:p>
          <w:tbl>
            <w:tblPr>
              <w:tblBorders>
                <w:top w:val="none" w:color="000000" w:sz="4"/>
                <w:left w:val="none" w:color="000000" w:sz="4"/>
                <w:bottom w:val="none" w:color="000000" w:sz="4"/>
                <w:right w:val="none" w:color="000000" w:sz="4"/>
                <w:insideH w:val="none"/>
                <w:insideV w:val="none"/>
              </w:tblBorders>
            </w:tblPr>
            <w:tblGrid>
              <w:gridCol w:w="363"/>
              <w:gridCol w:w="1580"/>
              <w:gridCol w:w="611"/>
            </w:tblGrid>
            <w:tr>
              <w:tc>
                <w:tcPr>
                  <w:tcW w:type="dxa" w:w="36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80"/>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611"/>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养护中心编号</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养护中心名称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养护中心类别</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养护中心人数(人)</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占地面积(亩)</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建筑面积(平方米)</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办公面积(平方米)</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库房面积(平方米)</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厂场面积(平方米)</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管养里程(公里)</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辐射路线范围</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辐射国省道里程(公里)</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辐射其他公路里程(公里)</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主要职责和功能</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拌合厂及实验室名称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沥青路面作业队名称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水泥路面作业队名称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预防性养护作业队名称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绿化作业队名称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沿线设施及交通工程队伍名称</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580"/>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611"/>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6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580"/>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611"/>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（13）养护工区道班属性信息</w:t>
            </w:r>
          </w:p>
          <w:tbl>
            <w:tblPr>
              <w:tblBorders>
                <w:top w:val="none" w:color="000000" w:sz="4"/>
                <w:left w:val="none" w:color="000000" w:sz="4"/>
                <w:bottom w:val="none" w:color="000000" w:sz="4"/>
                <w:right w:val="none" w:color="000000" w:sz="4"/>
                <w:insideH w:val="none"/>
                <w:insideV w:val="none"/>
              </w:tblBorders>
            </w:tblPr>
            <w:tblGrid>
              <w:gridCol w:w="324"/>
              <w:gridCol w:w="1704"/>
              <w:gridCol w:w="525"/>
            </w:tblGrid>
            <w:tr>
              <w:tc>
                <w:tcPr>
                  <w:tcW w:type="dxa" w:w="324"/>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704"/>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25"/>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养护工区(道班)编号</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养护工区(道班)名称</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养护工区(道班)人数(人)</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管养里程(公里)</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占地面积(亩)</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建筑面积(平方米)</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办公面积(平方米)</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库房面积(平方米)</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厂场面积(平方米)</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卫生间面积(平方米)</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704"/>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25"/>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704"/>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25"/>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（14）高速公路服务区属性信息</w:t>
            </w:r>
          </w:p>
          <w:tbl>
            <w:tblPr>
              <w:tblBorders>
                <w:top w:val="none" w:color="000000" w:sz="4"/>
                <w:left w:val="none" w:color="000000" w:sz="4"/>
                <w:bottom w:val="none" w:color="000000" w:sz="4"/>
                <w:right w:val="none" w:color="000000" w:sz="4"/>
                <w:insideH w:val="none"/>
                <w:insideV w:val="none"/>
              </w:tblBorders>
            </w:tblPr>
            <w:tblGrid>
              <w:gridCol w:w="324"/>
              <w:gridCol w:w="1696"/>
              <w:gridCol w:w="533"/>
            </w:tblGrid>
            <w:tr>
              <w:tc>
                <w:tcPr>
                  <w:tcW w:type="dxa" w:w="324"/>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9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5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高速公路服务区编号</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高速公路服务区名称</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所在路线位置</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服务设施类型</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服务区服务内容</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管理(经营)单位名称</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电话</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建成日期</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占地面积(亩)</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服务大厅(平方米)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超市(平方米)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休息区(平方米)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公厕男(平方米)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公厕女(平方米)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餐厅就餐面积(平方米)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餐厅容纳人数(人)</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餐厅操作间面积(平方米)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客房房间(间)</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客房床位(张）</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加油机数量(个)</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停车位数量(个)</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停车场面积(平方米)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会议室(平方米)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会议室(间)</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服务区办公室(平方米)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服务区办公室(间)</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服务区宿舍(平方米)</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服务区宿舍(间)</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4"/>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69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4"/>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69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（15）高速公路出入口属性信息</w:t>
            </w:r>
          </w:p>
          <w:tbl>
            <w:tblPr>
              <w:tblBorders>
                <w:top w:val="none" w:color="000000" w:sz="4"/>
                <w:left w:val="none" w:color="000000" w:sz="4"/>
                <w:bottom w:val="none" w:color="000000" w:sz="4"/>
                <w:right w:val="none" w:color="000000" w:sz="4"/>
                <w:insideH w:val="none"/>
                <w:insideV w:val="none"/>
              </w:tblBorders>
            </w:tblPr>
            <w:tblGrid>
              <w:gridCol w:w="326"/>
              <w:gridCol w:w="1697"/>
              <w:gridCol w:w="530"/>
            </w:tblGrid>
            <w:tr>
              <w:tc>
                <w:tcPr>
                  <w:tcW w:type="dxa" w:w="326"/>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97"/>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指标名称</w:t>
                  </w:r>
                </w:p>
              </w:tc>
              <w:tc>
                <w:tcPr>
                  <w:tcW w:type="dxa" w:w="530"/>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出入口编号</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出入口名称</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出入口类型</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出入口位置</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出口连接地名</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出口连接旅游景点</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出入口连接路线代码</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出入口连接路线名称</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出入口连接路线桩号</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出口连接其他重要信息</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326"/>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69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530"/>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326"/>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697"/>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530"/>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（16）普通干线服务区属性信息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普通公路服务设施编码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普通公路服务设施名称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服务设施类型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服务设施布局形式</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经营模式</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占地面积(平方米)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停车场面积(平方米)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停车位数量(个)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是否有厕所</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是否有加油设施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是否有加气设施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是否有车辆充电设施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车辆充电设施数量(个)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是否有餐饮服务设施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是否有超市</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是否有住宿设施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是否有汽车维修</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（17）公路收费站属性信息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收费站编号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收费站位置类型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收费性质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收费站收费方向</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收费路段起点地名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收费路段止点桩号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收费路段止点地名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批准开始收费日期</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批准收费年限</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收费路段里程(公里)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收费桥、隧长度(延米)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产权单位代码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产权单位名称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监督电话</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建成日期</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收费站所在分公司</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收费站所在管理所</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收费站入口车道数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收费站入口ETC车道数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收费站出口车道数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收费站出口ETC车道数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收费站大棚型材类型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收费大棚面积(平方米)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收费站广场砼路面(平方米)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收费站广场标线(平方米)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收费站高杆灯(个)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收费站棚顶灯(个)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收费站防雾灯(个)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收费站拦道机(个)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收费亭数量(个)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收费岛数量(个)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（18）公路治超站属性信息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治超检测站编号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治超检测站名称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所在路线位置</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治超检测站类别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治超站监控方向</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是否与收费站结合</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是否为固定治超站</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是否有高速预检</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精确检测车道数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治超站人数(人)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管理(经营)单位名称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单位负责人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电话</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建成日期</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（19）桥梁属性变更信息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桥梁中心桩号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桥梁变更类型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变更日期</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变更后</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变更原因说明</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桥梁唯一ID</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（20）隧道属性变更信息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隧道入口桩号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隧道变更类型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变更日期</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变更后</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变更原因说明</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隧道唯一ID</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公路综合数据项内容</w:t>
            </w:r>
          </w:p>
          <w:p>
            <w:pPr>
              <w:pStyle w:val="null3"/>
              <w:ind w:firstLine="480"/>
              <w:jc w:val="left"/>
            </w:pPr>
            <w:r>
              <w:rPr>
                <w:rFonts w:ascii="仿宋_GB2312" w:hAnsi="仿宋_GB2312" w:cs="仿宋_GB2312" w:eastAsia="仿宋_GB2312"/>
                <w:sz w:val="24"/>
              </w:rPr>
              <w:t>公路综合统计数据分类及内容，包括但不限于以下内容。</w:t>
            </w:r>
          </w:p>
          <w:p>
            <w:pPr>
              <w:pStyle w:val="null3"/>
              <w:spacing w:before="120"/>
              <w:ind w:firstLine="480"/>
              <w:jc w:val="left"/>
            </w:pPr>
            <w:r>
              <w:rPr>
                <w:rFonts w:ascii="仿宋_GB2312" w:hAnsi="仿宋_GB2312" w:cs="仿宋_GB2312" w:eastAsia="仿宋_GB2312"/>
                <w:sz w:val="24"/>
              </w:rPr>
              <w:t>（1）单位基本信息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单位性质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单位类型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是否贫困县</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是否民族地区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单位负责人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统计负责人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统计负责人编号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填报人编号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填报人联系电话</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审核人联系电话</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电话</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传真</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邮政编码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地址</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网址</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电子邮箱</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（2）主管单位部门联系信息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部门处室</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姓名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职务</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电话</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传真</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地址</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邮政编码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（3）路线信息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路线起点名称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路线止点桩号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路线止点名称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路线途经主控点</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（4）交通工程及沿线设施统计信息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柱式标志数量（个）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柱式标志支撑结构数量（个）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门架式标志数量（个）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门架式标志支撑结构数量（个）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悬臂式标志数量（个）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悬臂式标志支撑结构数量（个）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附着式标志数量（个）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附着式标志支撑结构数量（个）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其他标志数量（个）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其他标志支撑结构数量（个）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禁令标志（个）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指示标志（个）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警告标志（个）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指路标志（个）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旅游区标志（个）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告示标志（个）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辅助标志（个）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波形梁护栏（公里）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混凝土护栏（公里）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缆索护栏（公里）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路侧护栏（公里）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中央分隔带护栏（公里）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中央分隔带开口护栏（公里）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侧分隔带护栏（公里）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桥梁护栏（公里）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标线（平方米）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防落物网（公里）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防落石网（公里）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限高设施（个）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限宽设施（个）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服务区（站）（个）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停车区（站）（个）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环境保护设施_声屏障（公里）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（5）公路密度及乡村通畅统计信息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里程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总人口(万人)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国土面积(百平方公里)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已通畅乡(镇)数量(个)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已通达、未通畅乡(镇)数量(个)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未通达乡(镇)数量(个)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已通畅建制村数量(个)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已通达、未通畅建制村数量(个)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未通达建制村数量(个)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已通畅自然村(组)数量(个)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未通畅自然村(组)数量(个)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（6）高速公路管养机构人员统计信息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单位类型(高速公路)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在岗职工_事业身份人员(按身份分)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在岗职工_合同制人员(按身份分)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在岗职工_管理人员(按工种分)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在岗职工_专业技术人员(按工种分)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在岗职工_一般工程技术人员(按工种分)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在岗职工_劳务人员(按工种分)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劳务派遣及其他人员_管理人员(按工种分)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劳务派遣及其他人员_专业技术人员(按工种分)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劳务派遣及其他人员_一般工程技术人员(按工种分)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劳务派遣及其他人员_劳务人员(按工种分)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（7）普通干线公路管养机构人员统计信息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单位类型(普通国省干线)</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在岗职工_事业身份人员(按身份分)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在岗职工_合同制人员(按身份分)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在岗职工_管理人员(按工种分)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在岗职工_专业技术人员(按工种分)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在岗职工_一般工程技术人员(按工种分)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在岗职工_劳务人员(按工种分)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劳务派遣及其他人员_管理人员(按工种分)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劳务派遣及其他人员_专业技术人员(按工种分)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劳务派遣及其他人员_一般工程技术人员(按工种分)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劳务派遣及其他人员_劳务人员(按工种分)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（8）农村公路管养机构人员统计信息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单位类型(农村公路)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是否同时管养国省干线</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在岗职工_事业身份人员(按身份分)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在岗职工_合同制人员(按身份分)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其他人员(按身份分)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在岗职工_管理人员(按工种分)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在岗职工_专业技术人员(按工种分)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在岗职工_一般工程技术人员(按工种分)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在岗职工_劳务人员(按工种分)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劳务派遣及其他人员_管理人员(按工种分)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劳务派遣及其他人员_专业技术人员(按工种分)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劳务派遣及其他人员_一般工程技术人员(按工种分)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劳务派遣及其他人员_劳务人员(按工种分)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（9）四好农村路岗位就业信息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就业岗位类别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就业岗位名称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岗位主要工作内容</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岗位数量(个)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脱贫户数量(户)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平均年龄</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平均年收入(元)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就业投入主要资金来源</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（10）四好农村路路长制执行统计信息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县级总路长职务</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县级路长数量(人)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乡级路长数量(人)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村级路长数量(人)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县道路长公示牌设置数量(块)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乡道路长公示牌设置数量(块)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村道路长公示牌设置数量(块)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是否应用信息化</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（11）高速及普通国省道养护资金来源信息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技术行政等级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3</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养护资金支出类型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4</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成品油税费改革替代性返还资金(万元)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5</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成品油税费改革增长性补助资金(万元)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6</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交通运输领域重点项目资金和专项资金(万元)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7</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政府还贷二级公路取消收费后补助资金(万元)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8</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其他中央财政资金(万元)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9</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10</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省级财政资金(万元)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其中：(省级)政府还贷公路通行费(万元)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市级财政资金(万元)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13</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其中：(市级)政府还贷公路通行费(万元)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县级及以下财政预算(万元)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其中：(县级及以下)政府还贷公路通行费(万元)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经营性公路通行费(万元)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自筹资金、社会融资等其他资金(万元)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14</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15</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16</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17</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18</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19</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20</w:t>
                  </w:r>
                </w:p>
              </w:tc>
            </w:tr>
          </w:tbl>
          <w:p>
            <w:pPr>
              <w:pStyle w:val="null3"/>
              <w:jc w:val="both"/>
            </w:pPr>
            <w:r>
              <w:rPr>
                <w:rFonts w:ascii="仿宋_GB2312" w:hAnsi="仿宋_GB2312" w:cs="仿宋_GB2312" w:eastAsia="仿宋_GB2312"/>
                <w:sz w:val="24"/>
              </w:rPr>
              <w:t>（12）农村公路养护资金来源信息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养护资金支出类型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成品油税费改革替代性返还资金(万元)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成品油税费改革增长性补助资金(万元)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交通运输领域重点项目资金和专项资金(万元)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政府还贷二级公路取消收费后补助资金(万元)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其他中央财政资金(万元)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省级财政资金(万元)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其中：(省级)政府还贷公路通行费(万元)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市级财政资金(万元)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其中：(市级)政府还贷公路通行费(万元)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县级及以下财政预算(万元)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其中：(县级及以下)政府还贷公路通行费(万元)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经营性公路通行费(万元)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自筹资金、社会融资等其他资金(万元)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（13）干线公路日常养护统计信息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日常养护费(万元)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日常绿化资金投入(万元)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信息化系统维护投入(万元)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生产及照明用电支出(万元)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本年养护里程(公里)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本年日常绿化里程(公里)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（14）农村公路日常养护统计信息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技术行政等级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日常养护费(万元)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日常绿化资金投入(万元)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信息化系统维护投入(万元)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生产及照明用电支出(万元)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本年养护里程(公里)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本年日常绿化里程(公里)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（15）公路养护工程统计（季报）</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年月</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技术行政等级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路基路面工程_累计完成投资(万元)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路基路面工程_累计完成养护车道里程(公里)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桥梁工程_累计完成投资(万元)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桥梁工程_累计完成桥梁座数(座)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桥梁工程_对应桥梁全长(延米)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隧道工程_累计完成投资(万元)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隧道工程_累计完成隧道道数(道)</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隧道工程_对应隧道全长(延米)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累计完成其他投资(万元)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累计完成绿化投资(万元)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（16）公路养护工程项目信息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技术行政等级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项目名称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是否多项目打包</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计划总投资(万元)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本年完成总投资(万元)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预防养护_本年完成投资(万元)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预防养护_路基路面工程_本年完成投资(万元)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预防养护_路基路面工程_本年完成车道里程(公里)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预防养护_路基路面工程_本年完成养护面积(平方公里)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修复养护_路基路面工程_本年完成投资(万元)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修复养护_路基路面工程_本年完成车道里程(公里)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修复养护_路基路面工程_本年完成养护面积(平方公里)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修复养护_桥梁工程_本年完成投资(万元)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修复养护_桥梁工程_本年完成座数(座)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修复养护_桥梁工程_对应桥梁全长(延米)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修复养护_隧道工程_本年完成投资(万元)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修复养护_隧道工程_本年完成道数(道)</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修复养护_隧道工程_对应隧道全长(延米)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专项养护_本年完成投资(万元)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专项养护_本年完成车道里程(公里)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应急养护_本年完成投资(万元)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应急养护_本年完成车道里程(公里)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本年完成其他投资(万元)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本年完成绿化投资(万元)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废旧沥青路面材料循环利用率</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废旧沥青路面材料生成量(吨)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废旧沥青路面材料循环利用量(吨)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废旧沥青路面材料循环利用方式(本项目)</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废旧沥青路面材料实际用量(本项目)(吨)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（17）公路养护工程路线明细信息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技术行政等级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项目名称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包内项目序号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养护作业方向</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养护作业车道数(条)</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（18）公路新改建路线绿化投资统计信息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技术行政等级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本年完成绿化投资(万元)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left"/>
            </w:pPr>
            <w:r>
              <w:rPr>
                <w:rFonts w:ascii="仿宋_GB2312" w:hAnsi="仿宋_GB2312" w:cs="仿宋_GB2312" w:eastAsia="仿宋_GB2312"/>
                <w:sz w:val="24"/>
              </w:rPr>
              <w:t>（19）公路应急物资机具及养护机具信息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年份</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等级分类</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储备中心(点)序号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储备中心(点)名称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储备中心(点)类别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麻袋(编织袋)(万只)</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融雪剂(吨)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防滑料(吨)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防滑链(套)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应急机械化桥(台套)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应急模块化桥(台套)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应急动力舟桥(台套)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抛雪机(台套)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吹雪车(台套)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多功能破冰除雪车(台套)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除冰机(台套)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固定翼无人机(架)</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多旋翼无人机(架)</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大功率移动式排水泵(车)(台套)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高扬程移动式排水泵(车)(台套)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履带式全地形抢险救援工程车(台套)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多功能破障装备(台套)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应急机动路面(台套)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冲锋舟(台套)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动力皮划艇(台套)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多功能应急工具车(台套)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应急通讯车(台套)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应急通信指挥方舱(台套)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单兵应急通信装备(台套)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步履式挖掘机(台套)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长臂挖掘机(台套)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装载机(台套)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推土机(台套)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全地面起重机(台套)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自卸汽车(台套)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平板运输车(台套)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高空作业车(台套)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电源配电车(台套)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发电机组(台套)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移动照明设备(台套)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应急照明高杆设备(台套)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净水车(台套)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宿营车(台套)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炊事车(台套)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专用帐篷(台套)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应急加油车(台套)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应急维修车(台套)</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61</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（20）高速及普通国省道技术状况评定信息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年月</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检测方向</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路段长度(米)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路段技术等级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路段面层类型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评定结果(MQI)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路面(PQI）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路面分项(RQI)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路面分项(RDI)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路面分项(PBI)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路面分项(PWI)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路面分项(SRI)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路面分项(PSSI)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路基(SCI)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桥隧构造物(BCI)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沿线设施(TCI)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（21）农村公路技术状况评定信息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年月</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所在行政区划</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检测方向</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路段长度(米)</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路段技术等级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路段面层类型</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路段路面宽度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检测方式</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检测年度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评定标准</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评定结果(MQI)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路面(PQI）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路面分项(RQI)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路面分项(RDI)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路面分项(PBI)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路面分项(PWI)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路面分项(SRI)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路面分项(PSSI)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路基(SCI)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桥隧构造物(BCI)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沿线设施(TCI)</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（22）公路灾毁损失及抢通情况信息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灾毁分类</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技术行政等级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年月</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灾毁数量A</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灾毁数量B</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损失金额(万元)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已抢通公路(处)</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已抢通公路(条)</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抢通投入机械(台班)</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抢通投入资金(万元)</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抢通投入人工(工日)</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乡镇村居民点属性</w:t>
            </w:r>
          </w:p>
          <w:p>
            <w:pPr>
              <w:pStyle w:val="null3"/>
              <w:ind w:firstLine="480"/>
              <w:jc w:val="left"/>
            </w:pPr>
            <w:r>
              <w:rPr>
                <w:rFonts w:ascii="仿宋_GB2312" w:hAnsi="仿宋_GB2312" w:cs="仿宋_GB2312" w:eastAsia="仿宋_GB2312"/>
                <w:sz w:val="24"/>
              </w:rPr>
              <w:t>乡镇居民点属性数据项分类及内容，包括但不限于以下内容。</w:t>
            </w:r>
          </w:p>
          <w:p>
            <w:pPr>
              <w:pStyle w:val="null3"/>
              <w:spacing w:before="120"/>
              <w:ind w:firstLine="480"/>
              <w:jc w:val="left"/>
            </w:pPr>
            <w:r>
              <w:rPr>
                <w:rFonts w:ascii="仿宋_GB2312" w:hAnsi="仿宋_GB2312" w:cs="仿宋_GB2312" w:eastAsia="仿宋_GB2312"/>
                <w:sz w:val="24"/>
              </w:rPr>
              <w:t>（1）乡镇基本及其通达现状信息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乡(镇)代码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城乡类别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乡(镇)人口</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乡镇面积(平方公里)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所辖建制村数量</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所属地形</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岛屿是否兼有陆岛交通码头</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码头与陆地距离</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岛内是否建有公路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是否适宜通公路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不适宜通公路原因</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通达现状</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是否通三级及三级以上公路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上年乡(镇)代码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上年乡(镇)名称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是否纳入年报统计</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上年是否通三级及三级以上公路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（2）建制村基本及其通达现状信息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建制村人口</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所辖自然村村数量</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建制村面积(平方公里)</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城乡类别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所属地形</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岛屿是否兼有陆岛交通码头</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码头与陆地距离</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岛内是否建有公路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是否适宜通公路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不适宜通公路原因</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通达现状</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是否已通双车道及以上公路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上年建制村代码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上年建制村名称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是否纳入年报统计</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上年是否已通双车道及以上公路</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（3）自然村(组)通畅情况信息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自然村(组)人口</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自然村(组)户数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自然村(组)常住人口</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自然村(组)常住户数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自然村(组)通达现状</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自然村(组)通达路线行政等级</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优选通达路线名称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变更原因</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备注</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上年自然村(组)代码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上年自然村(组)名称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上年自然村(组)通达现状</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是否纳入年报统计</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数据维护单位级别</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数据审核状态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位置经度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位置纬度</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照片</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县级单位填报人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县级数据审核人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市级数据填报人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市级生产审核人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省级统计审核人</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省级生产审核人</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公路电子地图数据项</w:t>
            </w:r>
          </w:p>
          <w:p>
            <w:pPr>
              <w:pStyle w:val="null3"/>
              <w:ind w:firstLine="480"/>
              <w:jc w:val="left"/>
            </w:pPr>
            <w:r>
              <w:rPr>
                <w:rFonts w:ascii="仿宋_GB2312" w:hAnsi="仿宋_GB2312" w:cs="仿宋_GB2312" w:eastAsia="仿宋_GB2312"/>
                <w:sz w:val="24"/>
              </w:rPr>
              <w:t>公路电子地图数据项分类及内容，包括但不限于以下内容。</w:t>
            </w:r>
          </w:p>
          <w:p>
            <w:pPr>
              <w:pStyle w:val="null3"/>
              <w:spacing w:before="120"/>
              <w:ind w:firstLine="480"/>
              <w:jc w:val="left"/>
            </w:pPr>
            <w:r>
              <w:rPr>
                <w:rFonts w:ascii="仿宋_GB2312" w:hAnsi="仿宋_GB2312" w:cs="仿宋_GB2312" w:eastAsia="仿宋_GB2312"/>
                <w:sz w:val="24"/>
              </w:rPr>
              <w:t>（1）县道</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（2）乡道</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（3）村道</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spacing w:before="120"/>
              <w:jc w:val="left"/>
            </w:pPr>
            <w:r>
              <w:rPr>
                <w:rFonts w:ascii="仿宋_GB2312" w:hAnsi="仿宋_GB2312" w:cs="仿宋_GB2312" w:eastAsia="仿宋_GB2312"/>
                <w:sz w:val="24"/>
              </w:rPr>
              <w:t>（4）专用公路</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路段起点桩号</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路段止点桩号</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（5）桥梁</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桥梁中心桩号</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（6）隧道</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隧道入口桩号</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（7）渡口</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路线简称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渡口编码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渡口桩号</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（8）乡镇</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乡（镇）代码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乡（镇）名称</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（9）建制村</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名称</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bl>
          <w:p>
            <w:pPr>
              <w:pStyle w:val="null3"/>
              <w:jc w:val="both"/>
            </w:pPr>
            <w:r>
              <w:rPr>
                <w:rFonts w:ascii="仿宋_GB2312" w:hAnsi="仿宋_GB2312" w:cs="仿宋_GB2312" w:eastAsia="仿宋_GB2312"/>
                <w:sz w:val="24"/>
              </w:rPr>
              <w:t>（10）自然村（组）</w:t>
            </w:r>
          </w:p>
          <w:tbl>
            <w:tblPr>
              <w:tblBorders>
                <w:top w:val="none" w:color="000000" w:sz="4"/>
                <w:left w:val="none" w:color="000000" w:sz="4"/>
                <w:bottom w:val="none" w:color="000000" w:sz="4"/>
                <w:right w:val="none" w:color="000000" w:sz="4"/>
                <w:insideH w:val="none"/>
                <w:insideV w:val="none"/>
              </w:tblBorders>
            </w:tblPr>
            <w:tblGrid>
              <w:gridCol w:w="233"/>
              <w:gridCol w:w="1886"/>
              <w:gridCol w:w="433"/>
            </w:tblGrid>
            <w:tr>
              <w:tc>
                <w:tcPr>
                  <w:tcW w:type="dxa" w:w="233"/>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886"/>
                  <w:tcBorders>
                    <w:top w:val="single" w:color="000000" w:sz="12"/>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数据项名称</w:t>
                  </w:r>
                </w:p>
              </w:tc>
              <w:tc>
                <w:tcPr>
                  <w:tcW w:type="dxa" w:w="433"/>
                  <w:tcBorders>
                    <w:top w:val="single" w:color="000000" w:sz="12"/>
                    <w:left w:val="none" w:color="000000" w:sz="4"/>
                    <w:bottom w:val="single" w:color="000000" w:sz="8"/>
                    <w:right w:val="sing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管理单位名称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名称</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233"/>
                  <w:tcBorders>
                    <w:top w:val="none" w:color="000000" w:sz="4"/>
                    <w:left w:val="single" w:color="000000" w:sz="12"/>
                    <w:bottom w:val="single" w:color="000000" w:sz="8"/>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88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自然村（组）代码</w:t>
                  </w:r>
                </w:p>
              </w:tc>
              <w:tc>
                <w:tcPr>
                  <w:tcW w:type="dxa" w:w="433"/>
                  <w:tcBorders>
                    <w:top w:val="none" w:color="000000" w:sz="4"/>
                    <w:left w:val="none" w:color="000000" w:sz="4"/>
                    <w:bottom w:val="single" w:color="000000" w:sz="8"/>
                    <w:right w:val="single" w:color="000000" w:sz="12"/>
                  </w:tcBorders>
                  <w:tcMar>
                    <w:top w:type="dxa" w:w="0"/>
                    <w:left w:type="dxa" w:w="105"/>
                    <w:bottom w:type="dxa" w:w="0"/>
                    <w:right w:type="dxa" w:w="105"/>
                  </w:tcMar>
                </w:tcPr>
                <w:p>
                  <w:pPr>
                    <w:pStyle w:val="null3"/>
                    <w:jc w:val="left"/>
                  </w:pPr>
                </w:p>
              </w:tc>
            </w:tr>
            <w:tr>
              <w:tc>
                <w:tcPr>
                  <w:tcW w:type="dxa" w:w="233"/>
                  <w:tcBorders>
                    <w:top w:val="none" w:color="000000" w:sz="4"/>
                    <w:left w:val="single" w:color="000000" w:sz="12"/>
                    <w:bottom w:val="single" w:color="000000" w:sz="12"/>
                    <w:right w:val="single" w:color="000000" w:sz="8"/>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886"/>
                  <w:tcBorders>
                    <w:top w:val="none" w:color="000000" w:sz="4"/>
                    <w:left w:val="none" w:color="000000" w:sz="4"/>
                    <w:bottom w:val="single" w:color="000000" w:sz="12"/>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1"/>
                    </w:rPr>
                    <w:t>自然村（组）名称</w:t>
                  </w:r>
                </w:p>
              </w:tc>
              <w:tc>
                <w:tcPr>
                  <w:tcW w:type="dxa" w:w="433"/>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left"/>
                  </w:pPr>
                </w:p>
              </w:tc>
            </w:tr>
          </w:tbl>
          <w:p>
            <w:pPr>
              <w:pStyle w:val="null3"/>
              <w:jc w:val="both"/>
              <w:outlineLvl w:val="2"/>
            </w:pPr>
            <w:r>
              <w:rPr>
                <w:rFonts w:ascii="仿宋_GB2312" w:hAnsi="仿宋_GB2312" w:cs="仿宋_GB2312" w:eastAsia="仿宋_GB2312"/>
                <w:sz w:val="24"/>
                <w:b/>
              </w:rPr>
              <w:t>（二）调查或统计表式</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交通运输综合统计调查或统计表式</w:t>
            </w:r>
          </w:p>
          <w:tbl>
            <w:tblPr>
              <w:tblBorders>
                <w:top w:val="none" w:color="000000" w:sz="4"/>
                <w:left w:val="none" w:color="000000" w:sz="4"/>
                <w:bottom w:val="none" w:color="000000" w:sz="4"/>
                <w:right w:val="none" w:color="000000" w:sz="4"/>
                <w:insideH w:val="none"/>
                <w:insideV w:val="none"/>
              </w:tblBorders>
            </w:tblPr>
            <w:tblGrid>
              <w:gridCol w:w="575"/>
              <w:gridCol w:w="1978"/>
            </w:tblGrid>
            <w:tr>
              <w:tc>
                <w:tcPr>
                  <w:tcW w:type="dxa" w:w="575"/>
                  <w:tcMar>
                    <w:top w:type="dxa" w:w="30"/>
                    <w:left w:type="dxa" w:w="0"/>
                    <w:bottom w:type="dxa" w:w="30"/>
                    <w:right w:type="dxa" w:w="0"/>
                  </w:tcMar>
                </w:tcPr>
                <w:p>
                  <w:pPr>
                    <w:pStyle w:val="null3"/>
                    <w:jc w:val="center"/>
                  </w:pPr>
                  <w:r>
                    <w:rPr>
                      <w:rFonts w:ascii="仿宋_GB2312" w:hAnsi="仿宋_GB2312" w:cs="仿宋_GB2312" w:eastAsia="仿宋_GB2312"/>
                      <w:sz w:val="21"/>
                      <w:b/>
                    </w:rPr>
                    <w:t>报表表号</w:t>
                  </w:r>
                </w:p>
              </w:tc>
              <w:tc>
                <w:tcPr>
                  <w:tcW w:type="dxa" w:w="1978"/>
                  <w:tcBorders>
                    <w:top w:val="single" w:color="000000" w:sz="12"/>
                    <w:left w:val="none" w:color="000000" w:sz="4"/>
                    <w:bottom w:val="single" w:color="000000" w:sz="8"/>
                    <w:right w:val="single" w:color="000000" w:sz="12"/>
                  </w:tcBorders>
                  <w:tcMar>
                    <w:top w:type="dxa" w:w="30"/>
                    <w:left w:type="dxa" w:w="0"/>
                    <w:bottom w:type="dxa" w:w="30"/>
                    <w:right w:type="dxa" w:w="0"/>
                  </w:tcMar>
                </w:tcPr>
                <w:p>
                  <w:pPr>
                    <w:pStyle w:val="null3"/>
                    <w:jc w:val="center"/>
                  </w:pPr>
                  <w:r>
                    <w:rPr>
                      <w:rFonts w:ascii="仿宋_GB2312" w:hAnsi="仿宋_GB2312" w:cs="仿宋_GB2312" w:eastAsia="仿宋_GB2312"/>
                      <w:sz w:val="21"/>
                      <w:b/>
                    </w:rPr>
                    <w:t>报表名称</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交行统H101表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公路基础设施情况（年快报）</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交行统H102表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国道、省道基础设施情况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交行统H103表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专用公路基础设施情况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交行统H104表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农村公路基础设施情况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交行统H105表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农村公路路段变更明细情况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交行统H106表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农村公路桥梁变更明细情况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交行统H107表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农村公路隧道变更明细情况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交行统H108表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农村公路渡口变更明细情况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交行统H109表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农村公路安防设施明细情况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交行统H110表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乡（镇）通畅变更明细情况</w:t>
                  </w:r>
                </w:p>
              </w:tc>
            </w:tr>
            <w:tr>
              <w:tc>
                <w:tcPr>
                  <w:tcW w:type="dxa" w:w="575"/>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交行统H111表</w:t>
                  </w:r>
                </w:p>
              </w:tc>
              <w:tc>
                <w:tcPr>
                  <w:tcW w:type="dxa" w:w="1978"/>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建制村通畅变更明细情况</w:t>
                  </w:r>
                </w:p>
              </w:tc>
            </w:tr>
            <w:tr>
              <w:tc>
                <w:tcPr>
                  <w:tcW w:type="dxa" w:w="575"/>
                  <w:tcBorders>
                    <w:top w:val="none" w:color="000000" w:sz="4"/>
                    <w:left w:val="single" w:color="000000" w:sz="12"/>
                    <w:bottom w:val="single" w:color="000000" w:sz="12"/>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交行统H112表</w:t>
                  </w:r>
                </w:p>
              </w:tc>
              <w:tc>
                <w:tcPr>
                  <w:tcW w:type="dxa" w:w="1978"/>
                  <w:tcBorders>
                    <w:top w:val="none" w:color="000000" w:sz="4"/>
                    <w:left w:val="none" w:color="000000" w:sz="4"/>
                    <w:bottom w:val="single" w:color="000000" w:sz="12"/>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较大人口规模自然村（组）通达变更明细情况</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公路养护统计调查表式</w:t>
            </w:r>
          </w:p>
          <w:tbl>
            <w:tblPr>
              <w:tblBorders>
                <w:top w:val="none" w:color="000000" w:sz="4"/>
                <w:left w:val="none" w:color="000000" w:sz="4"/>
                <w:bottom w:val="none" w:color="000000" w:sz="4"/>
                <w:right w:val="none" w:color="000000" w:sz="4"/>
                <w:insideH w:val="none"/>
                <w:insideV w:val="none"/>
              </w:tblBorders>
            </w:tblPr>
            <w:tblGrid>
              <w:gridCol w:w="530"/>
              <w:gridCol w:w="2023"/>
            </w:tblGrid>
            <w:tr>
              <w:tc>
                <w:tcPr>
                  <w:tcW w:type="dxa" w:w="530"/>
                  <w:tcMar>
                    <w:top w:type="dxa" w:w="30"/>
                    <w:left w:type="dxa" w:w="0"/>
                    <w:bottom w:type="dxa" w:w="30"/>
                    <w:right w:type="dxa" w:w="0"/>
                  </w:tcMar>
                </w:tcPr>
                <w:p>
                  <w:pPr>
                    <w:pStyle w:val="null3"/>
                    <w:jc w:val="center"/>
                  </w:pPr>
                  <w:r>
                    <w:rPr>
                      <w:rFonts w:ascii="仿宋_GB2312" w:hAnsi="仿宋_GB2312" w:cs="仿宋_GB2312" w:eastAsia="仿宋_GB2312"/>
                      <w:sz w:val="21"/>
                      <w:b/>
                    </w:rPr>
                    <w:t>报表表号</w:t>
                  </w:r>
                </w:p>
              </w:tc>
              <w:tc>
                <w:tcPr>
                  <w:tcW w:type="dxa" w:w="2023"/>
                  <w:tcBorders>
                    <w:top w:val="single" w:color="000000" w:sz="12"/>
                    <w:left w:val="none" w:color="000000" w:sz="4"/>
                    <w:bottom w:val="single" w:color="000000" w:sz="8"/>
                    <w:right w:val="single" w:color="000000" w:sz="12"/>
                  </w:tcBorders>
                  <w:tcMar>
                    <w:top w:type="dxa" w:w="30"/>
                    <w:left w:type="dxa" w:w="0"/>
                    <w:bottom w:type="dxa" w:w="30"/>
                    <w:right w:type="dxa" w:w="0"/>
                  </w:tcMar>
                </w:tcPr>
                <w:p>
                  <w:pPr>
                    <w:pStyle w:val="null3"/>
                    <w:jc w:val="center"/>
                  </w:pPr>
                  <w:r>
                    <w:rPr>
                      <w:rFonts w:ascii="仿宋_GB2312" w:hAnsi="仿宋_GB2312" w:cs="仿宋_GB2312" w:eastAsia="仿宋_GB2312"/>
                      <w:sz w:val="21"/>
                      <w:b/>
                    </w:rPr>
                    <w:t>报表名称</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公路里程年底到达数（按技术等级分）（国道、省道）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交公路02表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公路里程年底到达数（按路面类型分）（国道、省道）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交公路03表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公路桥梁年底到达数（按使用年限分）（国道、省道）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交公路04表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公路桥梁、渡口年底到达数（按跨径分）（国道、省道）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交公路05表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公路隧道年底到达数（国道、省道）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交公路06表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交通工程及沿线设施年底到达数（国道、省道）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交公路07-1表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公路路线基本情况明细表（国道、省道）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交公路07-2表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亚洲公路网路线明细表</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交公路08表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公路桥梁明细表（国道、省道）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交公路09表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公路隧道明细表（国道、省道）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交公路10表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普通公路服务设施明细表</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交公路11-1表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公路灾毁损失和抢通情况统计表（季报、年报）一（高速公路）</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交公路11-2表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公路灾毁损失和抢通情况统计表（季报、年报）二（普通国、省道）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交公路11-3表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公路灾毁损失和抢通情况统计表（季报、年报）三（县、乡、村道）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交公路12-1表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公路技术状况明细表一（高速公路、普通国道及省道）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交公路12-2表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公路技术状况明细表二（县、乡、村道）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交公路13-1表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公路养护作业统计表（日常养护）</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交公路13-2表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公路养护作业统计表（养护工程）（季报）</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交公路13-3表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公路养护作业统计表（养护工程）一（高速公路）</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交公路13-4表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公路养护作业统计表（养护工程）二（普通国、省道）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交公路13-5表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公路养护作业统计表（养护工程）三 （县、乡、村道）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交公路14-1表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公路养护资金投入来源统计表一（高速公路）</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交公路14-2表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公路养护资金投入来源统计表二（普通国道及省道）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交公路14-3表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公路养护资金投入来源统计表三（县、乡、村道）</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交公路15-1表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公路管理机构及职工统计表一（高速公路管养单位）</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交公路15-2表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公路管理机构及职工统计表二（普通国省干线管养单位）</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交公路15-3表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公路管理机构及职工统计表三（农村公路管养单位）</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交公路15-4表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“四好农村路”就业岗位统计表</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交公路15-5表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农村公路“路长制”执行情况统计表</w:t>
                  </w:r>
                </w:p>
              </w:tc>
            </w:tr>
            <w:tr>
              <w:tc>
                <w:tcPr>
                  <w:tcW w:type="dxa" w:w="530"/>
                  <w:tcBorders>
                    <w:top w:val="none" w:color="000000" w:sz="4"/>
                    <w:left w:val="single" w:color="000000" w:sz="12"/>
                    <w:bottom w:val="single" w:color="000000" w:sz="8"/>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交公路16-1表</w:t>
                  </w:r>
                </w:p>
              </w:tc>
              <w:tc>
                <w:tcPr>
                  <w:tcW w:type="dxa" w:w="2023"/>
                  <w:tcBorders>
                    <w:top w:val="none" w:color="000000" w:sz="4"/>
                    <w:left w:val="none" w:color="000000" w:sz="4"/>
                    <w:bottom w:val="single" w:color="000000" w:sz="8"/>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公路交通应急储备物资及装备统计表一（高速公路）</w:t>
                  </w:r>
                </w:p>
              </w:tc>
            </w:tr>
            <w:tr>
              <w:tc>
                <w:tcPr>
                  <w:tcW w:type="dxa" w:w="530"/>
                  <w:tcBorders>
                    <w:top w:val="none" w:color="000000" w:sz="4"/>
                    <w:left w:val="single" w:color="000000" w:sz="12"/>
                    <w:bottom w:val="single" w:color="000000" w:sz="12"/>
                    <w:right w:val="single" w:color="000000" w:sz="8"/>
                  </w:tcBorders>
                  <w:tcMar>
                    <w:top w:type="dxa" w:w="30"/>
                    <w:left w:type="dxa" w:w="0"/>
                    <w:bottom w:type="dxa" w:w="30"/>
                    <w:right w:type="dxa" w:w="0"/>
                  </w:tcMar>
                </w:tcPr>
                <w:p>
                  <w:pPr>
                    <w:pStyle w:val="null3"/>
                    <w:jc w:val="center"/>
                  </w:pPr>
                  <w:r>
                    <w:rPr>
                      <w:rFonts w:ascii="仿宋_GB2312" w:hAnsi="仿宋_GB2312" w:cs="仿宋_GB2312" w:eastAsia="仿宋_GB2312"/>
                      <w:sz w:val="21"/>
                    </w:rPr>
                    <w:t>交公路16-2表</w:t>
                  </w:r>
                </w:p>
              </w:tc>
              <w:tc>
                <w:tcPr>
                  <w:tcW w:type="dxa" w:w="2023"/>
                  <w:tcBorders>
                    <w:top w:val="none" w:color="000000" w:sz="4"/>
                    <w:left w:val="none" w:color="000000" w:sz="4"/>
                    <w:bottom w:val="single" w:color="000000" w:sz="12"/>
                    <w:right w:val="single" w:color="000000" w:sz="12"/>
                  </w:tcBorders>
                  <w:tcMar>
                    <w:top w:type="dxa" w:w="30"/>
                    <w:left w:type="dxa" w:w="0"/>
                    <w:bottom w:type="dxa" w:w="30"/>
                    <w:right w:type="dxa" w:w="0"/>
                  </w:tcMar>
                </w:tcPr>
                <w:p>
                  <w:pPr>
                    <w:pStyle w:val="null3"/>
                    <w:ind w:left="210"/>
                    <w:jc w:val="left"/>
                  </w:pPr>
                  <w:r>
                    <w:rPr>
                      <w:rFonts w:ascii="仿宋_GB2312" w:hAnsi="仿宋_GB2312" w:cs="仿宋_GB2312" w:eastAsia="仿宋_GB2312"/>
                      <w:sz w:val="21"/>
                    </w:rPr>
                    <w:t>公路交通应急储备物资及装备统计表二（普通公路）</w:t>
                  </w:r>
                </w:p>
              </w:tc>
            </w:tr>
          </w:tbl>
          <w:p>
            <w:pPr>
              <w:pStyle w:val="null3"/>
              <w:jc w:val="both"/>
              <w:outlineLvl w:val="2"/>
            </w:pPr>
            <w:r>
              <w:rPr>
                <w:rFonts w:ascii="仿宋_GB2312" w:hAnsi="仿宋_GB2312" w:cs="仿宋_GB2312" w:eastAsia="仿宋_GB2312"/>
                <w:sz w:val="24"/>
                <w:b/>
              </w:rPr>
              <w:t>（三）系统业务功能</w:t>
            </w:r>
          </w:p>
          <w:p>
            <w:pPr>
              <w:pStyle w:val="null3"/>
              <w:ind w:firstLine="480"/>
              <w:jc w:val="left"/>
            </w:pPr>
            <w:r>
              <w:rPr>
                <w:rFonts w:ascii="仿宋_GB2312" w:hAnsi="仿宋_GB2312" w:cs="仿宋_GB2312" w:eastAsia="仿宋_GB2312"/>
                <w:sz w:val="24"/>
              </w:rPr>
              <w:t>根据汉中市公路养护统计和公路基础属性数据及农村公路电子地图更新项目工作内容和任务，需要提供相应的软件系统作为支撑完成相应工作。结合我市实际情况及交通运输部相关统计调查制度，系统大致划分为公路基础数据管理、公路综合统计管理、乡镇村居民点管理、农村公路电子地图采集与管理等。相关系统开发或升级改造，要求在满足业务管理的同时，要尽可能考虑信息技术和数据安全方面的发展趋势，要求理清各业务系统的联系，提供数据信息交换共享功能，切实提升系统的可操作性和易用性，尽可能减少基层单位在系统数据填报维护过程的工作量，提升工作效率。</w:t>
            </w:r>
          </w:p>
          <w:p>
            <w:pPr>
              <w:pStyle w:val="null3"/>
              <w:spacing w:before="120"/>
              <w:jc w:val="both"/>
              <w:outlineLvl w:val="2"/>
            </w:pPr>
            <w:r>
              <w:rPr>
                <w:rFonts w:ascii="仿宋_GB2312" w:hAnsi="仿宋_GB2312" w:cs="仿宋_GB2312" w:eastAsia="仿宋_GB2312"/>
                <w:sz w:val="24"/>
                <w:b/>
              </w:rPr>
              <w:t>（四）数据报送内容及格式</w:t>
            </w:r>
          </w:p>
          <w:p>
            <w:pPr>
              <w:pStyle w:val="null3"/>
              <w:ind w:firstLine="480"/>
              <w:jc w:val="both"/>
            </w:pPr>
            <w:r>
              <w:rPr>
                <w:rFonts w:ascii="仿宋_GB2312" w:hAnsi="仿宋_GB2312" w:cs="仿宋_GB2312" w:eastAsia="仿宋_GB2312"/>
                <w:sz w:val="24"/>
              </w:rPr>
              <w:t>数据报送是按照相关统计调查制度进行数据报送，要求数据报送时必须按照对应范围、内容、文件格式、期限完成相应数据到交通运输部对应部门报送，在规定的时限内完成数据报送且通过审核。报送内容包括交通运输部门统计调查表式、公路养护统计调查表式等。</w:t>
            </w:r>
          </w:p>
          <w:p>
            <w:pPr>
              <w:pStyle w:val="null3"/>
              <w:spacing w:before="120"/>
              <w:jc w:val="both"/>
              <w:outlineLvl w:val="2"/>
            </w:pPr>
            <w:r>
              <w:rPr>
                <w:rFonts w:ascii="仿宋_GB2312" w:hAnsi="仿宋_GB2312" w:cs="仿宋_GB2312" w:eastAsia="仿宋_GB2312"/>
                <w:sz w:val="24"/>
                <w:b/>
              </w:rPr>
              <w:t>（五）项目实施保障措施</w:t>
            </w:r>
          </w:p>
          <w:p>
            <w:pPr>
              <w:pStyle w:val="null3"/>
              <w:ind w:firstLine="480"/>
              <w:jc w:val="both"/>
            </w:pPr>
            <w:r>
              <w:rPr>
                <w:rFonts w:ascii="仿宋_GB2312" w:hAnsi="仿宋_GB2312" w:cs="仿宋_GB2312" w:eastAsia="仿宋_GB2312"/>
                <w:sz w:val="24"/>
              </w:rPr>
              <w:t>汉中市公路养护统计和基础属性数据及农村公路电子地图更新项目涉及内容广，工作任务重，涉及公路管养机构多，且在当前从交通运输部到地方不断提高和强化的统计工作范围、目标、质量发展态势情况下，要如期保质完成项目目标和任务，必须对项目目标和内容需要深入细化，并针对各个细化的工作目标、任务，需要制定合理科学的项目实施计划，并据此落实好关键节点和时间进度、质量控制管理工作，对过程发现或存在的问题要及时处理，在完成工作目标任务的同时，不断改进完善工作思路和方法，不断积累经验，以期为后续相关工作开展提供更为科学、高效的项目实施方案、方法论。</w:t>
            </w:r>
          </w:p>
          <w:p>
            <w:pPr>
              <w:pStyle w:val="null3"/>
              <w:spacing w:before="120" w:after="120"/>
              <w:jc w:val="left"/>
              <w:outlineLvl w:val="1"/>
            </w:pPr>
            <w:r>
              <w:rPr>
                <w:rFonts w:ascii="仿宋_GB2312" w:hAnsi="仿宋_GB2312" w:cs="仿宋_GB2312" w:eastAsia="仿宋_GB2312"/>
                <w:sz w:val="24"/>
                <w:b/>
              </w:rPr>
              <w:t>五、商务要求</w:t>
            </w:r>
          </w:p>
          <w:p>
            <w:pPr>
              <w:pStyle w:val="null3"/>
              <w:jc w:val="both"/>
              <w:outlineLvl w:val="2"/>
            </w:pPr>
            <w:r>
              <w:rPr>
                <w:rFonts w:ascii="仿宋_GB2312" w:hAnsi="仿宋_GB2312" w:cs="仿宋_GB2312" w:eastAsia="仿宋_GB2312"/>
                <w:sz w:val="24"/>
                <w:b/>
              </w:rPr>
              <w:t>（一）服务地点</w:t>
            </w:r>
          </w:p>
          <w:p>
            <w:pPr>
              <w:pStyle w:val="null3"/>
              <w:ind w:firstLine="480"/>
              <w:jc w:val="left"/>
            </w:pPr>
            <w:r>
              <w:rPr>
                <w:rFonts w:ascii="仿宋_GB2312" w:hAnsi="仿宋_GB2312" w:cs="仿宋_GB2312" w:eastAsia="仿宋_GB2312"/>
                <w:sz w:val="24"/>
              </w:rPr>
              <w:t>采购人指定地点。</w:t>
            </w:r>
          </w:p>
          <w:p>
            <w:pPr>
              <w:pStyle w:val="null3"/>
              <w:jc w:val="both"/>
              <w:outlineLvl w:val="2"/>
            </w:pPr>
            <w:r>
              <w:rPr>
                <w:rFonts w:ascii="仿宋_GB2312" w:hAnsi="仿宋_GB2312" w:cs="仿宋_GB2312" w:eastAsia="仿宋_GB2312"/>
                <w:sz w:val="24"/>
                <w:b/>
              </w:rPr>
              <w:t>（二）服务期限</w:t>
            </w:r>
          </w:p>
          <w:p>
            <w:pPr>
              <w:pStyle w:val="null3"/>
              <w:ind w:firstLine="480"/>
              <w:jc w:val="left"/>
            </w:pPr>
            <w:r>
              <w:rPr>
                <w:rFonts w:ascii="仿宋_GB2312" w:hAnsi="仿宋_GB2312" w:cs="仿宋_GB2312" w:eastAsia="仿宋_GB2312"/>
                <w:sz w:val="24"/>
              </w:rPr>
              <w:t>自合同签订之日起1年（具体以合同签订为准）。</w:t>
            </w:r>
          </w:p>
          <w:p>
            <w:pPr>
              <w:pStyle w:val="null3"/>
              <w:jc w:val="both"/>
              <w:outlineLvl w:val="2"/>
            </w:pPr>
            <w:r>
              <w:rPr>
                <w:rFonts w:ascii="仿宋_GB2312" w:hAnsi="仿宋_GB2312" w:cs="仿宋_GB2312" w:eastAsia="仿宋_GB2312"/>
                <w:sz w:val="24"/>
                <w:b/>
              </w:rPr>
              <w:t>（三）验收标准和方法</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完成合同约定的全部内容，并向采购人提交项目实施过程中的所有资料,以便采购人日后管理和维护该项目。各项成果资料满足国家现行的相关技术标准、规范、规程等以及我省公路管理相关规定。提交的数据核查成果通过陕西省公路局及交通运输部的审核。</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采购人确认供应商能够达到合同约定要求后，组织供应商（必要时邀请第三方专家）进行项目验收。供应商提交合同履约情况总结报告，并经采购人确认。验收合格后，填写项目验收单作为对项目的最终认可。</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验收依据：①本合同及附件文本；②竞争性磋商文件、磋商响应文件、澄清表（函）；③国家相应的标准、规范。</w:t>
            </w:r>
          </w:p>
          <w:p>
            <w:pPr>
              <w:pStyle w:val="null3"/>
              <w:jc w:val="both"/>
              <w:outlineLvl w:val="2"/>
            </w:pPr>
            <w:r>
              <w:rPr>
                <w:rFonts w:ascii="仿宋_GB2312" w:hAnsi="仿宋_GB2312" w:cs="仿宋_GB2312" w:eastAsia="仿宋_GB2312"/>
                <w:sz w:val="24"/>
                <w:b/>
              </w:rPr>
              <w:t>（四）合同支付</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费用结算：</w:t>
            </w:r>
          </w:p>
          <w:p>
            <w:pPr>
              <w:pStyle w:val="null3"/>
              <w:ind w:firstLine="480"/>
              <w:jc w:val="left"/>
            </w:pPr>
            <w:r>
              <w:rPr>
                <w:rFonts w:ascii="仿宋_GB2312" w:hAnsi="仿宋_GB2312" w:cs="仿宋_GB2312" w:eastAsia="仿宋_GB2312"/>
                <w:sz w:val="24"/>
              </w:rPr>
              <w:t>按合同总价款结算。履行本合同约定服务所需的全部费用（包括人工/管理/办公/交通/会务/外业勘察/物耗/利润/税费/风险及有关的其他费用等）均计入合同总价中。</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支付方式：银行转账</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费用支付：</w:t>
            </w:r>
          </w:p>
          <w:p>
            <w:pPr>
              <w:pStyle w:val="null3"/>
              <w:ind w:firstLine="480"/>
              <w:jc w:val="left"/>
            </w:pPr>
            <w:r>
              <w:rPr>
                <w:rFonts w:ascii="仿宋_GB2312" w:hAnsi="仿宋_GB2312" w:cs="仿宋_GB2312" w:eastAsia="仿宋_GB2312"/>
                <w:sz w:val="24"/>
              </w:rPr>
              <w:t>合同签订前，乙方须向甲方缴纳合同总金额5%的履约保证金，履约保证金待乙方履行完毕全部合同义务，并经甲方履约验收合格，无任何纠纷后无息退还。</w:t>
            </w:r>
          </w:p>
          <w:p>
            <w:pPr>
              <w:pStyle w:val="null3"/>
              <w:ind w:firstLine="480"/>
              <w:jc w:val="left"/>
            </w:pPr>
            <w:r>
              <w:rPr>
                <w:rFonts w:ascii="仿宋_GB2312" w:hAnsi="仿宋_GB2312" w:cs="仿宋_GB2312" w:eastAsia="仿宋_GB2312"/>
                <w:sz w:val="24"/>
              </w:rPr>
              <w:t>合同签订后七个工作日内，甲方预付合同价款的40%，项目验收合格后七个工作日内，一次性支付项目剩余全部款项。</w:t>
            </w:r>
          </w:p>
          <w:p>
            <w:pPr>
              <w:pStyle w:val="null3"/>
              <w:jc w:val="both"/>
              <w:outlineLvl w:val="2"/>
            </w:pPr>
            <w:r>
              <w:rPr>
                <w:rFonts w:ascii="仿宋_GB2312" w:hAnsi="仿宋_GB2312" w:cs="仿宋_GB2312" w:eastAsia="仿宋_GB2312"/>
                <w:sz w:val="24"/>
                <w:b/>
              </w:rPr>
              <w:t>（五）合同实施</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成交单位应在合同签订后2 个日历日内安排人员（项目组成人员简历表所列）与采购人就本项目相关工作进行安排、部署。</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若未能在服务期限内完成合同规定的义务，由此对采购人造成的延误和一切损失，由成交单位承担和赔偿。</w:t>
            </w:r>
          </w:p>
          <w:p>
            <w:pPr>
              <w:pStyle w:val="null3"/>
              <w:jc w:val="both"/>
              <w:outlineLvl w:val="2"/>
            </w:pPr>
            <w:r>
              <w:rPr>
                <w:rFonts w:ascii="仿宋_GB2312" w:hAnsi="仿宋_GB2312" w:cs="仿宋_GB2312" w:eastAsia="仿宋_GB2312"/>
                <w:sz w:val="24"/>
                <w:b/>
              </w:rPr>
              <w:t>（六）保密条款及知识产权</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保密条款：</w:t>
            </w:r>
          </w:p>
          <w:p>
            <w:pPr>
              <w:pStyle w:val="null3"/>
              <w:ind w:firstLine="480"/>
              <w:jc w:val="left"/>
            </w:pPr>
            <w:r>
              <w:rPr>
                <w:rFonts w:ascii="仿宋_GB2312" w:hAnsi="仿宋_GB2312" w:cs="仿宋_GB2312" w:eastAsia="仿宋_GB2312"/>
                <w:sz w:val="24"/>
              </w:rPr>
              <w:t>（1）根据《中华人民共和国民法典》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pStyle w:val="null3"/>
              <w:ind w:firstLine="480"/>
              <w:jc w:val="left"/>
            </w:pPr>
            <w:r>
              <w:rPr>
                <w:rFonts w:ascii="仿宋_GB2312" w:hAnsi="仿宋_GB2312" w:cs="仿宋_GB2312" w:eastAsia="仿宋_GB2312"/>
                <w:sz w:val="24"/>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pStyle w:val="null3"/>
              <w:ind w:firstLine="480"/>
              <w:jc w:val="left"/>
            </w:pPr>
            <w:r>
              <w:rPr>
                <w:rFonts w:ascii="仿宋_GB2312" w:hAnsi="仿宋_GB2312" w:cs="仿宋_GB2312" w:eastAsia="仿宋_GB2312"/>
                <w:sz w:val="24"/>
              </w:rPr>
              <w:t>（3）乙方对工作中了解到的甲方的技术、数据、机密等进行严格保密，不得向他人泄漏。本合同的解除或终止不免除乙方应承担的保密义务。</w:t>
            </w:r>
          </w:p>
          <w:p>
            <w:pPr>
              <w:pStyle w:val="null3"/>
              <w:ind w:firstLine="480"/>
              <w:jc w:val="left"/>
            </w:pPr>
            <w:r>
              <w:rPr>
                <w:rFonts w:ascii="仿宋_GB2312" w:hAnsi="仿宋_GB2312" w:cs="仿宋_GB2312" w:eastAsia="仿宋_GB2312"/>
                <w:sz w:val="24"/>
              </w:rPr>
              <w:t>（4）乙方违反保密规定的，除承担法律责任外，还应向甲方支付合同额20%的惩罚性违约金，违约金不足以弥补甲方损失的，乙方还应予以赔偿。</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知识产权：</w:t>
            </w:r>
          </w:p>
          <w:p>
            <w:pPr>
              <w:pStyle w:val="null3"/>
              <w:ind w:firstLine="480"/>
              <w:jc w:val="left"/>
            </w:pPr>
            <w:r>
              <w:rPr>
                <w:rFonts w:ascii="仿宋_GB2312" w:hAnsi="仿宋_GB2312" w:cs="仿宋_GB2312" w:eastAsia="仿宋_GB2312"/>
                <w:sz w:val="24"/>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pStyle w:val="null3"/>
              <w:jc w:val="both"/>
              <w:outlineLvl w:val="2"/>
            </w:pPr>
            <w:r>
              <w:rPr>
                <w:rFonts w:ascii="仿宋_GB2312" w:hAnsi="仿宋_GB2312" w:cs="仿宋_GB2312" w:eastAsia="仿宋_GB2312"/>
                <w:sz w:val="24"/>
                <w:b/>
              </w:rPr>
              <w:t>（七）违约责任及解决争议的方法</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（1）在履行本合同的过程中，任何一方违反本合同约定，首先双方友好协商解决，否则违约方应按照《中华人民共和国民法典》有关条款的规定承担违约责任。</w:t>
            </w:r>
          </w:p>
          <w:p>
            <w:pPr>
              <w:pStyle w:val="null3"/>
              <w:ind w:firstLine="480"/>
              <w:jc w:val="both"/>
            </w:pPr>
            <w:r>
              <w:rPr>
                <w:rFonts w:ascii="仿宋_GB2312" w:hAnsi="仿宋_GB2312" w:cs="仿宋_GB2312" w:eastAsia="仿宋_GB2312"/>
                <w:sz w:val="24"/>
              </w:rPr>
              <w:t>（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pStyle w:val="null3"/>
              <w:ind w:firstLine="480"/>
              <w:jc w:val="both"/>
            </w:pPr>
            <w:r>
              <w:rPr>
                <w:rFonts w:ascii="仿宋_GB2312" w:hAnsi="仿宋_GB2312" w:cs="仿宋_GB2312" w:eastAsia="仿宋_GB2312"/>
                <w:sz w:val="24"/>
              </w:rPr>
              <w:t>（3）如因乙方原因造成全部或部分资料损毁、遗失或向第三方公开，乙方按照合同总价款的20%向甲方承担赔偿责任，不足以弥补甲方损失的，还应予以赔偿。</w:t>
            </w:r>
          </w:p>
          <w:p>
            <w:pPr>
              <w:pStyle w:val="null3"/>
              <w:ind w:firstLine="480"/>
              <w:jc w:val="both"/>
            </w:pPr>
            <w:r>
              <w:rPr>
                <w:rFonts w:ascii="仿宋_GB2312" w:hAnsi="仿宋_GB2312" w:cs="仿宋_GB2312" w:eastAsia="仿宋_GB2312"/>
                <w:sz w:val="24"/>
              </w:rPr>
              <w:t>（4）如因乙方原因造成工作延误、数据报送不及时、交通部审核不通过、数据质量被通报追责等问题，乙方按合同总价的20%向甲方承担赔偿责任，不足以弥补甲方损失的还应予以补足。</w:t>
            </w:r>
          </w:p>
          <w:p>
            <w:pPr>
              <w:pStyle w:val="null3"/>
              <w:ind w:firstLine="480"/>
              <w:jc w:val="both"/>
            </w:pPr>
            <w:r>
              <w:rPr>
                <w:rFonts w:ascii="仿宋_GB2312" w:hAnsi="仿宋_GB2312" w:cs="仿宋_GB2312" w:eastAsia="仿宋_GB2312"/>
                <w:sz w:val="24"/>
              </w:rPr>
              <w:t>（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ind w:firstLine="480"/>
              <w:jc w:val="both"/>
            </w:pPr>
            <w:r>
              <w:rPr>
                <w:rFonts w:ascii="仿宋_GB2312" w:hAnsi="仿宋_GB2312" w:cs="仿宋_GB2312" w:eastAsia="仿宋_GB2312"/>
                <w:sz w:val="24"/>
              </w:rPr>
              <w:t>（6）因乙方原因导致工作停滞、延误的，未在规定期限内完成工作任务的，每顺延一天罚金合同金额0.3%。延期超过30天的，甲方有权解除合同，并要求乙方赔偿全部损失。</w:t>
            </w:r>
          </w:p>
          <w:p>
            <w:pPr>
              <w:pStyle w:val="null3"/>
              <w:ind w:firstLine="480"/>
              <w:jc w:val="both"/>
            </w:pPr>
            <w:r>
              <w:rPr>
                <w:rFonts w:ascii="仿宋_GB2312" w:hAnsi="仿宋_GB2312" w:cs="仿宋_GB2312" w:eastAsia="仿宋_GB2312"/>
                <w:sz w:val="24"/>
              </w:rPr>
              <w:t>（7）无正当理由单方终止合同，违约方除赔偿给对方造成的损失外，还应向守约方支付项目总额10%的违约金。</w:t>
            </w:r>
          </w:p>
          <w:p>
            <w:pPr>
              <w:pStyle w:val="null3"/>
              <w:ind w:firstLine="480"/>
              <w:jc w:val="both"/>
            </w:pPr>
            <w:r>
              <w:rPr>
                <w:rFonts w:ascii="仿宋_GB2312" w:hAnsi="仿宋_GB2312" w:cs="仿宋_GB2312" w:eastAsia="仿宋_GB2312"/>
                <w:sz w:val="24"/>
              </w:rPr>
              <w:t>（8）未按合同要求提供服务或服务质量不能满足本次磋商要求，甲方会同监督机构、采购代理机构有权终止合同和对乙方违约行为进行追究，同时按政府采购法的有关规定进行相应的处罚。</w:t>
            </w:r>
          </w:p>
          <w:p>
            <w:pPr>
              <w:pStyle w:val="null3"/>
              <w:ind w:firstLine="480"/>
              <w:jc w:val="both"/>
            </w:pPr>
            <w:r>
              <w:rPr>
                <w:rFonts w:ascii="仿宋_GB2312" w:hAnsi="仿宋_GB2312" w:cs="仿宋_GB2312" w:eastAsia="仿宋_GB2312"/>
                <w:sz w:val="24"/>
              </w:rPr>
              <w:t>（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解决争议的方法：</w:t>
            </w:r>
          </w:p>
          <w:p>
            <w:pPr>
              <w:pStyle w:val="null3"/>
              <w:ind w:firstLine="480"/>
              <w:jc w:val="both"/>
            </w:pPr>
            <w:r>
              <w:rPr>
                <w:rFonts w:ascii="仿宋_GB2312" w:hAnsi="仿宋_GB2312" w:cs="仿宋_GB2312" w:eastAsia="仿宋_GB2312"/>
                <w:sz w:val="24"/>
              </w:rPr>
              <w:t>（1）本合同在履行过程中发生的争议，由甲、乙双方当事人协商解决，协商不成的依法向甲方所在地有管辖权的人民法院法院起诉。</w:t>
            </w:r>
          </w:p>
          <w:p>
            <w:pPr>
              <w:pStyle w:val="null3"/>
              <w:ind w:firstLine="480"/>
              <w:jc w:val="both"/>
            </w:pPr>
            <w:r>
              <w:rPr>
                <w:rFonts w:ascii="仿宋_GB2312" w:hAnsi="仿宋_GB2312" w:cs="仿宋_GB2312" w:eastAsia="仿宋_GB2312"/>
                <w:sz w:val="24"/>
              </w:rPr>
              <w:t>（2）在诉讼期间，除正在进行诉讼部分外，合同其他部分继续执行。</w:t>
            </w:r>
          </w:p>
          <w:p>
            <w:pPr>
              <w:pStyle w:val="null3"/>
              <w:spacing w:before="120" w:after="120"/>
              <w:jc w:val="left"/>
              <w:outlineLvl w:val="1"/>
            </w:pPr>
            <w:r>
              <w:rPr>
                <w:rFonts w:ascii="仿宋_GB2312" w:hAnsi="仿宋_GB2312" w:cs="仿宋_GB2312" w:eastAsia="仿宋_GB2312"/>
                <w:sz w:val="24"/>
                <w:b/>
              </w:rPr>
              <w:t>六、其他要求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本项目采购内容对应的中小企业划分标准所属行业为：其他未列明行业。</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为顺利推进政府采购电子化交易平台应用工作，供应商需要在线提交所有通过电子化交易平台实施的政府采购项目的响应文件。在确定成交单位后，成交供应商需线下提交纸质响应文件正本壹份、副本壹份。纸质响应文件应与在陕西省政府采购综合管理平台的项目电子化交易系统中递交的电子响应文件一致。</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递交纸质响应文件时间：领取纸质成交通知书前。线下递交文件地点：</w:t>
            </w:r>
            <w:r>
              <w:rPr>
                <w:rFonts w:ascii="仿宋_GB2312" w:hAnsi="仿宋_GB2312" w:cs="仿宋_GB2312" w:eastAsia="仿宋_GB2312"/>
                <w:sz w:val="24"/>
              </w:rPr>
              <w:t>汉中市汉台区东一环盛世国际写字楼2107号。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成果要求：</w:t>
            </w:r>
            <w:r>
              <w:rPr>
                <w:rFonts w:ascii="仿宋_GB2312" w:hAnsi="仿宋_GB2312" w:cs="仿宋_GB2312" w:eastAsia="仿宋_GB2312"/>
                <w:sz w:val="24"/>
              </w:rPr>
              <w:t>通过汉中市公路养护统计和公路基础属性数据及农村公路电子地图更新项目形成的数据上报陕西省公路局及交通运输部并通过审核。</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成交供应商合作期间应确定项目联络人员。如有变更，应及时书面通知采购方。</w:t>
            </w:r>
          </w:p>
          <w:p>
            <w:pPr>
              <w:pStyle w:val="null3"/>
            </w:pPr>
            <w:r>
              <w:rPr>
                <w:rFonts w:ascii="仿宋_GB2312" w:hAnsi="仿宋_GB2312" w:cs="仿宋_GB2312" w:eastAsia="仿宋_GB2312"/>
                <w:sz w:val="24"/>
              </w:rPr>
              <w:t>6.</w:t>
            </w:r>
            <w:r>
              <w:rPr>
                <w:rFonts w:ascii="仿宋_GB2312" w:hAnsi="仿宋_GB2312" w:cs="仿宋_GB2312" w:eastAsia="仿宋_GB2312"/>
                <w:sz w:val="24"/>
              </w:rPr>
              <w:t>成交供应商必须为本项目配备专职团队，应保证骨干人员的稳定性。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1.成果要求：形成的数据成果能够通过陕西省公路局、交通运输部的审核。 2.成交磋商供应商合作期间应确定项目联络人员。如有变更，应及时书面通知采购方。 3.响应方必须为本项目配备专职团队，应保证骨干人员的稳定性。</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提交的数据核查成果通过陕西省公路局及交通运输部的审核。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2.解决争议的方法：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1.本项目采购内容对应的中小企业划分标准所属行业为：其他未列明行业。 2.为顺利推进政府采购电子化交易平台应用工作，供应商需要在线提交所有通过电子化交易平台实施的政府采购项目的响应文件。在确定成交单位后，成交供应商需线下提交纸质响应文件正本壹份、副本壹份。纸质响应文件应与在陕西省政府采购综合管理平台的项目电子化交易系统中递交的电子响应文件一致。 3.递交纸质响应文件时间：领取纸质成交通知书前。线下递交文件地点：汉中市汉台区东一环盛世国际写字楼2107号。 4.成果要求：通过汉中市公路养护统计和公路基础属性数据及农村公路电子地图更新项目形成的数据上报陕西省公路局及交通运输部并通过审核。 5.成交供应商合作期间应确定项目联络人员。如有变更，应及时书面通知采购方。 6.成交供应商必须为本项目配备专职团队，应保证骨干人员的稳定性。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一般资格要求证明材料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一般资格要求证明材料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一般资格要求证明材料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本项目非专门面向中小企业采购。如供应商存在：小型、微型企业，监狱企业，残疾人福利性单位，可提供相关《声明函》，没有则不提供</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具有独立承担民事责任能力的法人或其他组织，提供合法有效的统一社会信用代码营业执照（事业单位提供事业单位的法人证书，自然人提供身份证明）</w:t>
            </w:r>
          </w:p>
        </w:tc>
        <w:tc>
          <w:tcPr>
            <w:tcW w:type="dxa" w:w="1661"/>
          </w:tcPr>
          <w:p>
            <w:pPr>
              <w:pStyle w:val="null3"/>
            </w:pPr>
            <w:r>
              <w:rPr>
                <w:rFonts w:ascii="仿宋_GB2312" w:hAnsi="仿宋_GB2312" w:cs="仿宋_GB2312" w:eastAsia="仿宋_GB2312"/>
              </w:rPr>
              <w:t>特殊资格要求证明材料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法定代表人直接参加磋商的，须出具法定代表人身份证明书（附法定代表人身份证复印件），法定代表人委托代理人参加磋商的，须提供法定代表人授权委托书（附法定代表人及委托代理人身份证复印件）</w:t>
            </w:r>
          </w:p>
        </w:tc>
        <w:tc>
          <w:tcPr>
            <w:tcW w:type="dxa" w:w="1661"/>
          </w:tcPr>
          <w:p>
            <w:pPr>
              <w:pStyle w:val="null3"/>
            </w:pPr>
            <w:r>
              <w:rPr>
                <w:rFonts w:ascii="仿宋_GB2312" w:hAnsi="仿宋_GB2312" w:cs="仿宋_GB2312" w:eastAsia="仿宋_GB2312"/>
              </w:rPr>
              <w:t>特殊资格要求证明材料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特殊资格要求证明材料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特殊资格要求证明材料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本项目不接受联合体投标，不允许分包。供应商应提供《非联合体不分包投标声明》，视为独立投标，不分包。</w:t>
            </w:r>
          </w:p>
        </w:tc>
        <w:tc>
          <w:tcPr>
            <w:tcW w:type="dxa" w:w="1661"/>
          </w:tcPr>
          <w:p>
            <w:pPr>
              <w:pStyle w:val="null3"/>
            </w:pPr>
            <w:r>
              <w:rPr>
                <w:rFonts w:ascii="仿宋_GB2312" w:hAnsi="仿宋_GB2312" w:cs="仿宋_GB2312" w:eastAsia="仿宋_GB2312"/>
              </w:rPr>
              <w:t>特殊资格要求证明材料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第三部分服务方案 第四部分其他材料 第二部分符合性证明文件（插页） 第一部分资格证明文件（插页） 中小企业声明函 商务应答表 服务内容及服务要求应答表 报价表 一般资格要求证明材料 落实政府采购政策需满足的资格要求（插页） 响应文件封面 残疾人福利性单位声明函 标的清单 《拒绝政府采购领域商业贿赂承诺书》 响应函 特殊资格要求证明材料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特殊资格要求证明材料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第三部分服务方案 第四部分其他材料 第二部分符合性证明文件（插页） 第一部分资格证明文件（插页） 中小企业声明函 商务应答表 服务内容及服务要求应答表 报价表 一般资格要求证明材料 落实政府采购政策需满足的资格要求（插页） 响应文件封面 残疾人福利性单位声明函 标的清单 《拒绝政府采购领域商业贿赂承诺书》 响应函 特殊资格要求证明材料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（1）磋商报价一览表填写符合要求 （2）计量单位、报价货币均符合磋商文件要求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完全理解接受磋商文件技术、服务、商务及其他要求，并响应</w:t>
            </w:r>
          </w:p>
        </w:tc>
        <w:tc>
          <w:tcPr>
            <w:tcW w:type="dxa" w:w="1661"/>
          </w:tcPr>
          <w:p>
            <w:pPr>
              <w:pStyle w:val="null3"/>
            </w:pPr>
            <w:r>
              <w:rPr>
                <w:rFonts w:ascii="仿宋_GB2312" w:hAnsi="仿宋_GB2312" w:cs="仿宋_GB2312" w:eastAsia="仿宋_GB2312"/>
              </w:rPr>
              <w:t>第三部分服务方案 商务应答表 服务内容及服务要求应答表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根据阐述内容（包括但不限于对系统业务框架、功能设计及结构以及数据项细化的掌握等）进行打分： ⑴对项目背景、工作内容和要求、工作范围等理解准确和恰当，计8.1-10.0分； ⑵对项目背景、工作内容和要求、工作范围等理解比较准确和恰当，计6.1-8.0分； ⑶对项目背景、工作内容和要求、工作范围等理解一般，计4.1-6.0分； ⑷对项目背景、工作内容和要求、工作范围等理解有欠缺，计2.1-4.0分； ⑸无或其它情况不得分。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根据阐述内容进行打分： ⑴分析和策划非常详尽，工作安排全面、科学、合理，且具备指导意义，计4.1-5.0分； ⑵分析和策划详尽，工作安排全面、科学、合理，计3.1-4.0分； ⑶分析和策划较详尽，工作安排较为科学、合理，计2.1-3.0分； ⑷分析和策划基本满足要求，工作安排基本可行，计1.1-2.0分； ⑸无或其它情况不得分。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日常技术支持服务</w:t>
            </w:r>
          </w:p>
        </w:tc>
        <w:tc>
          <w:tcPr>
            <w:tcW w:type="dxa" w:w="2492"/>
          </w:tcPr>
          <w:p>
            <w:pPr>
              <w:pStyle w:val="null3"/>
            </w:pPr>
            <w:r>
              <w:rPr>
                <w:rFonts w:ascii="仿宋_GB2312" w:hAnsi="仿宋_GB2312" w:cs="仿宋_GB2312" w:eastAsia="仿宋_GB2312"/>
              </w:rPr>
              <w:t>根据阐述内容进行打分： ⑴服务方案非常完善，能很好地满足服务需求，计4.1-5.0分； ⑵服务方案完善，能满足服务需求，计3.1-4.0分； ⑶服务方案较完善，较符合项目需求，计2.1-3.0分； ⑷服务方案欠佳，计1.1-2.0分； ⑸无或其它情况不得分。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业务调查及统计表式</w:t>
            </w:r>
          </w:p>
        </w:tc>
        <w:tc>
          <w:tcPr>
            <w:tcW w:type="dxa" w:w="2492"/>
          </w:tcPr>
          <w:p>
            <w:pPr>
              <w:pStyle w:val="null3"/>
            </w:pPr>
            <w:r>
              <w:rPr>
                <w:rFonts w:ascii="仿宋_GB2312" w:hAnsi="仿宋_GB2312" w:cs="仿宋_GB2312" w:eastAsia="仿宋_GB2312"/>
              </w:rPr>
              <w:t>根据阐述内容进行打分： ⑴统计报表分类科学合理、准确完整，表式符合实际且完全满足需求，计4.1-5.0分； ⑵统计报表分类科学合理、准确完整，表式满足需求，计3.1-4.0分； ⑶统计报表分类较合理、准确，表式基本符合需求，计2.1-3.0分； ⑷统计报表分类、表式完整性欠佳，计1.1-2.0分； ⑸无或其它情况不得分。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业务数据审核及报送</w:t>
            </w:r>
          </w:p>
        </w:tc>
        <w:tc>
          <w:tcPr>
            <w:tcW w:type="dxa" w:w="2492"/>
          </w:tcPr>
          <w:p>
            <w:pPr>
              <w:pStyle w:val="null3"/>
            </w:pPr>
            <w:r>
              <w:rPr>
                <w:rFonts w:ascii="仿宋_GB2312" w:hAnsi="仿宋_GB2312" w:cs="仿宋_GB2312" w:eastAsia="仿宋_GB2312"/>
              </w:rPr>
              <w:t>根据阐述内容进行打分： ⑴审核体系科学合理可行，贴合实际，报送内容完整且完全覆盖需求范围，计8.1-10.0分； ⑵审核体系合理可行，报送内容满足需求，计6.1-8.0分； ⑶审核体系较合理可行，报送内容基本符合需求，计4.1-6.0分； ⑷审核体系及报送内容完整性欠佳，计2.1-4.0分； ⑸无或其它情况不得分。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根据内容阐述进行打分： ⑴科学合理、完善详尽，可行性高，且具备指导意义，计4.1-5.0分； ⑵科学合理、可行有效，满足项目需求，计3.1-4.0 分； ⑶较合理可行，基本贴合实际，计2.1-3.0分。 ⑷存在部分缺陷和不足，计1.1-2.0分； ⑸无或其它情况不得分。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根据阐述内容（包括但不限于服务质量承诺、质量保障措施、合同履行承诺、后续服务保障等）进行打分： ⑴内容全面、描述详细、涵盖范围广，计4.1-5.0分； ⑵内容齐全、有相对应的描述但不够详细，计3.1-4.0分； ⑶内容笼统、概括简单，计2.1-3.0分； ⑷无或其它情况不得分。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⑴供应商近三年（2022年1月1日至今）独立完成过至少2个类似公路基础数据更新维护、养护统计服务或者公路电子地图项目业绩的，计6分； ⑵每增加一个近三年类似项目业绩的加3分，最多计9分。 （应附加盖公章的成交/中标通知书或合同协议书或业主单位出具的履约证明材料，未提供不得分）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⑴具有公路工程相关专业高级及以上职称计2分，中级职称计1分，初级及以下不得分； ⑵具有高级信息系统项目管理师证书计4分，中级证书计2分，初级及以下不得分； （应提供项目负责人的身份证、相关证书、毕业证、近六个月任意时段社保证明，未提供不得分） ⑶项目负责人近三年（2022年1月1日至今）承担过类似公路基础数据更新维护、养护统计服务或者公路电子地图项目业绩的，每提供一项计3分，最多计9分； （应附加盖公章的成交/中标通知书或合同协议书或业主单位出具的履约证明材料，并能体现出项目负责人姓名，未提供不得分）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⑴拟投入项目组成员（除项目负责人外）应不少于3人，计4分； ⑵每具有1个公路工程相关、计算机软件或信息系统相关专业毕业人员，计1分，最多计3分； ⑶每具1个有信息系统项目管理、系统集成项目管理等计算机软件相关专业资格证书，计1分，最多计3分。 （应提供成员的身份证、相关证书、毕业证、近六个月任意时段社保证明，未提供不得分）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第三部分服务方案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价格分采用低价优先法计算，即满足磋商文件要求且最后报价最低的供应商价格为评审基准价，其价格分为满分。其他磋商供应商的价格分统一按照下列公式计算： 磋商报价得分=（评审基准价/最后磋商报价）*分值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详见附件：第一部分资格证明文件（插页）</w:t>
      </w:r>
    </w:p>
    <w:p>
      <w:pPr>
        <w:pStyle w:val="null3"/>
        <w:ind w:firstLine="960"/>
      </w:pPr>
      <w:r>
        <w:rPr>
          <w:rFonts w:ascii="仿宋_GB2312" w:hAnsi="仿宋_GB2312" w:cs="仿宋_GB2312" w:eastAsia="仿宋_GB2312"/>
        </w:rPr>
        <w:t>详见附件：一般资格要求证明材料</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详见附件：特殊资格要求证明材料</w:t>
      </w:r>
    </w:p>
    <w:p>
      <w:pPr>
        <w:pStyle w:val="null3"/>
        <w:ind w:firstLine="960"/>
      </w:pPr>
      <w:r>
        <w:rPr>
          <w:rFonts w:ascii="仿宋_GB2312" w:hAnsi="仿宋_GB2312" w:cs="仿宋_GB2312" w:eastAsia="仿宋_GB2312"/>
        </w:rPr>
        <w:t>详见附件：落实政府采购政策需满足的资格要求（插页）</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详见附件：第二部分符合性证明文件（插页）</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详见附件：第三部分服务方案</w:t>
      </w:r>
    </w:p>
    <w:p>
      <w:pPr>
        <w:pStyle w:val="null3"/>
        <w:ind w:firstLine="960"/>
      </w:pPr>
      <w:r>
        <w:rPr>
          <w:rFonts w:ascii="仿宋_GB2312" w:hAnsi="仿宋_GB2312" w:cs="仿宋_GB2312" w:eastAsia="仿宋_GB2312"/>
        </w:rPr>
        <w:t>详见附件：第四部分其他材料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