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A22D2">
      <w:pPr>
        <w:spacing w:line="500" w:lineRule="exact"/>
        <w:jc w:val="center"/>
        <w:outlineLvl w:val="0"/>
        <w:rPr>
          <w:rFonts w:ascii="宋体" w:hAnsi="宋体" w:eastAsia="宋体" w:cs="宋体"/>
          <w:b/>
          <w:color w:val="auto"/>
          <w:sz w:val="28"/>
          <w:szCs w:val="28"/>
          <w:highlight w:val="none"/>
        </w:rPr>
      </w:pPr>
      <w:r>
        <w:rPr>
          <w:rFonts w:ascii="宋体" w:hAnsi="宋体" w:eastAsia="宋体" w:cs="宋体"/>
          <w:b/>
          <w:color w:val="auto"/>
          <w:sz w:val="36"/>
          <w:szCs w:val="36"/>
          <w:highlight w:val="none"/>
        </w:rPr>
        <w:t xml:space="preserve"> 合同条款</w:t>
      </w:r>
      <w:bookmarkStart w:id="0" w:name="_Toc3694_WPSOffice_Level2"/>
      <w:bookmarkStart w:id="1" w:name="_Toc6667_WPSOffice_Level2"/>
      <w:bookmarkStart w:id="2" w:name="_Toc10144"/>
      <w:bookmarkStart w:id="3" w:name="_Toc17119"/>
      <w:bookmarkStart w:id="4" w:name="_Toc6897_WPSOffice_Level2"/>
      <w:bookmarkStart w:id="5" w:name="_Toc14968_WPSOffice_Level2"/>
      <w:r>
        <w:rPr>
          <w:rFonts w:hint="eastAsia" w:ascii="宋体" w:hAnsi="宋体" w:eastAsia="宋体" w:cs="宋体"/>
          <w:color w:val="000000"/>
          <w:sz w:val="36"/>
          <w:szCs w:val="44"/>
          <w:highlight w:val="none"/>
          <w:lang w:eastAsia="zh-CN"/>
        </w:rPr>
        <w:t>（仅供参考）</w:t>
      </w:r>
    </w:p>
    <w:bookmarkEnd w:id="0"/>
    <w:bookmarkEnd w:id="1"/>
    <w:bookmarkEnd w:id="2"/>
    <w:bookmarkEnd w:id="3"/>
    <w:bookmarkEnd w:id="4"/>
    <w:bookmarkEnd w:id="5"/>
    <w:p w14:paraId="27635173">
      <w:pPr>
        <w:pStyle w:val="9"/>
        <w:shd w:val="clear" w:color="auto" w:fill="auto"/>
        <w:spacing w:beforeLines="100"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 xml:space="preserve">合同编号： </w:t>
      </w:r>
    </w:p>
    <w:p w14:paraId="18164354">
      <w:pPr>
        <w:pStyle w:val="9"/>
        <w:shd w:val="clear" w:color="auto" w:fill="auto"/>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 xml:space="preserve">签订地点： </w:t>
      </w:r>
    </w:p>
    <w:p w14:paraId="3725CF87">
      <w:pPr>
        <w:pStyle w:val="9"/>
        <w:shd w:val="clear" w:color="auto" w:fill="auto"/>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签订时间:</w:t>
      </w:r>
    </w:p>
    <w:p w14:paraId="242BA54F">
      <w:pPr>
        <w:pStyle w:val="9"/>
        <w:shd w:val="clear" w:color="auto" w:fill="auto"/>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（甲方）：</w:t>
      </w:r>
    </w:p>
    <w:p w14:paraId="44CAEE2C">
      <w:pPr>
        <w:pStyle w:val="9"/>
        <w:shd w:val="clear" w:color="auto" w:fill="auto"/>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（乙方）：</w:t>
      </w:r>
    </w:p>
    <w:p w14:paraId="3B2A6169">
      <w:pPr>
        <w:pStyle w:val="9"/>
        <w:shd w:val="clear" w:color="auto" w:fill="auto"/>
        <w:spacing w:beforeLines="50"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根据《中华人民共和国政府采购法》及实施条例、《中华人民共和国合同法》和甲方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项目（项目编号：xxxxxxx）的</w:t>
      </w:r>
      <w:r>
        <w:rPr>
          <w:rFonts w:hint="eastAsia" w:ascii="宋体" w:hAnsi="宋体" w:cs="宋体"/>
          <w:color w:val="auto"/>
          <w:highlight w:val="none"/>
          <w:lang w:val="en-US" w:eastAsia="zh-CN"/>
        </w:rPr>
        <w:t>谈判</w:t>
      </w:r>
      <w:r>
        <w:rPr>
          <w:rFonts w:hint="eastAsia" w:ascii="宋体" w:hAnsi="宋体" w:eastAsia="宋体" w:cs="宋体"/>
          <w:color w:val="auto"/>
          <w:highlight w:val="none"/>
        </w:rPr>
        <w:t>文件、</w:t>
      </w:r>
      <w:r>
        <w:rPr>
          <w:rFonts w:hint="eastAsia" w:ascii="宋体" w:hAnsi="宋体" w:cs="宋体"/>
          <w:color w:val="auto"/>
          <w:highlight w:val="none"/>
          <w:lang w:val="en-US" w:eastAsia="zh-CN"/>
        </w:rPr>
        <w:t>响应</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等有关规定，为确保甲方项目的顺利实施，甲、乙双方在平等自愿原则下签订本合同，并共同遵守如下条款：</w:t>
      </w:r>
    </w:p>
    <w:p w14:paraId="7C336EA5">
      <w:pPr>
        <w:numPr>
          <w:ilvl w:val="0"/>
          <w:numId w:val="1"/>
        </w:numPr>
        <w:shd w:val="clear" w:color="auto" w:fill="auto"/>
        <w:tabs>
          <w:tab w:val="left" w:pos="1379"/>
          <w:tab w:val="clear" w:pos="1521"/>
        </w:tabs>
        <w:spacing w:beforeLines="50" w:afterLines="50" w:line="360" w:lineRule="auto"/>
        <w:ind w:left="1519" w:hanging="1094"/>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项目基本情况</w:t>
      </w:r>
    </w:p>
    <w:p w14:paraId="60E70877">
      <w:pPr>
        <w:numPr>
          <w:ilvl w:val="0"/>
          <w:numId w:val="1"/>
        </w:numPr>
        <w:shd w:val="clear" w:color="auto" w:fill="auto"/>
        <w:tabs>
          <w:tab w:val="left" w:pos="1379"/>
          <w:tab w:val="clear" w:pos="1521"/>
        </w:tabs>
        <w:spacing w:beforeLines="50" w:afterLines="50" w:line="360" w:lineRule="auto"/>
        <w:ind w:left="1519" w:hanging="1094"/>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合同期限</w:t>
      </w:r>
    </w:p>
    <w:p w14:paraId="47220264">
      <w:pPr>
        <w:numPr>
          <w:numId w:val="0"/>
        </w:numPr>
        <w:shd w:val="clear" w:color="auto" w:fill="auto"/>
        <w:tabs>
          <w:tab w:val="left" w:pos="1379"/>
        </w:tabs>
        <w:spacing w:beforeLines="50" w:afterLines="50" w:line="360" w:lineRule="auto"/>
        <w:ind w:left="425" w:leftChars="0"/>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以合同具体签订为准</w:t>
      </w:r>
    </w:p>
    <w:p w14:paraId="5BEEE184">
      <w:pPr>
        <w:numPr>
          <w:ilvl w:val="0"/>
          <w:numId w:val="1"/>
        </w:numPr>
        <w:shd w:val="clear" w:color="auto" w:fill="auto"/>
        <w:tabs>
          <w:tab w:val="left" w:pos="1379"/>
          <w:tab w:val="clear" w:pos="1521"/>
        </w:tabs>
        <w:spacing w:beforeLines="50" w:afterLines="50" w:line="360" w:lineRule="auto"/>
        <w:ind w:left="1519" w:hanging="1094"/>
        <w:rPr>
          <w:rFonts w:hint="eastAsia" w:ascii="宋体" w:hAnsi="宋体" w:eastAsia="宋体" w:cs="宋体"/>
          <w:b/>
          <w:color w:val="auto"/>
          <w:sz w:val="30"/>
          <w:szCs w:val="30"/>
          <w:highlight w:val="none"/>
        </w:rPr>
      </w:pPr>
      <w:bookmarkStart w:id="6" w:name="_Toc185395249"/>
      <w:bookmarkStart w:id="7" w:name="_Toc225670751"/>
      <w:bookmarkStart w:id="8" w:name="_Toc225244852"/>
      <w:bookmarkStart w:id="9" w:name="_Toc239233914"/>
      <w:bookmarkStart w:id="10" w:name="_Toc225654644"/>
      <w:bookmarkStart w:id="11" w:name="_Toc237145406"/>
      <w:bookmarkStart w:id="12" w:name="_Toc238984975"/>
      <w:bookmarkStart w:id="13" w:name="_Toc282696226"/>
      <w:bookmarkStart w:id="14" w:name="_Toc239568418"/>
      <w:bookmarkStart w:id="15" w:name="_Toc232492928"/>
      <w:bookmarkStart w:id="16" w:name="_Toc286993786"/>
      <w:bookmarkStart w:id="17" w:name="_Toc212019594"/>
      <w:bookmarkStart w:id="18" w:name="_Toc283019214"/>
      <w:bookmarkStart w:id="19" w:name="_Toc211911348"/>
      <w:bookmarkStart w:id="20" w:name="_Toc251768862"/>
      <w:bookmarkStart w:id="21" w:name="_Toc241833903"/>
      <w:bookmarkStart w:id="22" w:name="_Toc211854449"/>
      <w:bookmarkStart w:id="23" w:name="_Toc247334841"/>
      <w:r>
        <w:rPr>
          <w:rFonts w:hint="eastAsia" w:ascii="宋体" w:hAnsi="宋体" w:eastAsia="宋体" w:cs="宋体"/>
          <w:b/>
          <w:color w:val="auto"/>
          <w:sz w:val="30"/>
          <w:szCs w:val="30"/>
          <w:highlight w:val="none"/>
          <w:lang w:val="en-US" w:eastAsia="zh-CN"/>
        </w:rPr>
        <w:t>服务</w:t>
      </w:r>
      <w:r>
        <w:rPr>
          <w:rFonts w:hint="eastAsia" w:ascii="宋体" w:hAnsi="宋体" w:eastAsia="宋体" w:cs="宋体"/>
          <w:b/>
          <w:color w:val="auto"/>
          <w:sz w:val="30"/>
          <w:szCs w:val="30"/>
          <w:highlight w:val="none"/>
        </w:rPr>
        <w:t>内容与</w:t>
      </w:r>
      <w:r>
        <w:rPr>
          <w:rFonts w:hint="eastAsia" w:ascii="宋体" w:hAnsi="宋体" w:eastAsia="宋体" w:cs="宋体"/>
          <w:b/>
          <w:color w:val="auto"/>
          <w:sz w:val="30"/>
          <w:szCs w:val="30"/>
          <w:highlight w:val="none"/>
          <w:lang w:val="en-US" w:eastAsia="zh-CN"/>
        </w:rPr>
        <w:t>验收</w:t>
      </w:r>
      <w:r>
        <w:rPr>
          <w:rFonts w:hint="eastAsia" w:ascii="宋体" w:hAnsi="宋体" w:eastAsia="宋体" w:cs="宋体"/>
          <w:b/>
          <w:color w:val="auto"/>
          <w:sz w:val="30"/>
          <w:szCs w:val="30"/>
          <w:highlight w:val="none"/>
        </w:rPr>
        <w:t>标准</w:t>
      </w:r>
    </w:p>
    <w:p w14:paraId="5B79CAA7">
      <w:pPr>
        <w:shd w:val="clear" w:color="auto" w:fill="auto"/>
        <w:spacing w:line="360" w:lineRule="auto"/>
        <w:ind w:left="567"/>
        <w:rPr>
          <w:rFonts w:hint="eastAsia" w:ascii="宋体" w:hAnsi="宋体" w:eastAsia="宋体" w:cs="宋体"/>
          <w:color w:val="auto"/>
          <w:sz w:val="24"/>
          <w:highlight w:val="none"/>
        </w:rPr>
      </w:pPr>
      <w:r>
        <w:rPr>
          <w:rFonts w:hint="eastAsia" w:ascii="宋体" w:hAnsi="宋体" w:eastAsia="宋体" w:cs="宋体"/>
          <w:color w:val="auto"/>
          <w:sz w:val="24"/>
          <w:highlight w:val="none"/>
        </w:rPr>
        <w:t>1.XXXX；</w:t>
      </w:r>
    </w:p>
    <w:p w14:paraId="2249069B">
      <w:pPr>
        <w:shd w:val="clear" w:color="auto" w:fill="auto"/>
        <w:spacing w:line="360" w:lineRule="auto"/>
        <w:ind w:left="567"/>
        <w:rPr>
          <w:rFonts w:hint="eastAsia" w:ascii="宋体" w:hAnsi="宋体" w:eastAsia="宋体" w:cs="宋体"/>
          <w:color w:val="auto"/>
          <w:sz w:val="24"/>
          <w:highlight w:val="none"/>
        </w:rPr>
      </w:pPr>
      <w:r>
        <w:rPr>
          <w:rFonts w:hint="eastAsia" w:ascii="宋体" w:hAnsi="宋体" w:eastAsia="宋体" w:cs="宋体"/>
          <w:color w:val="auto"/>
          <w:sz w:val="24"/>
          <w:highlight w:val="none"/>
        </w:rPr>
        <w:t>2.XXXX；</w:t>
      </w:r>
    </w:p>
    <w:p w14:paraId="7A32FFFE">
      <w:pPr>
        <w:shd w:val="clear" w:color="auto" w:fill="auto"/>
        <w:spacing w:line="360" w:lineRule="auto"/>
        <w:ind w:left="567"/>
        <w:rPr>
          <w:rFonts w:hint="eastAsia" w:ascii="宋体" w:hAnsi="宋体" w:eastAsia="宋体" w:cs="宋体"/>
          <w:color w:val="auto"/>
          <w:sz w:val="24"/>
          <w:highlight w:val="none"/>
        </w:rPr>
      </w:pPr>
      <w:r>
        <w:rPr>
          <w:rFonts w:hint="eastAsia" w:ascii="宋体" w:hAnsi="宋体" w:eastAsia="宋体" w:cs="宋体"/>
          <w:color w:val="auto"/>
          <w:sz w:val="24"/>
          <w:highlight w:val="none"/>
        </w:rPr>
        <w:t>3.XXXX．</w:t>
      </w:r>
    </w:p>
    <w:p w14:paraId="77314FAF">
      <w:pPr>
        <w:shd w:val="clear" w:color="auto" w:fill="auto"/>
        <w:spacing w:line="360"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p w14:paraId="226021E3">
      <w:pPr>
        <w:numPr>
          <w:ilvl w:val="0"/>
          <w:numId w:val="1"/>
        </w:numPr>
        <w:shd w:val="clear" w:color="auto" w:fill="auto"/>
        <w:tabs>
          <w:tab w:val="left" w:pos="1379"/>
          <w:tab w:val="clear" w:pos="1521"/>
        </w:tabs>
        <w:spacing w:beforeLines="50" w:afterLines="50" w:line="360" w:lineRule="auto"/>
        <w:ind w:left="1661" w:hanging="1094"/>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val="en-US" w:eastAsia="zh-CN"/>
        </w:rPr>
        <w:t>服务</w:t>
      </w:r>
      <w:r>
        <w:rPr>
          <w:rFonts w:hint="eastAsia" w:ascii="宋体" w:hAnsi="宋体" w:eastAsia="宋体" w:cs="宋体"/>
          <w:b/>
          <w:color w:val="auto"/>
          <w:sz w:val="30"/>
          <w:szCs w:val="30"/>
          <w:highlight w:val="none"/>
        </w:rPr>
        <w:t>费用</w:t>
      </w:r>
    </w:p>
    <w:p w14:paraId="2550C77E">
      <w:pPr>
        <w:pStyle w:val="2"/>
        <w:shd w:val="clear" w:color="auto" w:fill="auto"/>
        <w:spacing w:before="0" w:after="0" w:line="360" w:lineRule="auto"/>
        <w:ind w:firstLine="411" w:firstLineChars="196"/>
        <w:rPr>
          <w:rFonts w:hint="eastAsia" w:ascii="宋体" w:hAnsi="宋体" w:eastAsia="宋体" w:cs="宋体"/>
          <w:b w:val="0"/>
          <w:color w:val="auto"/>
          <w:sz w:val="24"/>
          <w:szCs w:val="24"/>
          <w:highlight w:val="none"/>
        </w:rPr>
      </w:pPr>
      <w:r>
        <w:rPr>
          <w:rFonts w:hint="eastAsia" w:ascii="宋体" w:hAnsi="宋体" w:eastAsia="宋体" w:cs="宋体"/>
          <w:b w:val="0"/>
          <w:color w:val="auto"/>
          <w:sz w:val="21"/>
          <w:szCs w:val="21"/>
          <w:highlight w:val="none"/>
        </w:rPr>
        <w:t xml:space="preserve"> </w:t>
      </w:r>
      <w:r>
        <w:rPr>
          <w:rFonts w:hint="eastAsia" w:ascii="宋体" w:hAnsi="宋体" w:eastAsia="宋体" w:cs="宋体"/>
          <w:b w:val="0"/>
          <w:color w:val="auto"/>
          <w:sz w:val="24"/>
          <w:szCs w:val="24"/>
          <w:highlight w:val="none"/>
        </w:rPr>
        <w:t xml:space="preserve"> 1.</w:t>
      </w:r>
      <w:r>
        <w:rPr>
          <w:rFonts w:hint="eastAsia" w:ascii="宋体" w:hAnsi="宋体" w:cs="宋体"/>
          <w:b w:val="0"/>
          <w:color w:val="auto"/>
          <w:sz w:val="24"/>
          <w:szCs w:val="24"/>
          <w:highlight w:val="none"/>
          <w:lang w:eastAsia="zh-CN"/>
        </w:rPr>
        <w:t>服务</w:t>
      </w:r>
      <w:r>
        <w:rPr>
          <w:rFonts w:hint="eastAsia" w:ascii="宋体" w:hAnsi="宋体" w:eastAsia="宋体" w:cs="宋体"/>
          <w:b w:val="0"/>
          <w:color w:val="auto"/>
          <w:sz w:val="24"/>
          <w:szCs w:val="24"/>
          <w:highlight w:val="none"/>
        </w:rPr>
        <w:t>总费用为人民币（大写）：</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元， ￥</w:t>
      </w:r>
      <w:r>
        <w:rPr>
          <w:rFonts w:hint="eastAsia" w:ascii="宋体" w:hAnsi="宋体" w:eastAsia="宋体" w:cs="宋体"/>
          <w:b w:val="0"/>
          <w:color w:val="auto"/>
          <w:sz w:val="24"/>
          <w:szCs w:val="24"/>
          <w:highlight w:val="none"/>
          <w:u w:val="single"/>
        </w:rPr>
        <w:t xml:space="preserve">           </w:t>
      </w:r>
      <w:r>
        <w:rPr>
          <w:rFonts w:hint="eastAsia" w:ascii="宋体" w:hAnsi="宋体" w:eastAsia="宋体" w:cs="宋体"/>
          <w:b w:val="0"/>
          <w:color w:val="auto"/>
          <w:sz w:val="24"/>
          <w:szCs w:val="24"/>
          <w:highlight w:val="none"/>
        </w:rPr>
        <w:t>。</w:t>
      </w:r>
    </w:p>
    <w:p w14:paraId="2B7754BE">
      <w:pPr>
        <w:shd w:val="clear" w:color="auto" w:fill="auto"/>
        <w:spacing w:line="360" w:lineRule="auto"/>
        <w:ind w:firstLine="470" w:firstLineChars="196"/>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2.本项目</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费用由以下组成：</w:t>
      </w:r>
    </w:p>
    <w:p w14:paraId="13462977">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（1）XX万元；</w:t>
      </w:r>
    </w:p>
    <w:p w14:paraId="5604E084">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（2）XX万元；</w:t>
      </w:r>
    </w:p>
    <w:p w14:paraId="598CDDF9">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（3）XX万元。</w:t>
      </w:r>
    </w:p>
    <w:p w14:paraId="063B0D37">
      <w:pPr>
        <w:shd w:val="clear" w:color="auto" w:fill="auto"/>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p w14:paraId="70A3451D">
      <w:pPr>
        <w:shd w:val="clear" w:color="auto" w:fill="auto"/>
        <w:spacing w:line="360" w:lineRule="auto"/>
        <w:ind w:firstLine="600" w:firstLineChars="250"/>
        <w:rPr>
          <w:rFonts w:hint="eastAsia" w:ascii="宋体" w:hAnsi="宋体" w:eastAsia="宋体" w:cs="宋体"/>
          <w:color w:val="auto"/>
          <w:sz w:val="24"/>
          <w:highlight w:val="none"/>
        </w:rPr>
        <w:sectPr>
          <w:headerReference r:id="rId4" w:type="first"/>
          <w:footerReference r:id="rId6" w:type="first"/>
          <w:headerReference r:id="rId3" w:type="default"/>
          <w:footerReference r:id="rId5" w:type="default"/>
          <w:pgSz w:w="11907" w:h="16840"/>
          <w:pgMar w:top="720" w:right="1117" w:bottom="720" w:left="1117" w:header="851" w:footer="992" w:gutter="0"/>
          <w:pgNumType w:fmt="decimal"/>
          <w:cols w:space="720" w:num="1"/>
        </w:sectPr>
      </w:pPr>
      <w:r>
        <w:rPr>
          <w:rFonts w:hint="eastAsia" w:ascii="宋体" w:hAnsi="宋体" w:eastAsia="宋体" w:cs="宋体"/>
          <w:color w:val="auto"/>
          <w:sz w:val="24"/>
          <w:highlight w:val="none"/>
        </w:rPr>
        <w:t>4.本合同执行期间</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总费用不变，甲方无须另向乙方支付本合同规定之外的其</w:t>
      </w:r>
    </w:p>
    <w:p w14:paraId="7EA5F800">
      <w:pPr>
        <w:shd w:val="clear" w:color="auto" w:fill="auto"/>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他任何费用。</w:t>
      </w:r>
    </w:p>
    <w:p w14:paraId="09FB84B3">
      <w:pPr>
        <w:shd w:val="clear" w:color="auto" w:fill="auto"/>
        <w:spacing w:beforeLines="50" w:afterLines="50"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第五条 </w:t>
      </w:r>
      <w:r>
        <w:rPr>
          <w:rFonts w:hint="eastAsia" w:ascii="宋体" w:hAnsi="宋体" w:eastAsia="宋体" w:cs="宋体"/>
          <w:b/>
          <w:color w:val="auto"/>
          <w:szCs w:val="21"/>
          <w:highlight w:val="none"/>
        </w:rPr>
        <w:t xml:space="preserve"> </w:t>
      </w:r>
      <w:r>
        <w:rPr>
          <w:rFonts w:hint="eastAsia" w:ascii="宋体" w:hAnsi="宋体" w:eastAsia="宋体" w:cs="宋体"/>
          <w:b/>
          <w:color w:val="auto"/>
          <w:sz w:val="30"/>
          <w:szCs w:val="30"/>
          <w:highlight w:val="none"/>
          <w:lang w:eastAsia="zh-CN"/>
        </w:rPr>
        <w:t>服务</w:t>
      </w:r>
      <w:r>
        <w:rPr>
          <w:rFonts w:hint="eastAsia" w:ascii="宋体" w:hAnsi="宋体" w:eastAsia="宋体" w:cs="宋体"/>
          <w:b/>
          <w:color w:val="auto"/>
          <w:sz w:val="30"/>
          <w:szCs w:val="30"/>
          <w:highlight w:val="none"/>
        </w:rPr>
        <w:t>费支付方式</w:t>
      </w:r>
    </w:p>
    <w:p w14:paraId="5042569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1.</w:t>
      </w:r>
      <w:r>
        <w:rPr>
          <w:rFonts w:hint="eastAsia" w:ascii="宋体" w:hAnsi="宋体" w:eastAsia="宋体" w:cs="宋体"/>
          <w:i w:val="0"/>
          <w:iCs w:val="0"/>
          <w:caps w:val="0"/>
          <w:color w:val="auto"/>
          <w:spacing w:val="0"/>
          <w:bdr w:val="none" w:color="auto" w:sz="0" w:space="0"/>
          <w:shd w:val="clear" w:fill="FFFFFF"/>
        </w:rPr>
        <w:t>付款条件说明：合同签订后 ，达到付款条件起 10 日内，支付合同总金额的 10.00%。</w:t>
      </w:r>
    </w:p>
    <w:p w14:paraId="4FA39E64">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2.</w:t>
      </w:r>
      <w:r>
        <w:rPr>
          <w:rFonts w:hint="eastAsia" w:ascii="宋体" w:hAnsi="宋体" w:eastAsia="宋体" w:cs="宋体"/>
          <w:i w:val="0"/>
          <w:iCs w:val="0"/>
          <w:caps w:val="0"/>
          <w:color w:val="auto"/>
          <w:spacing w:val="0"/>
          <w:bdr w:val="none" w:color="auto" w:sz="0" w:space="0"/>
          <w:shd w:val="clear" w:fill="FFFFFF"/>
        </w:rPr>
        <w:t>付款条件说明：完成《宁强县生态文明建设规划》《宁强县“绿水青山就是金山银山”实践创新基地建设实施方案》编制并通过专家评审，达到付款条件起 10 日内，支付合同总金额的 20.00%。</w:t>
      </w:r>
    </w:p>
    <w:p w14:paraId="45104F7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3.</w:t>
      </w:r>
      <w:r>
        <w:rPr>
          <w:rFonts w:hint="eastAsia" w:ascii="宋体" w:hAnsi="宋体" w:eastAsia="宋体" w:cs="宋体"/>
          <w:i w:val="0"/>
          <w:iCs w:val="0"/>
          <w:caps w:val="0"/>
          <w:color w:val="auto"/>
          <w:spacing w:val="0"/>
          <w:bdr w:val="none" w:color="auto" w:sz="0" w:space="0"/>
          <w:shd w:val="clear" w:fill="FFFFFF"/>
        </w:rPr>
        <w:t>付款条件说明：合同期间，每年度完成国家生态文明建设示范县上一年度建设指标达标情况、“绿水青山就是金山银山”实践创新基地上一年度工作进展并上传平台后，达到付款条件起 10 日内，支付合同总金额的 20.00%。</w:t>
      </w:r>
    </w:p>
    <w:p w14:paraId="69813F8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4.</w:t>
      </w:r>
      <w:r>
        <w:rPr>
          <w:rFonts w:hint="eastAsia" w:ascii="宋体" w:hAnsi="宋体" w:eastAsia="宋体" w:cs="宋体"/>
          <w:i w:val="0"/>
          <w:iCs w:val="0"/>
          <w:caps w:val="0"/>
          <w:color w:val="auto"/>
          <w:spacing w:val="0"/>
          <w:bdr w:val="none" w:color="auto" w:sz="0" w:space="0"/>
          <w:shd w:val="clear" w:fill="FFFFFF"/>
        </w:rPr>
        <w:t>付款条件说明：按照《生态文明建设示范区管理规程》《生态文明建设示范区(市)建设指标》，完成宁强县生态文明建设示范区复核材料（省级生态环境主管部门书面预审意见;第十七条、十八条所列情形符合情况；近六年建设指标达标情况及相关佐证材料;年度工作开展情况说明材料）及相关佐证材料，并通过生态环境部技术复核后，达到付款条件起 14 日内，支付合同总金额的</w:t>
      </w:r>
      <w:bookmarkStart w:id="58" w:name="_GoBack"/>
      <w:bookmarkEnd w:id="58"/>
      <w:r>
        <w:rPr>
          <w:rFonts w:hint="eastAsia" w:ascii="宋体" w:hAnsi="宋体" w:eastAsia="宋体" w:cs="宋体"/>
          <w:i w:val="0"/>
          <w:iCs w:val="0"/>
          <w:caps w:val="0"/>
          <w:color w:val="auto"/>
          <w:spacing w:val="0"/>
          <w:bdr w:val="none" w:color="auto" w:sz="0" w:space="0"/>
          <w:shd w:val="clear" w:fill="FFFFFF"/>
        </w:rPr>
        <w:t>30.00%。</w:t>
      </w:r>
    </w:p>
    <w:p w14:paraId="1AEFD360">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lang w:val="en-US" w:eastAsia="zh-CN"/>
        </w:rPr>
        <w:t>5.</w:t>
      </w:r>
      <w:r>
        <w:rPr>
          <w:rFonts w:hint="eastAsia" w:ascii="宋体" w:hAnsi="宋体" w:eastAsia="宋体" w:cs="宋体"/>
          <w:i w:val="0"/>
          <w:iCs w:val="0"/>
          <w:caps w:val="0"/>
          <w:color w:val="auto"/>
          <w:spacing w:val="0"/>
          <w:bdr w:val="none" w:color="auto" w:sz="0" w:space="0"/>
          <w:shd w:val="clear" w:fill="FFFFFF"/>
        </w:rPr>
        <w:t>付款条件说明：按照《“绿水青山就是金山银山”实践创新基地建设管理规程》《绿水青山就是金山银山”实践创新基地建设成效评估参考指标》，完成宁强县“两山”基地复核材料（主要包括省级生态环境主管部门书面预审意见，近六年建设成效评估参考指标及佐证材料;生态环境质量改善情况、典型案例和经验模式推广应用情况、长效保障机制建设情况;第十七条所列警告情形及整改情况、第十八条所列撤销称号情形涉及情况及佐证材料）等，并通过生态环境部技术复核后，达到付款条件起 14 日内，支付合同总金额的 20.00%。</w:t>
      </w:r>
    </w:p>
    <w:p w14:paraId="571A16EF">
      <w:pPr>
        <w:shd w:val="clear" w:color="auto" w:fill="auto"/>
        <w:spacing w:beforeLines="50" w:afterLines="50"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第六条   知识产权</w:t>
      </w:r>
    </w:p>
    <w:p w14:paraId="6DB3EEED">
      <w:pPr>
        <w:shd w:val="clear" w:color="auto" w:fill="auto"/>
        <w:tabs>
          <w:tab w:val="left" w:pos="144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乙方应保证所提供的</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或其任何一部分均不会侵犯任何第三方的专利权、商标权或著作权。</w:t>
      </w:r>
    </w:p>
    <w:p w14:paraId="18C73F78">
      <w:pPr>
        <w:shd w:val="clear" w:color="auto" w:fill="auto"/>
        <w:spacing w:beforeLines="50" w:afterLines="50"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第七条  无产权瑕疵条款</w:t>
      </w:r>
    </w:p>
    <w:p w14:paraId="2F890AB1">
      <w:pPr>
        <w:shd w:val="clear" w:color="auto" w:fill="auto"/>
        <w:tabs>
          <w:tab w:val="left" w:pos="144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乙方保证所提供的</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的所有权完全属于乙方且无任何抵押、查封等产权瑕疵。如有产权瑕疵的，视为乙方违约。乙方应负担由此而产生的一切损失。</w:t>
      </w:r>
    </w:p>
    <w:p w14:paraId="11B1F4FC">
      <w:pPr>
        <w:shd w:val="clear" w:color="auto" w:fill="auto"/>
        <w:spacing w:beforeLines="50" w:afterLines="50"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第八条  甲方的权利和义务</w:t>
      </w:r>
    </w:p>
    <w:p w14:paraId="2A45C3CD">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1.甲方有权对合同规定范围内乙方的</w:t>
      </w:r>
      <w:r>
        <w:rPr>
          <w:rFonts w:hint="eastAsia" w:ascii="宋体" w:hAnsi="宋体" w:eastAsia="宋体" w:cs="宋体"/>
          <w:bCs/>
          <w:color w:val="auto"/>
          <w:sz w:val="24"/>
          <w:highlight w:val="none"/>
          <w:lang w:eastAsia="zh-CN"/>
        </w:rPr>
        <w:t>服务</w:t>
      </w:r>
      <w:r>
        <w:rPr>
          <w:rFonts w:hint="eastAsia" w:ascii="宋体" w:hAnsi="宋体" w:eastAsia="宋体" w:cs="宋体"/>
          <w:bCs/>
          <w:color w:val="auto"/>
          <w:sz w:val="24"/>
          <w:highlight w:val="none"/>
        </w:rPr>
        <w:t>行为进行监督和检查，拥有监管权。有权定期核对乙方提供</w:t>
      </w:r>
      <w:r>
        <w:rPr>
          <w:rFonts w:hint="eastAsia" w:ascii="宋体" w:hAnsi="宋体" w:eastAsia="宋体" w:cs="宋体"/>
          <w:bCs/>
          <w:color w:val="auto"/>
          <w:sz w:val="24"/>
          <w:highlight w:val="none"/>
          <w:lang w:eastAsia="zh-CN"/>
        </w:rPr>
        <w:t>服务</w:t>
      </w:r>
      <w:r>
        <w:rPr>
          <w:rFonts w:hint="eastAsia" w:ascii="宋体" w:hAnsi="宋体" w:eastAsia="宋体" w:cs="宋体"/>
          <w:bCs/>
          <w:color w:val="auto"/>
          <w:sz w:val="24"/>
          <w:highlight w:val="none"/>
        </w:rPr>
        <w:t>所配备的人员数量。对甲方认为不合理的部分有权下达整改通知书，并要求乙方限期整改。</w:t>
      </w:r>
    </w:p>
    <w:p w14:paraId="39FA2037">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2.甲方有权依据双方签订的考评办法对乙方提供的</w:t>
      </w:r>
      <w:r>
        <w:rPr>
          <w:rFonts w:hint="eastAsia" w:ascii="宋体" w:hAnsi="宋体" w:eastAsia="宋体" w:cs="宋体"/>
          <w:bCs/>
          <w:color w:val="auto"/>
          <w:sz w:val="24"/>
          <w:highlight w:val="none"/>
          <w:lang w:eastAsia="zh-CN"/>
        </w:rPr>
        <w:t>服务</w:t>
      </w:r>
      <w:r>
        <w:rPr>
          <w:rFonts w:hint="eastAsia" w:ascii="宋体" w:hAnsi="宋体" w:eastAsia="宋体" w:cs="宋体"/>
          <w:bCs/>
          <w:color w:val="auto"/>
          <w:sz w:val="24"/>
          <w:highlight w:val="none"/>
        </w:rPr>
        <w:t>进行定期考评。当考评结果未达到标准时，有权依据考评办法约定的数额扣除履约保证金。</w:t>
      </w:r>
    </w:p>
    <w:p w14:paraId="5AAD7D6B">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3.负责检查监督乙方管理工作的实施及制度的执行情况。</w:t>
      </w:r>
    </w:p>
    <w:p w14:paraId="0F8E1B95">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4.根据本合同规定，按时向乙方支付应付</w:t>
      </w:r>
      <w:r>
        <w:rPr>
          <w:rFonts w:hint="eastAsia" w:ascii="宋体" w:hAnsi="宋体" w:eastAsia="宋体" w:cs="宋体"/>
          <w:bCs/>
          <w:color w:val="auto"/>
          <w:sz w:val="24"/>
          <w:highlight w:val="none"/>
          <w:lang w:eastAsia="zh-CN"/>
        </w:rPr>
        <w:t>服务</w:t>
      </w:r>
      <w:r>
        <w:rPr>
          <w:rFonts w:hint="eastAsia" w:ascii="宋体" w:hAnsi="宋体" w:eastAsia="宋体" w:cs="宋体"/>
          <w:bCs/>
          <w:color w:val="auto"/>
          <w:sz w:val="24"/>
          <w:highlight w:val="none"/>
        </w:rPr>
        <w:t>费用。</w:t>
      </w:r>
    </w:p>
    <w:p w14:paraId="21D7D044">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5.国家法律、法规所规定由甲方承担的其它责任。</w:t>
      </w:r>
    </w:p>
    <w:p w14:paraId="47832013">
      <w:pPr>
        <w:shd w:val="clear" w:color="auto" w:fill="auto"/>
        <w:spacing w:beforeLines="50" w:afterLines="50"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第九条  乙方的权利和义务</w:t>
      </w:r>
    </w:p>
    <w:p w14:paraId="2D9757B1">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1.对本合同规定的委托</w:t>
      </w:r>
      <w:r>
        <w:rPr>
          <w:rFonts w:hint="eastAsia" w:ascii="宋体" w:hAnsi="宋体" w:eastAsia="宋体" w:cs="宋体"/>
          <w:bCs/>
          <w:color w:val="auto"/>
          <w:sz w:val="24"/>
          <w:highlight w:val="none"/>
          <w:lang w:eastAsia="zh-CN"/>
        </w:rPr>
        <w:t>服务</w:t>
      </w:r>
      <w:r>
        <w:rPr>
          <w:rFonts w:hint="eastAsia" w:ascii="宋体" w:hAnsi="宋体" w:eastAsia="宋体" w:cs="宋体"/>
          <w:bCs/>
          <w:color w:val="auto"/>
          <w:sz w:val="24"/>
          <w:highlight w:val="none"/>
        </w:rPr>
        <w:t>范围内的项目享有管理权及</w:t>
      </w:r>
      <w:r>
        <w:rPr>
          <w:rFonts w:hint="eastAsia" w:ascii="宋体" w:hAnsi="宋体" w:eastAsia="宋体" w:cs="宋体"/>
          <w:bCs/>
          <w:color w:val="auto"/>
          <w:sz w:val="24"/>
          <w:highlight w:val="none"/>
          <w:lang w:eastAsia="zh-CN"/>
        </w:rPr>
        <w:t>服务</w:t>
      </w:r>
      <w:r>
        <w:rPr>
          <w:rFonts w:hint="eastAsia" w:ascii="宋体" w:hAnsi="宋体" w:eastAsia="宋体" w:cs="宋体"/>
          <w:bCs/>
          <w:color w:val="auto"/>
          <w:sz w:val="24"/>
          <w:highlight w:val="none"/>
        </w:rPr>
        <w:t>义务。</w:t>
      </w:r>
    </w:p>
    <w:p w14:paraId="166B1F64">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2.根据本合同的规定向甲方收取相关</w:t>
      </w:r>
      <w:r>
        <w:rPr>
          <w:rFonts w:hint="eastAsia" w:ascii="宋体" w:hAnsi="宋体" w:eastAsia="宋体" w:cs="宋体"/>
          <w:bCs/>
          <w:color w:val="auto"/>
          <w:sz w:val="24"/>
          <w:highlight w:val="none"/>
          <w:lang w:eastAsia="zh-CN"/>
        </w:rPr>
        <w:t>服务</w:t>
      </w:r>
      <w:r>
        <w:rPr>
          <w:rFonts w:hint="eastAsia" w:ascii="宋体" w:hAnsi="宋体" w:eastAsia="宋体" w:cs="宋体"/>
          <w:bCs/>
          <w:color w:val="auto"/>
          <w:sz w:val="24"/>
          <w:highlight w:val="none"/>
        </w:rPr>
        <w:t>费用，并有权在本项目管理范围内管理及合理使用。</w:t>
      </w:r>
    </w:p>
    <w:p w14:paraId="63C9F178">
      <w:pPr>
        <w:shd w:val="clear" w:color="auto" w:fill="auto"/>
        <w:adjustRightInd w:val="0"/>
        <w:spacing w:line="360" w:lineRule="auto"/>
        <w:ind w:firstLine="480" w:firstLineChars="2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3.及时向甲方通告本项目</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范围内有关</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的重大事项，及时配合处理投诉。</w:t>
      </w:r>
    </w:p>
    <w:p w14:paraId="621EF3F4">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bCs/>
          <w:color w:val="auto"/>
          <w:sz w:val="24"/>
          <w:highlight w:val="none"/>
        </w:rPr>
        <w:t>接受项目行业管理部门及政府有关部门的指导，接受甲方的监督。</w:t>
      </w:r>
    </w:p>
    <w:p w14:paraId="0F4B3CC1">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5.国家法律、法规所规定由乙方承担的其它责任。</w:t>
      </w:r>
    </w:p>
    <w:p w14:paraId="1F89860F">
      <w:pPr>
        <w:shd w:val="clear" w:color="auto" w:fill="auto"/>
        <w:spacing w:beforeLines="50" w:afterLines="50"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第十条  违约责任</w:t>
      </w:r>
    </w:p>
    <w:p w14:paraId="69478C51">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1.甲乙双方必须遵守本合同并执行合同中的各项规定，保证本合同的正常履行。</w:t>
      </w:r>
    </w:p>
    <w:p w14:paraId="5FDCCE5C">
      <w:pPr>
        <w:shd w:val="clear" w:color="auto" w:fill="auto"/>
        <w:adjustRightInd w:val="0"/>
        <w:spacing w:line="360" w:lineRule="auto"/>
        <w:ind w:firstLine="480" w:firstLineChars="200"/>
        <w:jc w:val="left"/>
        <w:textAlignment w:val="baseline"/>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81886CA">
      <w:pPr>
        <w:shd w:val="clear" w:color="auto" w:fill="auto"/>
        <w:spacing w:beforeLines="50" w:afterLines="50"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第十一条  不可抗力事件处理</w:t>
      </w:r>
    </w:p>
    <w:p w14:paraId="6A471E43">
      <w:pPr>
        <w:shd w:val="clear" w:color="auto" w:fill="auto"/>
        <w:tabs>
          <w:tab w:val="left" w:pos="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1.在合同有效期内，任何一方因不可抗力事件导致不能履行合同，则合同履行期可延长，其延长期与不可抗力影响期相同。</w:t>
      </w:r>
    </w:p>
    <w:p w14:paraId="1E547644">
      <w:pPr>
        <w:shd w:val="clear" w:color="auto" w:fill="auto"/>
        <w:tabs>
          <w:tab w:val="left" w:pos="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2.不可抗力事件发生后，应立即通知对方，并寄送有关权威机构出具的证明。</w:t>
      </w:r>
    </w:p>
    <w:p w14:paraId="619508FA">
      <w:pPr>
        <w:shd w:val="clear" w:color="auto" w:fill="auto"/>
        <w:tabs>
          <w:tab w:val="left" w:pos="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3.不可抗力事件延续XX天以上，双方应通过友好协商，确定是否继续履行合同。</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39F23016">
      <w:pPr>
        <w:widowControl/>
        <w:shd w:val="clear" w:color="auto" w:fill="auto"/>
        <w:spacing w:beforeLines="50" w:afterLines="50" w:line="360" w:lineRule="auto"/>
        <w:jc w:val="left"/>
        <w:rPr>
          <w:rFonts w:hint="eastAsia" w:ascii="宋体" w:hAnsi="宋体" w:eastAsia="宋体" w:cs="宋体"/>
          <w:color w:val="auto"/>
          <w:kern w:val="0"/>
          <w:sz w:val="30"/>
          <w:szCs w:val="30"/>
          <w:highlight w:val="none"/>
        </w:rPr>
      </w:pPr>
      <w:bookmarkStart w:id="24" w:name="_Toc211854454"/>
      <w:bookmarkStart w:id="25" w:name="_Toc247334846"/>
      <w:bookmarkStart w:id="26" w:name="_Toc251768867"/>
      <w:bookmarkStart w:id="27" w:name="_Toc239233919"/>
      <w:bookmarkStart w:id="28" w:name="_Toc212019599"/>
      <w:bookmarkStart w:id="29" w:name="_Toc237145411"/>
      <w:bookmarkStart w:id="30" w:name="_Toc241833908"/>
      <w:bookmarkStart w:id="31" w:name="_Toc238984980"/>
      <w:bookmarkStart w:id="32" w:name="_Toc239568423"/>
      <w:bookmarkStart w:id="33" w:name="_Toc225670756"/>
      <w:bookmarkStart w:id="34" w:name="_Toc185395254"/>
      <w:bookmarkStart w:id="35" w:name="_Toc225244857"/>
      <w:bookmarkStart w:id="36" w:name="_Toc232492933"/>
      <w:bookmarkStart w:id="37" w:name="_Toc225654649"/>
      <w:bookmarkStart w:id="38" w:name="_Toc211911353"/>
      <w:bookmarkStart w:id="39" w:name="_Toc286993792"/>
      <w:r>
        <w:rPr>
          <w:rFonts w:hint="eastAsia" w:ascii="宋体" w:hAnsi="宋体" w:eastAsia="宋体" w:cs="宋体"/>
          <w:b/>
          <w:color w:val="auto"/>
          <w:sz w:val="30"/>
          <w:szCs w:val="30"/>
          <w:highlight w:val="none"/>
        </w:rPr>
        <w:t xml:space="preserve">  第十二条  </w:t>
      </w:r>
      <w:r>
        <w:rPr>
          <w:rFonts w:hint="eastAsia" w:ascii="宋体" w:hAnsi="宋体" w:eastAsia="宋体" w:cs="宋体"/>
          <w:b/>
          <w:color w:val="auto"/>
          <w:kern w:val="0"/>
          <w:sz w:val="30"/>
          <w:szCs w:val="30"/>
          <w:highlight w:val="none"/>
        </w:rPr>
        <w:t>合同的变更和终止</w:t>
      </w:r>
    </w:p>
    <w:p w14:paraId="671B88E3">
      <w:pPr>
        <w:widowControl/>
        <w:shd w:val="clear" w:color="auto" w:fill="auto"/>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除《中华人民共和国政府采购法》第49条、第50条第二款规定的情形外，本合同一经签订，甲乙双方不得擅自变更、中止或终止合同。</w:t>
      </w:r>
    </w:p>
    <w:p w14:paraId="2B8B859E">
      <w:pPr>
        <w:shd w:val="clear" w:color="auto" w:fill="auto"/>
        <w:spacing w:beforeLines="50" w:afterLines="50" w:line="360" w:lineRule="auto"/>
        <w:ind w:left="425"/>
        <w:rPr>
          <w:rFonts w:hint="eastAsia" w:ascii="宋体" w:hAnsi="宋体" w:eastAsia="宋体" w:cs="宋体"/>
          <w:b/>
          <w:color w:val="auto"/>
          <w:szCs w:val="21"/>
          <w:highlight w:val="none"/>
        </w:rPr>
      </w:pPr>
      <w:r>
        <w:rPr>
          <w:rFonts w:hint="eastAsia" w:ascii="宋体" w:hAnsi="宋体" w:eastAsia="宋体" w:cs="宋体"/>
          <w:b/>
          <w:color w:val="auto"/>
          <w:sz w:val="30"/>
          <w:szCs w:val="30"/>
          <w:highlight w:val="none"/>
        </w:rPr>
        <w:t>第十三条  解决合同纠纷的方式</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4499D27">
      <w:pPr>
        <w:pStyle w:val="9"/>
        <w:shd w:val="clear" w:color="auto" w:fill="auto"/>
        <w:spacing w:line="360" w:lineRule="auto"/>
        <w:ind w:firstLine="480"/>
        <w:rPr>
          <w:rFonts w:hint="eastAsia" w:ascii="宋体" w:hAnsi="宋体" w:eastAsia="宋体" w:cs="宋体"/>
          <w:color w:val="auto"/>
          <w:kern w:val="0"/>
          <w:highlight w:val="none"/>
        </w:rPr>
      </w:pPr>
      <w:r>
        <w:rPr>
          <w:rFonts w:hint="eastAsia" w:ascii="宋体" w:hAnsi="宋体" w:eastAsia="宋体" w:cs="宋体"/>
          <w:color w:val="auto"/>
          <w:highlight w:val="none"/>
        </w:rPr>
        <w:t>1.在执行本合同中发生的或与本合同有关的争端，双方应通过友好协商解决，经协商在XX天内不能达成协议时，</w:t>
      </w:r>
      <w:r>
        <w:rPr>
          <w:rFonts w:hint="eastAsia" w:ascii="宋体" w:hAnsi="宋体" w:eastAsia="宋体" w:cs="宋体"/>
          <w:color w:val="auto"/>
          <w:kern w:val="0"/>
          <w:highlight w:val="none"/>
        </w:rPr>
        <w:t>则采取以下第____种方式解决争议：</w:t>
      </w:r>
    </w:p>
    <w:p w14:paraId="468735C7">
      <w:pPr>
        <w:pStyle w:val="9"/>
        <w:shd w:val="clear" w:color="auto" w:fill="auto"/>
        <w:spacing w:line="360" w:lineRule="auto"/>
        <w:ind w:firstLine="480"/>
        <w:rPr>
          <w:rFonts w:hint="eastAsia" w:ascii="宋体" w:hAnsi="宋体" w:eastAsia="宋体" w:cs="宋体"/>
          <w:color w:val="auto"/>
          <w:kern w:val="0"/>
          <w:highlight w:val="none"/>
        </w:rPr>
      </w:pPr>
      <w:r>
        <w:rPr>
          <w:rFonts w:hint="eastAsia" w:ascii="宋体" w:hAnsi="宋体" w:eastAsia="宋体" w:cs="宋体"/>
          <w:color w:val="auto"/>
          <w:kern w:val="0"/>
          <w:highlight w:val="none"/>
        </w:rPr>
        <w:t>（1）向甲方所在地有管辖权的人民法院提起诉讼；</w:t>
      </w:r>
    </w:p>
    <w:p w14:paraId="4D3DD696">
      <w:pPr>
        <w:pStyle w:val="9"/>
        <w:shd w:val="clear" w:color="auto" w:fill="auto"/>
        <w:spacing w:line="360" w:lineRule="auto"/>
        <w:ind w:firstLine="480"/>
        <w:rPr>
          <w:rFonts w:hint="eastAsia" w:ascii="宋体" w:hAnsi="宋体" w:eastAsia="宋体" w:cs="宋体"/>
          <w:color w:val="auto"/>
          <w:kern w:val="0"/>
          <w:highlight w:val="none"/>
        </w:rPr>
      </w:pPr>
      <w:r>
        <w:rPr>
          <w:rFonts w:hint="eastAsia" w:ascii="宋体" w:hAnsi="宋体" w:eastAsia="宋体" w:cs="宋体"/>
          <w:color w:val="auto"/>
          <w:kern w:val="0"/>
          <w:highlight w:val="none"/>
        </w:rPr>
        <w:t>（2）向____________仲裁委员会按其仲裁规则申请仲裁。</w:t>
      </w:r>
    </w:p>
    <w:p w14:paraId="5F5199DB">
      <w:pPr>
        <w:shd w:val="clear" w:color="auto" w:fill="auto"/>
        <w:tabs>
          <w:tab w:val="left" w:pos="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2.在仲裁期间，本合同应继续履行。</w:t>
      </w:r>
    </w:p>
    <w:p w14:paraId="0D3DDFB0">
      <w:pPr>
        <w:shd w:val="clear" w:color="auto" w:fill="auto"/>
        <w:spacing w:beforeLines="50" w:afterLines="50" w:line="360" w:lineRule="auto"/>
        <w:ind w:left="425"/>
        <w:rPr>
          <w:rFonts w:hint="eastAsia" w:ascii="宋体" w:hAnsi="宋体" w:eastAsia="宋体" w:cs="宋体"/>
          <w:b/>
          <w:color w:val="auto"/>
          <w:sz w:val="30"/>
          <w:szCs w:val="30"/>
          <w:highlight w:val="none"/>
        </w:rPr>
      </w:pPr>
      <w:bookmarkStart w:id="40" w:name="_Toc241833909"/>
      <w:bookmarkStart w:id="41" w:name="_Toc232492934"/>
      <w:bookmarkStart w:id="42" w:name="_Toc239568424"/>
      <w:bookmarkStart w:id="43" w:name="_Toc251768868"/>
      <w:bookmarkStart w:id="44" w:name="_Toc283019219"/>
      <w:bookmarkStart w:id="45" w:name="_Toc225670757"/>
      <w:bookmarkStart w:id="46" w:name="_Toc211911354"/>
      <w:bookmarkStart w:id="47" w:name="_Toc239233920"/>
      <w:bookmarkStart w:id="48" w:name="_Toc282696231"/>
      <w:bookmarkStart w:id="49" w:name="_Toc238984981"/>
      <w:bookmarkStart w:id="50" w:name="_Toc286993793"/>
      <w:bookmarkStart w:id="51" w:name="_Toc185395255"/>
      <w:bookmarkStart w:id="52" w:name="_Toc211854455"/>
      <w:bookmarkStart w:id="53" w:name="_Toc237145412"/>
      <w:bookmarkStart w:id="54" w:name="_Toc247334847"/>
      <w:bookmarkStart w:id="55" w:name="_Toc212019600"/>
      <w:bookmarkStart w:id="56" w:name="_Toc225244858"/>
      <w:bookmarkStart w:id="57" w:name="_Toc225654650"/>
      <w:r>
        <w:rPr>
          <w:rFonts w:hint="eastAsia" w:ascii="宋体" w:hAnsi="宋体" w:eastAsia="宋体" w:cs="宋体"/>
          <w:b/>
          <w:color w:val="auto"/>
          <w:sz w:val="30"/>
          <w:szCs w:val="30"/>
          <w:highlight w:val="none"/>
        </w:rPr>
        <w:t>第十四条  合同</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Pr>
          <w:rFonts w:hint="eastAsia" w:ascii="宋体" w:hAnsi="宋体" w:eastAsia="宋体" w:cs="宋体"/>
          <w:b/>
          <w:color w:val="auto"/>
          <w:sz w:val="30"/>
          <w:szCs w:val="30"/>
          <w:highlight w:val="none"/>
        </w:rPr>
        <w:t>生效及其他</w:t>
      </w:r>
    </w:p>
    <w:p w14:paraId="50E0A05A">
      <w:pPr>
        <w:pStyle w:val="10"/>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1.合同经双方法定代表人或授权委托代理人签字并加盖单位公章后生效。</w:t>
      </w:r>
    </w:p>
    <w:p w14:paraId="5C799833">
      <w:pPr>
        <w:pStyle w:val="10"/>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2.合同执行中涉及资金和内容修改或补充的，可作为主合同不可分割的一部分。</w:t>
      </w:r>
    </w:p>
    <w:p w14:paraId="6CE91C4E">
      <w:pPr>
        <w:pStyle w:val="10"/>
        <w:shd w:val="clear" w:color="auto" w:fill="auto"/>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3.本合同一式XX份，自双方签章之日起起效。甲方XX份，乙方XX份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具有同等法律效力。</w:t>
      </w:r>
    </w:p>
    <w:p w14:paraId="56D4A244">
      <w:pPr>
        <w:shd w:val="clear" w:color="auto" w:fill="auto"/>
        <w:spacing w:line="360" w:lineRule="auto"/>
        <w:ind w:firstLine="480" w:firstLineChars="200"/>
        <w:rPr>
          <w:rFonts w:hint="eastAsia" w:ascii="宋体" w:hAnsi="宋体" w:eastAsia="宋体" w:cs="宋体"/>
          <w:color w:val="auto"/>
          <w:sz w:val="24"/>
          <w:highlight w:val="none"/>
        </w:rPr>
      </w:pPr>
    </w:p>
    <w:p w14:paraId="28346FE5">
      <w:pPr>
        <w:shd w:val="clear" w:color="auto" w:fill="auto"/>
        <w:spacing w:line="360" w:lineRule="auto"/>
        <w:ind w:firstLine="480" w:firstLineChars="200"/>
        <w:rPr>
          <w:rFonts w:hint="eastAsia" w:ascii="宋体" w:hAnsi="宋体" w:eastAsia="宋体" w:cs="宋体"/>
          <w:color w:val="auto"/>
          <w:sz w:val="24"/>
          <w:highlight w:val="none"/>
        </w:rPr>
      </w:pPr>
    </w:p>
    <w:p w14:paraId="72FAD77F">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甲方：   （盖章）   </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乙方：   （盖章）</w:t>
      </w:r>
    </w:p>
    <w:p w14:paraId="6DC108B7">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法定代表人（委托代理人）：              法定代表人（委托代理人）：</w:t>
      </w:r>
    </w:p>
    <w:p w14:paraId="73CC1013">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                             地    址：</w:t>
      </w:r>
    </w:p>
    <w:p w14:paraId="445EC64E">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                             开户银行：</w:t>
      </w:r>
    </w:p>
    <w:p w14:paraId="28AB052D">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                                 账号：</w:t>
      </w:r>
    </w:p>
    <w:p w14:paraId="2CC7EC75">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                             电    话：</w:t>
      </w:r>
    </w:p>
    <w:p w14:paraId="435706BE">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                             传    真：</w:t>
      </w:r>
    </w:p>
    <w:p w14:paraId="42D3D677">
      <w:pPr>
        <w:shd w:val="clear" w:color="auto" w:fill="auto"/>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签约日期：XX年XX月XX日 </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签约日期：XX年XX月XX日</w:t>
      </w:r>
    </w:p>
    <w:p w14:paraId="501413F2">
      <w:pPr>
        <w:rPr>
          <w:rFonts w:hint="eastAsia" w:eastAsia="宋体"/>
          <w:highlight w:val="none"/>
          <w:lang w:eastAsia="zh-CN"/>
        </w:rPr>
      </w:pPr>
    </w:p>
    <w:p w14:paraId="2069177D">
      <w:pPr>
        <w:pStyle w:val="3"/>
        <w:rPr>
          <w:rFonts w:hint="eastAsia"/>
          <w:highlight w:val="none"/>
          <w:lang w:eastAsia="zh-CN"/>
        </w:rPr>
      </w:pPr>
    </w:p>
    <w:p w14:paraId="1EF0E3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6A1F5">
    <w:pPr>
      <w:pStyle w:val="4"/>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4DD79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14:paraId="14DD79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r>
      <w:rPr>
        <w:rFonts w:hint="eastAsia"/>
        <w:kern w:val="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3D52D">
    <w:pPr>
      <w:pStyle w:val="4"/>
      <w:tabs>
        <w:tab w:val="center" w:pos="4479"/>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1D7B15F">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14:paraId="41D7B15F">
                    <w:pPr>
                      <w:pStyle w:val="4"/>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4BF9D67">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44BF9D67">
                    <w:pPr>
                      <w:pStyle w:val="4"/>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817B8">
    <w:pPr>
      <w:pStyle w:val="5"/>
      <w:pBdr>
        <w:bottom w:val="none" w:color="auto" w:sz="0" w:space="1"/>
      </w:pBdr>
      <w:tabs>
        <w:tab w:val="left" w:pos="2998"/>
        <w:tab w:val="clear" w:pos="4153"/>
      </w:tabs>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3D1B6">
    <w:pPr>
      <w:pStyle w:val="5"/>
      <w:pBdr>
        <w:bottom w:val="none" w:color="auto" w:sz="0" w:space="1"/>
      </w:pBdr>
      <w:jc w:val="both"/>
    </w:pPr>
    <w:r>
      <w:rPr>
        <w:rFonts w:eastAsia="宋体"/>
        <w:sz w:val="24"/>
        <w:u w:val="single"/>
      </w:rPr>
      <w:t xml:space="preserve">               </w:t>
    </w:r>
    <w:r>
      <w:rPr>
        <w:rFonts w:hint="eastAsia" w:ascii="宋体" w:hAnsi="宋体" w:eastAsia="宋体"/>
        <w:sz w:val="32"/>
        <w:szCs w:val="28"/>
        <w:lang w:eastAsia="zh-CN"/>
      </w:rPr>
      <w:t>陕西汇鑫林丰项目管理有限责任公司</w:t>
    </w:r>
    <w:r>
      <w:rPr>
        <w:sz w:val="24"/>
      </w:rPr>
      <w:drawing>
        <wp:inline distT="0" distB="0" distL="114300" distR="114300">
          <wp:extent cx="584835" cy="564515"/>
          <wp:effectExtent l="0" t="0" r="5715"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584835" cy="564515"/>
                  </a:xfrm>
                  <a:prstGeom prst="rect">
                    <a:avLst/>
                  </a:prstGeom>
                  <a:noFill/>
                  <a:ln>
                    <a:noFill/>
                  </a:ln>
                </pic:spPr>
              </pic:pic>
            </a:graphicData>
          </a:graphic>
        </wp:inline>
      </w:drawing>
    </w:r>
    <w:r>
      <w:rPr>
        <w:rFonts w:eastAsia="宋体"/>
        <w:sz w:val="24"/>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0B1195"/>
    <w:rsid w:val="31291081"/>
    <w:rsid w:val="37A53396"/>
    <w:rsid w:val="4BBA7CF3"/>
    <w:rsid w:val="79AA4A94"/>
    <w:rsid w:val="7C0B1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hint="eastAsia" w:ascii="Times New Roman" w:hAnsi="Times New Roman" w:eastAsia="Times New Roman" w:cs="Times New Roman"/>
      <w:kern w:val="2"/>
      <w:sz w:val="21"/>
      <w:lang w:val="en-US" w:eastAsia="zh-CN" w:bidi="ar-SA"/>
    </w:rPr>
  </w:style>
  <w:style w:type="paragraph" w:styleId="2">
    <w:name w:val="heading 2"/>
    <w:basedOn w:val="1"/>
    <w:next w:val="1"/>
    <w:unhideWhenUsed/>
    <w:qFormat/>
    <w:uiPriority w:val="9"/>
    <w:pPr>
      <w:keepNext/>
      <w:keepLines/>
      <w:spacing w:before="260" w:beforeLines="0" w:after="260" w:afterLines="0" w:line="416" w:lineRule="auto"/>
      <w:outlineLvl w:val="1"/>
    </w:pPr>
    <w:rPr>
      <w:rFonts w:hint="default" w:ascii="Cambria" w:hAnsi="Cambria" w:eastAsia="宋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widowControl w:val="0"/>
      <w:ind w:firstLine="420"/>
    </w:pPr>
    <w:rPr>
      <w:rFonts w:hint="default" w:eastAsia="宋体"/>
    </w:rPr>
  </w:style>
  <w:style w:type="paragraph" w:styleId="4">
    <w:name w:val="footer"/>
    <w:basedOn w:val="1"/>
    <w:unhideWhenUsed/>
    <w:qFormat/>
    <w:uiPriority w:val="0"/>
    <w:pPr>
      <w:tabs>
        <w:tab w:val="center" w:pos="4153"/>
        <w:tab w:val="right" w:pos="8306"/>
      </w:tabs>
      <w:snapToGrid w:val="0"/>
      <w:spacing w:beforeLines="0" w:afterLines="0"/>
      <w:jc w:val="left"/>
    </w:pPr>
    <w:rPr>
      <w:rFonts w:hint="eastAsia"/>
      <w:sz w:val="18"/>
    </w:rPr>
  </w:style>
  <w:style w:type="paragraph" w:styleId="5">
    <w:name w:val="header"/>
    <w:basedOn w:val="1"/>
    <w:unhideWhenUsed/>
    <w:qFormat/>
    <w:uiPriority w:val="0"/>
    <w:pPr>
      <w:tabs>
        <w:tab w:val="center" w:pos="4153"/>
        <w:tab w:val="right" w:pos="8306"/>
      </w:tabs>
      <w:snapToGrid w:val="0"/>
      <w:spacing w:beforeLines="0" w:afterLines="0"/>
    </w:pPr>
    <w:rPr>
      <w:rFonts w:hint="eastAsia"/>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9">
    <w:name w:val="样式 首行缩进:  2 字符"/>
    <w:basedOn w:val="1"/>
    <w:qFormat/>
    <w:uiPriority w:val="0"/>
    <w:pPr>
      <w:widowControl w:val="0"/>
      <w:spacing w:line="400" w:lineRule="exact"/>
      <w:ind w:firstLine="200" w:firstLineChars="200"/>
    </w:pPr>
    <w:rPr>
      <w:rFonts w:hint="default" w:eastAsia="宋体" w:cs="宋体"/>
      <w:sz w:val="24"/>
      <w:szCs w:val="24"/>
    </w:rPr>
  </w:style>
  <w:style w:type="paragraph" w:customStyle="1" w:styleId="10">
    <w:name w:val="列出段落1"/>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1498</Words>
  <Characters>1572</Characters>
  <Lines>0</Lines>
  <Paragraphs>0</Paragraphs>
  <TotalTime>6</TotalTime>
  <ScaleCrop>false</ScaleCrop>
  <LinksUpToDate>false</LinksUpToDate>
  <CharactersWithSpaces>1865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2025-08-21T04:21:00Z</dcterms:created>
  <dc:creator>枫</dc:creator>
  <cp:lastModifiedBy>枫</cp:lastModifiedBy>
  <dcterms:modified xsi:type="dcterms:W3CDTF">2025-10-26T03:38:29Z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0FB0FFD717EC4361AF523AD86722B818_11</vt:lpwstr>
  </property>
  <property fmtid="{D5CDD505-2E9C-101B-9397-08002B2CF9AE}" pid="4" name="KSOTemplateDocerSaveRecord">
    <vt:lpwstr>eyJoZGlkIjoiNDI0OTg4ZmMwMTJkN2MwYjM4ZDNkMGNlMDZlOGM3NzYiLCJ1c2VySWQiOiI0MjM4OTA3MjMifQ==</vt:lpwstr>
  </property>
</Properties>
</file>