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版本号：TXHZ-2025100320251028002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高台派出所业务用房改扩建项目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TXHZ-20251003</w:t>
      </w:r>
      <w:r>
        <w:br/>
      </w:r>
      <w:r>
        <w:br/>
      </w:r>
      <w:r>
        <w:br/>
      </w:r>
    </w:p>
    <w:p>
      <w:pPr>
        <w:pStyle w:val="null3"/>
        <w:jc w:val="center"/>
        <w:outlineLvl w:val="2"/>
      </w:pPr>
      <w:r>
        <w:rPr>
          <w:rFonts w:ascii="仿宋_GB2312" w:hAnsi="仿宋_GB2312" w:cs="仿宋_GB2312" w:eastAsia="仿宋_GB2312"/>
          <w:sz w:val="28"/>
          <w:b/>
        </w:rPr>
        <w:t>汉中市公安局南郑分局</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汉中市公安局南郑分局</w:t>
      </w:r>
      <w:r>
        <w:rPr>
          <w:rFonts w:ascii="仿宋_GB2312" w:hAnsi="仿宋_GB2312" w:cs="仿宋_GB2312" w:eastAsia="仿宋_GB2312"/>
        </w:rPr>
        <w:t>委托，拟对</w:t>
      </w:r>
      <w:r>
        <w:rPr>
          <w:rFonts w:ascii="仿宋_GB2312" w:hAnsi="仿宋_GB2312" w:cs="仿宋_GB2312" w:eastAsia="仿宋_GB2312"/>
        </w:rPr>
        <w:t>高台派出所业务用房改扩建项目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TXHZ-20251003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高台派出所业务用房改扩建项目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1#楼总建筑面积：353.13平方米、2#楼总建筑面积248.14平方米、3#总建筑面积62.72平方米的维修改造以及电气安装、给排水等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采购包1（高台派出所业务用房改扩建项目）：属于专门面向小微企业采购。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1、授权书：法定代表人授权书复印件及被授权人身份证复印件（法定代表人直接参加投标只须提供法定代表人身份证复印件）；</w:t>
      </w:r>
    </w:p>
    <w:p>
      <w:pPr>
        <w:pStyle w:val="null3"/>
      </w:pPr>
      <w:r>
        <w:rPr>
          <w:rFonts w:ascii="仿宋_GB2312" w:hAnsi="仿宋_GB2312" w:cs="仿宋_GB2312" w:eastAsia="仿宋_GB2312"/>
        </w:rPr>
        <w:t>2、营业执照：具有独立承担民事责任能力的法人、其他组织或自然人，并出具合法有效的营业执照或事业单位法人证书等国家规定的相关证明，自然人参与的提供其身份证明；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3、供应商资质：供应商具备建筑工程施工总承包三级及以上资质，及有效的安全生产许可证</w:t>
      </w:r>
    </w:p>
    <w:p>
      <w:pPr>
        <w:pStyle w:val="null3"/>
      </w:pPr>
      <w:r>
        <w:rPr>
          <w:rFonts w:ascii="仿宋_GB2312" w:hAnsi="仿宋_GB2312" w:cs="仿宋_GB2312" w:eastAsia="仿宋_GB2312"/>
        </w:rPr>
        <w:t>4、拟派项目负责人资质和专业要求：项目经理需具备建筑工程专业二级及以上注册建造师证书和安全生产考核合格证（B证），且无在建工程项目（提供承诺函）</w:t>
      </w:r>
    </w:p>
    <w:p>
      <w:pPr>
        <w:pStyle w:val="null3"/>
      </w:pPr>
      <w:r>
        <w:rPr>
          <w:rFonts w:ascii="仿宋_GB2312" w:hAnsi="仿宋_GB2312" w:cs="仿宋_GB2312" w:eastAsia="仿宋_GB2312"/>
        </w:rPr>
        <w:t>5、供应商及项目经理信息查询：供应商及项目经理信息在“陕西省建筑市场监管与诚信信息发布平台”可查询</w:t>
      </w:r>
    </w:p>
    <w:p>
      <w:pPr>
        <w:pStyle w:val="null3"/>
      </w:pPr>
      <w:r>
        <w:rPr>
          <w:rFonts w:ascii="仿宋_GB2312" w:hAnsi="仿宋_GB2312" w:cs="仿宋_GB2312" w:eastAsia="仿宋_GB2312"/>
        </w:rPr>
        <w:t>6、承诺函：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p>
      <w:pPr>
        <w:pStyle w:val="null3"/>
      </w:pPr>
      <w:r>
        <w:rPr>
          <w:rFonts w:ascii="仿宋_GB2312" w:hAnsi="仿宋_GB2312" w:cs="仿宋_GB2312" w:eastAsia="仿宋_GB2312"/>
        </w:rPr>
        <w:t>7、联合体磋商：本项目不接受联合体磋商</w:t>
      </w:r>
    </w:p>
    <w:p>
      <w:pPr>
        <w:pStyle w:val="null3"/>
      </w:pPr>
      <w:r>
        <w:rPr>
          <w:rFonts w:ascii="仿宋_GB2312" w:hAnsi="仿宋_GB2312" w:cs="仿宋_GB2312" w:eastAsia="仿宋_GB2312"/>
        </w:rPr>
        <w:t>8、中小企业声明函：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汉中市公安局南郑分局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汉中市南郑区汉山街道办吉祥路1号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0916-5525296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采购包1：1,305,357.56元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代理服务费收费标准：1、中标供应商在领取中标通知书前，须向采购代理机构一次性支付采购代理服务费。 2、采购代理服务费参照国家计委颁布的《招标代理服务收费管理暂行办法》（计价格【2002】1980号）、发改办价格【2003】857号规定的收取。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汉中市公安局南郑分局</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汉中市公安局南郑分局</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汉中市公安局南郑分局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1,305,357.56</w:t>
      </w:r>
    </w:p>
    <w:p>
      <w:pPr>
        <w:pStyle w:val="null3"/>
      </w:pPr>
      <w:r>
        <w:rPr>
          <w:rFonts w:ascii="仿宋_GB2312" w:hAnsi="仿宋_GB2312" w:cs="仿宋_GB2312" w:eastAsia="仿宋_GB2312"/>
        </w:rPr>
        <w:t>采购包最高限价（元）: 1,305,276.30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警察业务用房改扩建</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1,305,357.56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标的名称：警察业务用房改扩建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工程概况：</w:t>
            </w:r>
          </w:p>
          <w:p>
            <w:pPr>
              <w:pStyle w:val="null3"/>
              <w:ind w:firstLine="560"/>
              <w:jc w:val="left"/>
            </w:pPr>
            <w:r>
              <w:rPr>
                <w:rFonts w:ascii="仿宋_GB2312" w:hAnsi="仿宋_GB2312" w:cs="仿宋_GB2312" w:eastAsia="仿宋_GB2312"/>
                <w:sz w:val="28"/>
              </w:rPr>
              <w:t>该工程</w:t>
            </w:r>
            <w:r>
              <w:rPr>
                <w:rFonts w:ascii="仿宋_GB2312" w:hAnsi="仿宋_GB2312" w:cs="仿宋_GB2312" w:eastAsia="仿宋_GB2312"/>
                <w:sz w:val="28"/>
              </w:rPr>
              <w:t>建设地点为：汉中市南郑区高台镇，主要建设内容为：</w:t>
            </w:r>
            <w:r>
              <w:rPr>
                <w:rFonts w:ascii="仿宋_GB2312" w:hAnsi="仿宋_GB2312" w:cs="仿宋_GB2312" w:eastAsia="仿宋_GB2312"/>
                <w:sz w:val="28"/>
              </w:rPr>
              <w:t>1#楼总建筑面积：353.13平方米、2#楼总建筑面积248.14平方米、3#总建筑面积62.72平方米的维修改造以及电气安装、给排水等。</w:t>
            </w:r>
          </w:p>
          <w:p>
            <w:pPr>
              <w:pStyle w:val="null3"/>
              <w:jc w:val="both"/>
            </w:pPr>
            <w:r>
              <w:rPr>
                <w:rFonts w:ascii="仿宋_GB2312" w:hAnsi="仿宋_GB2312" w:cs="仿宋_GB2312" w:eastAsia="仿宋_GB2312"/>
                <w:sz w:val="28"/>
                <w:b/>
              </w:rPr>
              <w:t>二、编制范围：</w:t>
            </w:r>
          </w:p>
          <w:p>
            <w:pPr>
              <w:pStyle w:val="null3"/>
              <w:ind w:firstLine="700"/>
              <w:jc w:val="both"/>
            </w:pPr>
            <w:r>
              <w:rPr>
                <w:rFonts w:ascii="仿宋_GB2312" w:hAnsi="仿宋_GB2312" w:cs="仿宋_GB2312" w:eastAsia="仿宋_GB2312"/>
                <w:sz w:val="28"/>
              </w:rPr>
              <w:t>此次招标范围</w:t>
            </w:r>
            <w:r>
              <w:rPr>
                <w:rFonts w:ascii="仿宋_GB2312" w:hAnsi="仿宋_GB2312" w:cs="仿宋_GB2312" w:eastAsia="仿宋_GB2312"/>
                <w:sz w:val="28"/>
              </w:rPr>
              <w:t>，</w:t>
            </w:r>
            <w:r>
              <w:rPr>
                <w:rFonts w:ascii="仿宋_GB2312" w:hAnsi="仿宋_GB2312" w:cs="仿宋_GB2312" w:eastAsia="仿宋_GB2312"/>
                <w:sz w:val="28"/>
              </w:rPr>
              <w:t>详见工程量清单。</w:t>
            </w:r>
          </w:p>
          <w:p>
            <w:pPr>
              <w:pStyle w:val="null3"/>
              <w:jc w:val="both"/>
            </w:pPr>
            <w:r>
              <w:rPr>
                <w:rFonts w:ascii="仿宋_GB2312" w:hAnsi="仿宋_GB2312" w:cs="仿宋_GB2312" w:eastAsia="仿宋_GB2312"/>
                <w:sz w:val="28"/>
                <w:b/>
              </w:rPr>
              <w:t>三、编制依据：</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汉中市公安局南郑分局高台派出所装修改造项目设计图中所有工程内容</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2、建设工程文件及相关资料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3、与建设项目相关的标准、规范等技术资料</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4、《陕西省住房和城乡建设厅关于印发 2025 陕西省建设工程费用规则等计价依据的通知》陕建管发〔2025〕10号文件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《陕西省建设工程费用规则》（</w:t>
            </w:r>
            <w:r>
              <w:rPr>
                <w:rFonts w:ascii="仿宋_GB2312" w:hAnsi="仿宋_GB2312" w:cs="仿宋_GB2312" w:eastAsia="仿宋_GB2312"/>
                <w:sz w:val="28"/>
              </w:rPr>
              <w:t>2025）、《建设工程工程量清单计价标准》（2025）、《房屋建筑与装修工程工程量计算标准》、《通用安装工程工程量计算标准》及其配套文件</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2025）、《陕西省通用安装工程消耗量定额》（2025）、《陕西省建设工程施工机械台班费用定额》（2025）</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《陕西省房屋建筑与装饰工程基价表》（</w:t>
            </w:r>
            <w:r>
              <w:rPr>
                <w:rFonts w:ascii="仿宋_GB2312" w:hAnsi="仿宋_GB2312" w:cs="仿宋_GB2312" w:eastAsia="仿宋_GB2312"/>
                <w:sz w:val="28"/>
              </w:rPr>
              <w:t>2025）、《陕西省通用安装工程基价表》（2025）</w:t>
            </w:r>
            <w:r>
              <w:rPr>
                <w:rFonts w:ascii="仿宋_GB2312" w:hAnsi="仿宋_GB2312" w:cs="仿宋_GB2312" w:eastAsia="仿宋_GB2312"/>
                <w:sz w:val="28"/>
              </w:rPr>
              <w:t>、</w:t>
            </w:r>
            <w:r>
              <w:rPr>
                <w:rFonts w:ascii="仿宋_GB2312" w:hAnsi="仿宋_GB2312" w:cs="仿宋_GB2312" w:eastAsia="仿宋_GB2312"/>
                <w:sz w:val="28"/>
              </w:rPr>
              <w:t>《陕西省</w:t>
            </w:r>
            <w:r>
              <w:rPr>
                <w:rFonts w:ascii="仿宋_GB2312" w:hAnsi="仿宋_GB2312" w:cs="仿宋_GB2312" w:eastAsia="仿宋_GB2312"/>
                <w:sz w:val="28"/>
              </w:rPr>
              <w:t>基价表说明</w:t>
            </w:r>
            <w:r>
              <w:rPr>
                <w:rFonts w:ascii="仿宋_GB2312" w:hAnsi="仿宋_GB2312" w:cs="仿宋_GB2312" w:eastAsia="仿宋_GB2312"/>
                <w:sz w:val="28"/>
              </w:rPr>
              <w:t>(2025)》</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rPr>
              <w:t xml:space="preserve">  8、《2025年9月汉中建设工程造价信息》。</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1.工期：90日历天； 2.承包人严格按照国家颁发的施工验收规范及工程设计图纸要求进行施工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满足采购需求及相关标准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法定代表人授权书复印件及被授权人身份证复印件（法定代表人直接参加投标只须提供法定代表人身份证复印件）；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供应商具备建筑工程施工总承包三级及以上资质，及有效的安全生产许可证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项目经理需具备建筑工程专业二级及以上注册建造师证书和安全生产考核合格证（B证），且无在建工程项目（提供承诺函）</w:t>
            </w:r>
          </w:p>
        </w:tc>
        <w:tc>
          <w:tcPr>
            <w:tcW w:type="dxa" w:w="1661"/>
          </w:tcPr>
          <w:p>
            <w:pPr>
              <w:pStyle w:val="null3"/>
            </w:pPr>
            <w:r>
              <w:rPr>
                <w:rFonts w:ascii="仿宋_GB2312" w:hAnsi="仿宋_GB2312" w:cs="仿宋_GB2312" w:eastAsia="仿宋_GB2312"/>
              </w:rPr>
              <w:t>供应商应提交的相关资格证明材料.docx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供应商及项目经理信息查询</w:t>
            </w:r>
          </w:p>
        </w:tc>
        <w:tc>
          <w:tcPr>
            <w:tcW w:type="dxa" w:w="3322"/>
          </w:tcPr>
          <w:p>
            <w:pPr>
              <w:pStyle w:val="null3"/>
            </w:pPr>
            <w:r>
              <w:rPr>
                <w:rFonts w:ascii="仿宋_GB2312" w:hAnsi="仿宋_GB2312" w:cs="仿宋_GB2312" w:eastAsia="仿宋_GB2312"/>
              </w:rPr>
              <w:t>供应商及项目经理信息在“陕西省建筑市场监管与诚信信息发布平台”可查询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A.实施方案完整详细、有针对性，完全满足项目实施，具有优化建议的得9-6.1分； B.实施方案完整，可行，能满足项目实施的全部要求的得6-3.1分； C.实施方案非专门针对本项目，存在少量逻辑漏洞或前后内容不一致的得3-0分；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安全作业管理</w:t>
            </w:r>
          </w:p>
        </w:tc>
        <w:tc>
          <w:tcPr>
            <w:tcW w:type="dxa" w:w="2492"/>
          </w:tcPr>
          <w:p>
            <w:pPr>
              <w:pStyle w:val="null3"/>
            </w:pPr>
            <w:r>
              <w:rPr>
                <w:rFonts w:ascii="仿宋_GB2312" w:hAnsi="仿宋_GB2312" w:cs="仿宋_GB2312" w:eastAsia="仿宋_GB2312"/>
              </w:rPr>
              <w:t>针对本项目提供具体的安全作业方案及安全配套措施进行综合评审。 A.提供具体详细、有针对性的安全作业方案及安全配套措施，完全符合采购人安全作业要求且具有优化建议的，得9-6.1分； B.提供安全作业方案及安全配套措施，符合采购人安全作业的要求，得6-3.1分； C.提供的安全作业方案及安全配套措施非专门针对本项目，套用其他项目内容，存在少量逻辑漏洞或前后内容不一致的得3-0分。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针对本项目提供的文明施工措施计划进行综合评审。 A.措施计划详细齐全、合理且切实可行，完全满足采购人需求，具有优化建议的得9-6.1分； B.措施计划齐全、合理、切实可行，满足采购人需求得6-3.1分； C.措施计划非专门针对本项目，存在少量逻辑漏洞或前后内容不一致的得3-0分。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技术组织措施</w:t>
            </w:r>
          </w:p>
        </w:tc>
        <w:tc>
          <w:tcPr>
            <w:tcW w:type="dxa" w:w="2492"/>
          </w:tcPr>
          <w:p>
            <w:pPr>
              <w:pStyle w:val="null3"/>
            </w:pPr>
            <w:r>
              <w:rPr>
                <w:rFonts w:ascii="仿宋_GB2312" w:hAnsi="仿宋_GB2312" w:cs="仿宋_GB2312" w:eastAsia="仿宋_GB2312"/>
              </w:rPr>
              <w:t>根据供应商制定的确保工程质量及工期的技术组织措施进行综合评审。 A.措施计划详细齐全、合理且切实可行，完全满足采购人需求，具有优化建议的得8-5.1分； B.措施计划齐全、合理、切实可行，满足采购人需求得5-2.1分； C.措施计划非专门针对本项目，存在少量逻辑漏洞或前后内容不一致的得2-0分；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 A.机构设置合理完善，人员配备齐全，技术经验丰富，人员专业性强，完全满足项目需求得6-3.1分； B.机构设置合理，人员配备齐全，且具备从业经验，满足项目需求得3-1分； C.机构设置非专门针对本项目，人员配备、技术经验有欠缺的得0分；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A.施工机械配备合理并提供设备来源证明材料，证明材料齐全且投入材料环保性优于国家标准的得6-3.1分； B.施工机械配备合理和材料环保性较好，提供了设备来源证明材料的得3-1分； C.施工机械配备和材料投入计划基本合理、可行，但未提供其他证明材料的得0分；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供应商就本项目劳动力安排计划及劳务分包情况表，根据合理、可行程度进行评审。 A.劳动力安排计划及劳务分包完整、合理、可行，有利于本项目实施的得6-3.1分； B.劳动力安排计划及劳务分包合理、可行的，基本能满足项目实施的得3-1分； C.劳动力安排计划及劳务分包可行性较差，存在缺陷的得0分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 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 内容科学合理。 三、赋分标准（满分 3 分） ①新材料的应用情况：每完全满足一个评审标准得 0.5 分，满分 1.5 分； ②新技术和新工艺的应用情况：每完全满足一个评审标准得 0.5 分， 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供应商2022年1月至截标时间前同类施工项目业绩；每提供1份计3分，最高得9分。以业绩合同为准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供应商拟派项目负责人具有建筑工程专业高级职称的计5分，具有中级职称的计2分，中级以下不得分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价格分统一采用低价优先法计算，即满足磋商文件要求且最后报价最低的响应人报价为磋商基准价，其价格分为满分。其他响应人的价格分统一按照下列公式计算： 磋商报价得分=(磋商基准价／最后报价)×价格分值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