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版本号：ZJXHZ-ZBDL-2025-05320251128002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略阳至康县（陕甘界）高速公路项目一般涉河桥梁（陕西省水利厅审批）洪水影响评价技术服务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ZJXHZ-ZBDL-2025-053</w:t>
      </w:r>
      <w:r>
        <w:br/>
      </w:r>
      <w:r>
        <w:br/>
      </w:r>
      <w:r>
        <w:br/>
      </w:r>
    </w:p>
    <w:p>
      <w:pPr>
        <w:pStyle w:val="null3"/>
        <w:jc w:val="center"/>
        <w:outlineLvl w:val="2"/>
      </w:pPr>
      <w:r>
        <w:rPr>
          <w:rFonts w:ascii="仿宋_GB2312" w:hAnsi="仿宋_GB2312" w:cs="仿宋_GB2312" w:eastAsia="仿宋_GB2312"/>
          <w:sz w:val="28"/>
          <w:b/>
        </w:rPr>
        <w:t>汉中市交通运输局</w:t>
      </w:r>
    </w:p>
    <w:p>
      <w:pPr>
        <w:pStyle w:val="null3"/>
        <w:jc w:val="center"/>
        <w:outlineLvl w:val="2"/>
      </w:pPr>
      <w:r>
        <w:rPr>
          <w:rFonts w:ascii="仿宋_GB2312" w:hAnsi="仿宋_GB2312" w:cs="仿宋_GB2312" w:eastAsia="仿宋_GB2312"/>
          <w:sz w:val="28"/>
          <w:b/>
        </w:rPr>
        <w:t>中佳信建设管理集团有限公司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中佳信建设管理集团有限公司</w:t>
      </w:r>
      <w:r>
        <w:rPr>
          <w:rFonts w:ascii="仿宋_GB2312" w:hAnsi="仿宋_GB2312" w:cs="仿宋_GB2312" w:eastAsia="仿宋_GB2312"/>
        </w:rPr>
        <w:t>（以下简称“代理机构”）受</w:t>
      </w:r>
      <w:r>
        <w:rPr>
          <w:rFonts w:ascii="仿宋_GB2312" w:hAnsi="仿宋_GB2312" w:cs="仿宋_GB2312" w:eastAsia="仿宋_GB2312"/>
        </w:rPr>
        <w:t>汉中市交通运输局</w:t>
      </w:r>
      <w:r>
        <w:rPr>
          <w:rFonts w:ascii="仿宋_GB2312" w:hAnsi="仿宋_GB2312" w:cs="仿宋_GB2312" w:eastAsia="仿宋_GB2312"/>
        </w:rPr>
        <w:t>委托，拟对</w:t>
      </w:r>
      <w:r>
        <w:rPr>
          <w:rFonts w:ascii="仿宋_GB2312" w:hAnsi="仿宋_GB2312" w:cs="仿宋_GB2312" w:eastAsia="仿宋_GB2312"/>
        </w:rPr>
        <w:t>略阳至康县（陕甘界）高速公路项目一般涉河桥梁（陕西省水利厅审批）洪水影响评价技术服务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ZJXHZ-ZBDL-2025-053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略阳至康县（陕甘界）高速公路项目一般涉河桥梁（陕西省水利厅审批）洪水影响评价技术服务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略阳至康县(陕甘界)高速公路项目一般涉河桥梁对现有涉河工程等第三方合法水事权益的影响，并针对以上影响提出补救措施;编制《略阳至康县(陕甘界)高速公路项目一般涉河桥梁洪水影响评价报告》;配合甲方做好成果上报、评审筹备组织、技术成果汇报和答辩工作;根据审查意见对报告进行修编，对接陕西省水利厅报批，协助建设单位最终取得批复性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采购包1（一般涉河桥梁洪水影响评价技术服务）：属于专门面向中小企业采购。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为具有独立承担民事责任能力的法人、其他组织或自然人：供应商应为具有独立承担民事责任能力的法人、其他组织或自然人：提供合法有效的统一社会信用代码营业执照或事业单位法人证书（自然人应提供身份证明）复印件加盖供应商公章；</w:t>
      </w:r>
    </w:p>
    <w:p>
      <w:pPr>
        <w:pStyle w:val="null3"/>
      </w:pPr>
      <w:r>
        <w:rPr>
          <w:rFonts w:ascii="仿宋_GB2312" w:hAnsi="仿宋_GB2312" w:cs="仿宋_GB2312" w:eastAsia="仿宋_GB2312"/>
        </w:rPr>
        <w:t>2、供应商应授权合法的人员参加磋商：供应商应授权合法的人员参加磋商：法定代表人直接参与磋商时需提供法定代表人身份证明；被授权人参与时需提供被授权人身份证复印件及法定代表人授权委托书加盖公章；</w:t>
      </w:r>
    </w:p>
    <w:p>
      <w:pPr>
        <w:pStyle w:val="null3"/>
      </w:pPr>
      <w:r>
        <w:rPr>
          <w:rFonts w:ascii="仿宋_GB2312" w:hAnsi="仿宋_GB2312" w:cs="仿宋_GB2312" w:eastAsia="仿宋_GB2312"/>
        </w:rPr>
        <w:t>3、汉中市政府采购供应商资格承诺函：供应商须具有健全的财务会计制度、履行合同所需的设备和专业技术能力、依法缴纳税收和社会保障资金，以及参加采购活动前3年内经营活动无重大违法活动记录，供应商须提供《汉中市政府采购供 应商资格承诺函》加盖公章；</w:t>
      </w:r>
    </w:p>
    <w:p>
      <w:pPr>
        <w:pStyle w:val="null3"/>
      </w:pPr>
      <w:r>
        <w:rPr>
          <w:rFonts w:ascii="仿宋_GB2312" w:hAnsi="仿宋_GB2312" w:cs="仿宋_GB2312" w:eastAsia="仿宋_GB2312"/>
        </w:rPr>
        <w:t>4、拟派项目负责人资格：拟派项目负责人须具有水利工程相关专业中级及以上职称；</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汉中市东一环路东段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汉中市交通运输局经办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13659165199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中佳信建设管理集团有限公司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汉中市汉台区西环路北段天汉龙城写字楼5楼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0916-8885914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开户名称：中佳信建设管理集团有限公司汉中分公司</w:t>
            </w:r>
          </w:p>
          <w:p>
            <w:pPr>
              <w:pStyle w:val="null3"/>
            </w:pPr>
            <w:r>
              <w:rPr>
                <w:rFonts w:ascii="仿宋_GB2312" w:hAnsi="仿宋_GB2312" w:cs="仿宋_GB2312" w:eastAsia="仿宋_GB2312"/>
              </w:rPr>
              <w:t>开户银行：中国工商银行股份有限公司汉中西环路支行</w:t>
            </w:r>
          </w:p>
          <w:p>
            <w:pPr>
              <w:pStyle w:val="null3"/>
            </w:pPr>
            <w:r>
              <w:rPr>
                <w:rFonts w:ascii="仿宋_GB2312" w:hAnsi="仿宋_GB2312" w:cs="仿宋_GB2312" w:eastAsia="仿宋_GB2312"/>
              </w:rPr>
              <w:t>银行账号：2606 0539 0920 0071 312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委关于印发标代理服务收费管理暂行办法的通知》(计价格【2002】1980号)和国家发改委办公厅国发的《关于招标代理服务收费有关问题的通知》(发改办价格【2003】857号)文件规定的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汉中市交通运输局</w:t>
      </w:r>
      <w:r>
        <w:rPr>
          <w:rFonts w:ascii="仿宋_GB2312" w:hAnsi="仿宋_GB2312" w:cs="仿宋_GB2312" w:eastAsia="仿宋_GB2312"/>
        </w:rPr>
        <w:t>和</w:t>
      </w:r>
      <w:r>
        <w:rPr>
          <w:rFonts w:ascii="仿宋_GB2312" w:hAnsi="仿宋_GB2312" w:cs="仿宋_GB2312" w:eastAsia="仿宋_GB2312"/>
        </w:rPr>
        <w:t>中佳信建设管理集团有限公司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中佳信建设管理集团有限公司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中佳信建设管理集团有限公司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完成略阳至康县(陕甘界)高速公路项目一般涉河桥梁洪水影响评价报告编制，并协助采购人完成相关部门审批工作，顺利拿到批复文件；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中佳信建设管理集团有限公司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中佳信建设管理集团有限公司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中佳信建设管理集团有限公司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联系人：冯工</w:t>
      </w:r>
    </w:p>
    <w:p>
      <w:pPr>
        <w:pStyle w:val="null3"/>
      </w:pPr>
      <w:r>
        <w:rPr>
          <w:rFonts w:ascii="仿宋_GB2312" w:hAnsi="仿宋_GB2312" w:cs="仿宋_GB2312" w:eastAsia="仿宋_GB2312"/>
        </w:rPr>
        <w:t>联系电话：0916-8885914</w:t>
      </w:r>
    </w:p>
    <w:p>
      <w:pPr>
        <w:pStyle w:val="null3"/>
      </w:pPr>
      <w:r>
        <w:rPr>
          <w:rFonts w:ascii="仿宋_GB2312" w:hAnsi="仿宋_GB2312" w:cs="仿宋_GB2312" w:eastAsia="仿宋_GB2312"/>
        </w:rPr>
        <w:t>地址：汉中市汉台区西环路北段天汉龙城写字楼5楼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略阳至康县(陕甘界)高速公路项目一般涉河桥梁对现有涉河工程等第三方合法水事权益的影响，并针对以上影响提出补救措施;编制《略阳至康县(陕甘界)高速公路项目一般涉河桥梁洪水影响评价报告》;配合甲方做好成果上报、评审筹备组织、技术成果汇报和答辩工作;根据审查意见对报告进行修编，对接陕西省水利厅报批，协助建设单位最终取得批复性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一般涉河桥梁洪水影响评价技术服务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交通运输业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标的名称：一般涉河桥梁洪水影响评价技术服务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按照最新政策要求，分析评价略阳至康县(陕甘界)高速公路项目一般涉河桥梁对现有涉河工程等第三方合法水事权益的影响，并针对以上影响提出补救措施;编制《略阳至康县(陕甘界)高速公路项目一般涉河桥梁洪水影响评价报告》；配合甲方做好成果上报、评审筹备组织、技术成果汇报和答辩工作；根据审查意见对报告进行修编，对接陕西省水利厅报批，协助建设单位最终取得批复性文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按照最新政策要求，完成略阳至康县(陕甘界)高速公路项目一般涉河桥梁洪水影响评价报告编制技术服务，并协助评审，最终取得上级主管部门批复。</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完成略阳至康县(陕甘界)高速公路项目一般涉河桥梁洪水影响评价报告编制，并协助采购人完成相关部门审批工作，顺利拿到批复文件；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签订合同后，本项目所须的人员、设备进场开展工作后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完成略阳至康县(陕甘界)高速公路项目一般涉河桥梁洪水影响评价报告编制，并协助采购人取得上级主管部门批复文件后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67.00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甲乙双方在合同履行中发生争议，应通过协商解决。如协商不成，可以向甲方所在地有管辖权的人民法院提起诉讼。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成交单位在成交结果公示结束后3个工作日内向代理机构提供纸质版磋商响应文件，磋商响应文件为正本壹份，副本贰份，电子版壹份（响应文件内容须与电子交易平台上传文件内容保持一致）。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供应商应为具有独立承担民事责任能力的法人、其他组织或自然人</w:t>
            </w:r>
          </w:p>
        </w:tc>
        <w:tc>
          <w:tcPr>
            <w:tcW w:type="dxa" w:w="3322"/>
          </w:tcPr>
          <w:p>
            <w:pPr>
              <w:pStyle w:val="null3"/>
            </w:pPr>
            <w:r>
              <w:rPr>
                <w:rFonts w:ascii="仿宋_GB2312" w:hAnsi="仿宋_GB2312" w:cs="仿宋_GB2312" w:eastAsia="仿宋_GB2312"/>
              </w:rPr>
              <w:t>供应商应为具有独立承担民事责任能力的法人、其他组织或自然人：提供合法有效的统一社会信用代码营业执照或事业单位法人证书（自然人应提供身份证明）复印件加盖供应商公章；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w:t>
            </w:r>
          </w:p>
        </w:tc>
        <w:tc>
          <w:tcPr>
            <w:tcW w:type="dxa" w:w="3322"/>
          </w:tcPr>
          <w:p>
            <w:pPr>
              <w:pStyle w:val="null3"/>
            </w:pPr>
            <w:r>
              <w:rPr>
                <w:rFonts w:ascii="仿宋_GB2312" w:hAnsi="仿宋_GB2312" w:cs="仿宋_GB2312" w:eastAsia="仿宋_GB2312"/>
              </w:rPr>
              <w:t>供应商应授权合法的人员参加磋商：法定代表人直接参与磋商时需提供法定代表人身份证明；被授权人参与时需提供被授权人身份证复印件及法定代表人授权委托书加盖公章；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供应商须具有健全的财务会计制度、履行合同所需的设备和专业技术能力、依法缴纳税收和社会保障资金，以及参加采购活动前3年内经营活动无重大违法活动记录，供应商须提供《汉中市政府采购供 应商资格承诺函》加盖公章；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拟派项目负责人资格</w:t>
            </w:r>
          </w:p>
        </w:tc>
        <w:tc>
          <w:tcPr>
            <w:tcW w:type="dxa" w:w="3322"/>
          </w:tcPr>
          <w:p>
            <w:pPr>
              <w:pStyle w:val="null3"/>
            </w:pPr>
            <w:r>
              <w:rPr>
                <w:rFonts w:ascii="仿宋_GB2312" w:hAnsi="仿宋_GB2312" w:cs="仿宋_GB2312" w:eastAsia="仿宋_GB2312"/>
              </w:rPr>
              <w:t>拟派项目负责人须具有水利工程相关专业中级及以上职称；</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商务应答表 报价表 重难点分析.pdf 技术标准.pdf 质量控制.pdf 响应文件封面 类似业绩.pdf 应急预案和处置措施.pdf 总体服务方案.pdf 进度计划.pdf 管理制度.pdf 服务承诺.pdf 标的清单 资格证明文件.pdf 项目团队.pdf</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对本项目任务要求的理解深度，以及对国家相关领域政策、标准的掌握程度。根据方案的合理性、适宜性、内容完整性以及针对性等情况进行综合评分：①项目实施的依据、执行的标准（规范、规程）适用准确，方案阐述明确具体，切实可行，根据响应程度计0-11分；②通航评价方案（至少包含资料收集、调查分析等方面）先进，且有明确具体的操作规程、标准及方法，根据响应程度计0-11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总体服务方案.pdf</w:t>
            </w:r>
          </w:p>
        </w:tc>
      </w:tr>
      <w:tr>
        <w:tc>
          <w:tcPr>
            <w:tcW w:type="dxa" w:w="831"/>
            <w:vMerge/>
          </w:tcPr>
          <w:p/>
        </w:tc>
        <w:tc>
          <w:tcPr>
            <w:tcW w:type="dxa" w:w="1661"/>
          </w:tcPr>
          <w:p>
            <w:pPr>
              <w:pStyle w:val="null3"/>
            </w:pPr>
            <w:r>
              <w:rPr>
                <w:rFonts w:ascii="仿宋_GB2312" w:hAnsi="仿宋_GB2312" w:cs="仿宋_GB2312" w:eastAsia="仿宋_GB2312"/>
              </w:rPr>
              <w:t>技术标准</w:t>
            </w:r>
          </w:p>
        </w:tc>
        <w:tc>
          <w:tcPr>
            <w:tcW w:type="dxa" w:w="2492"/>
          </w:tcPr>
          <w:p>
            <w:pPr>
              <w:pStyle w:val="null3"/>
            </w:pPr>
            <w:r>
              <w:rPr>
                <w:rFonts w:ascii="仿宋_GB2312" w:hAnsi="仿宋_GB2312" w:cs="仿宋_GB2312" w:eastAsia="仿宋_GB2312"/>
              </w:rPr>
              <w:t>根据本项目实际特点，合理应用技术标准，项目实施应科学、全面，主要包括前期准备、外业调查、内业处理、成果提交等内容是否有创新技术，根据响应程度思路清晰合理、可行性强计6-9分；思路较清晰合理、可行性较强计3-5分；思路基本清晰、可行性一般计1-2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技术标准.pdf</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供应商对本项目重难点的分析，以及相应的涉河桥梁洪水影响调查和措施，根据响应程度思路清晰合理、可行性强计5-7分；思路较清晰合理、可行性较强计3-5分；思路清晰合理一般、可行性一般计1-2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重难点分析.pdf</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为保证项目质量采取的有效措施，供应商应提供质量检查方案，包括保证项目质量的机构、方法、措施等，根据响应程度思路清晰合理、可行性强计6-8分；思路较清晰合理、可行性较强计3-5分；思路清晰合理一般、可行性一般计1-2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质量控制.pdf</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进度时间安排满足项目需要，有详细的进度计划表或示意图，应提供项目进度方案，包括保证工期的方法、措施等；根据响应程度思路清晰合理、可行性强计6-8分；思路较清晰合理、可行性较强计3-5分；思路清晰合理一般、可行性一般计1-2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进度计划.pdf</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具有完善的内部管理制度，根据响应程度方案完整、清晰、逻辑性强计4-6分；方案较完整、清晰、逻辑性较强计2-3分；方案基本完整、清晰、逻辑性一般计1分，未提供不得分。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管理制度.pdf</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供应商提供2020年1月以来（以合同签订时间为准）的类似涉河桥梁洪水影响评价项目业绩，每提供一个业绩得1分，最多得5分。（提供合同或中标通知书复印件）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类似业绩.pdf</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具备稳定的售后服务机构，针对本项目设立专门的技术服务团队，并提供了人员名单，团队人员专业性强或具备类似项目经验，且配备合理，职责分工明确，专业性强人员素质高，服务优良，满足项目需求，根据响应程度思路清晰合理、可行性强计4-5分；思路较清晰合理、可行性较强计2-3分；思路清晰合理一般、可行性一般计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项目团队.pdf</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的项目周期、计划、后续服务的周到性等，针对本项目有详尽的服务组织实施方案，服务机构健全，提供服务标准公约，配备专职服务人员，项目组人员提供的各项服务承诺情况，根据响应程度思路清晰合理、可行性强计7-10分；思路较清晰合理、可行性较强计4-6分；思路清晰合理一般、可行性一般计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服务承诺.pdf</w:t>
            </w:r>
          </w:p>
        </w:tc>
      </w:tr>
      <w:tr>
        <w:tc>
          <w:tcPr>
            <w:tcW w:type="dxa" w:w="831"/>
            <w:vMerge/>
          </w:tcPr>
          <w:p/>
        </w:tc>
        <w:tc>
          <w:tcPr>
            <w:tcW w:type="dxa" w:w="1661"/>
          </w:tcPr>
          <w:p>
            <w:pPr>
              <w:pStyle w:val="null3"/>
            </w:pPr>
            <w:r>
              <w:rPr>
                <w:rFonts w:ascii="仿宋_GB2312" w:hAnsi="仿宋_GB2312" w:cs="仿宋_GB2312" w:eastAsia="仿宋_GB2312"/>
              </w:rPr>
              <w:t>应急预案和处置措施</w:t>
            </w:r>
          </w:p>
        </w:tc>
        <w:tc>
          <w:tcPr>
            <w:tcW w:type="dxa" w:w="2492"/>
          </w:tcPr>
          <w:p>
            <w:pPr>
              <w:pStyle w:val="null3"/>
            </w:pPr>
            <w:r>
              <w:rPr>
                <w:rFonts w:ascii="仿宋_GB2312" w:hAnsi="仿宋_GB2312" w:cs="仿宋_GB2312" w:eastAsia="仿宋_GB2312"/>
              </w:rPr>
              <w:t>根据供应商制定的各类特殊情况下的应急预案及处置措施方案，根据响应程度思路清晰合理、可行性强计7-10分；思路较清晰合理、可行性较强计4-6分；思路清晰合理一般、可行性一般计1-3分；未提供不得分。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应急预案和处置措施.pdf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满足磋商文件要求且最后各家最终磋商价格的最低值为评标基准价，其价格分为满分。 磋商报价得分=（评审基准价／磋商二次报价）×价格权值×100。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详见附件：总体服务方案.pdf</w:t>
      </w:r>
    </w:p>
    <w:p>
      <w:pPr>
        <w:pStyle w:val="null3"/>
        <w:ind w:firstLine="960"/>
      </w:pPr>
      <w:r>
        <w:rPr>
          <w:rFonts w:ascii="仿宋_GB2312" w:hAnsi="仿宋_GB2312" w:cs="仿宋_GB2312" w:eastAsia="仿宋_GB2312"/>
        </w:rPr>
        <w:t>详见附件：技术标准.pdf</w:t>
      </w:r>
    </w:p>
    <w:p>
      <w:pPr>
        <w:pStyle w:val="null3"/>
        <w:ind w:firstLine="960"/>
      </w:pPr>
      <w:r>
        <w:rPr>
          <w:rFonts w:ascii="仿宋_GB2312" w:hAnsi="仿宋_GB2312" w:cs="仿宋_GB2312" w:eastAsia="仿宋_GB2312"/>
        </w:rPr>
        <w:t>详见附件：重难点分析.pdf</w:t>
      </w:r>
    </w:p>
    <w:p>
      <w:pPr>
        <w:pStyle w:val="null3"/>
        <w:ind w:firstLine="960"/>
      </w:pPr>
      <w:r>
        <w:rPr>
          <w:rFonts w:ascii="仿宋_GB2312" w:hAnsi="仿宋_GB2312" w:cs="仿宋_GB2312" w:eastAsia="仿宋_GB2312"/>
        </w:rPr>
        <w:t>详见附件：质量控制.pdf</w:t>
      </w:r>
    </w:p>
    <w:p>
      <w:pPr>
        <w:pStyle w:val="null3"/>
        <w:ind w:firstLine="960"/>
      </w:pPr>
      <w:r>
        <w:rPr>
          <w:rFonts w:ascii="仿宋_GB2312" w:hAnsi="仿宋_GB2312" w:cs="仿宋_GB2312" w:eastAsia="仿宋_GB2312"/>
        </w:rPr>
        <w:t>详见附件：进度计划.pdf</w:t>
      </w:r>
    </w:p>
    <w:p>
      <w:pPr>
        <w:pStyle w:val="null3"/>
        <w:ind w:firstLine="960"/>
      </w:pPr>
      <w:r>
        <w:rPr>
          <w:rFonts w:ascii="仿宋_GB2312" w:hAnsi="仿宋_GB2312" w:cs="仿宋_GB2312" w:eastAsia="仿宋_GB2312"/>
        </w:rPr>
        <w:t>详见附件：管理制度.pdf</w:t>
      </w:r>
    </w:p>
    <w:p>
      <w:pPr>
        <w:pStyle w:val="null3"/>
        <w:ind w:firstLine="960"/>
      </w:pPr>
      <w:r>
        <w:rPr>
          <w:rFonts w:ascii="仿宋_GB2312" w:hAnsi="仿宋_GB2312" w:cs="仿宋_GB2312" w:eastAsia="仿宋_GB2312"/>
        </w:rPr>
        <w:t>详见附件：类似业绩.pdf</w:t>
      </w:r>
    </w:p>
    <w:p>
      <w:pPr>
        <w:pStyle w:val="null3"/>
        <w:ind w:firstLine="960"/>
      </w:pPr>
      <w:r>
        <w:rPr>
          <w:rFonts w:ascii="仿宋_GB2312" w:hAnsi="仿宋_GB2312" w:cs="仿宋_GB2312" w:eastAsia="仿宋_GB2312"/>
        </w:rPr>
        <w:t>详见附件：项目团队.pdf</w:t>
      </w:r>
    </w:p>
    <w:p>
      <w:pPr>
        <w:pStyle w:val="null3"/>
        <w:ind w:firstLine="960"/>
      </w:pPr>
      <w:r>
        <w:rPr>
          <w:rFonts w:ascii="仿宋_GB2312" w:hAnsi="仿宋_GB2312" w:cs="仿宋_GB2312" w:eastAsia="仿宋_GB2312"/>
        </w:rPr>
        <w:t>详见附件：服务承诺.pdf</w:t>
      </w:r>
    </w:p>
    <w:p>
      <w:pPr>
        <w:pStyle w:val="null3"/>
        <w:ind w:firstLine="960"/>
      </w:pPr>
      <w:r>
        <w:rPr>
          <w:rFonts w:ascii="仿宋_GB2312" w:hAnsi="仿宋_GB2312" w:cs="仿宋_GB2312" w:eastAsia="仿宋_GB2312"/>
        </w:rPr>
        <w:t>详见附件：应急预案和处置措施.pdf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详见附件：合同条款及合同文件格式.docx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