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版本号：ZFCG-2025052320251125001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镇巴县徐家河（长岭段）流域水污染治理项目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ZFCG-20250523</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镇巴县徐家河（长岭段）流域水污染治理项目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ZFCG-20250523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镇巴县徐家河（长岭段）流域水污染治理项目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对镇巴县徐家河（长岭段）流域水污染治理项目的勘察报告、初步设计说明书、初步设计图纸、初步设计概算书、施工图等。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采购包1（镇巴县徐家河（长岭段）流域水污染治理项目）：属于专门面向中小企业采购。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项目负责人资质：1、企业资质：工程勘察专业资质（工程测量、水文地质或岩土工程）丙级及以上资质、工程设计专项资质环境工程（水污染防治工程）乙级或环境类相关设计乙级或市政行业排水工程乙级及以上资质 . 2.项目负责人需具备相关专业中级工程师及以上职称</w:t>
      </w:r>
    </w:p>
    <w:p>
      <w:pPr>
        <w:pStyle w:val="null3"/>
      </w:pPr>
      <w:r>
        <w:rPr>
          <w:rFonts w:ascii="仿宋_GB2312" w:hAnsi="仿宋_GB2312" w:cs="仿宋_GB2312" w:eastAsia="仿宋_GB2312"/>
        </w:rPr>
        <w:t>2、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3、法定代表人授权委托书：法定代表人授权委托书（附法定代表人身份证复印件）及被授权委托人身份证（法定代表人参加投标只须提供法定代表人身份证）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汉中市生态环境局镇巴分局经办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13909167799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13379465585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 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代理服务费收费标准：采购代理费依据《国家计委关于印发&lt;招标代理服务收费管理暂行办法&gt;的通知》（计价格【2002】1980号）及（发改办价格）【2011】534号》计取。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对镇巴县徐家河（长岭段）流域水污染治理项目的勘察报告、初步设计说明书、初步设计图纸、初步设计概算书、施工图等。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828,000.00</w:t>
      </w:r>
    </w:p>
    <w:p>
      <w:pPr>
        <w:pStyle w:val="null3"/>
      </w:pPr>
      <w:r>
        <w:rPr>
          <w:rFonts w:ascii="仿宋_GB2312" w:hAnsi="仿宋_GB2312" w:cs="仿宋_GB2312" w:eastAsia="仿宋_GB2312"/>
        </w:rPr>
        <w:t>采购包最高限价（元）: 828,000.00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镇巴县徐家河（长岭段）流域水污染治理项目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标的名称：镇巴县徐家河（长岭段）流域水污染治理项目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33333"/>
              </w:rPr>
              <w:t>1.收集项目实施方案、可研等前期资料；</w:t>
            </w:r>
          </w:p>
          <w:p>
            <w:pPr>
              <w:pStyle w:val="null3"/>
              <w:jc w:val="both"/>
            </w:pPr>
            <w:r>
              <w:rPr>
                <w:rFonts w:ascii="仿宋_GB2312" w:hAnsi="仿宋_GB2312" w:cs="仿宋_GB2312" w:eastAsia="仿宋_GB2312"/>
                <w:sz w:val="21"/>
                <w:color w:val="333333"/>
              </w:rPr>
              <w:t>2.根据资料对现场进行详勘，熟悉现场情况，根据建设内容开展勘察工作；</w:t>
            </w:r>
          </w:p>
          <w:p>
            <w:pPr>
              <w:pStyle w:val="null3"/>
              <w:jc w:val="both"/>
            </w:pPr>
            <w:r>
              <w:rPr>
                <w:rFonts w:ascii="仿宋_GB2312" w:hAnsi="仿宋_GB2312" w:cs="仿宋_GB2312" w:eastAsia="仿宋_GB2312"/>
                <w:sz w:val="21"/>
                <w:color w:val="333333"/>
              </w:rPr>
              <w:t>3.根据第三方测绘公司提供的数据（测绘高程底图及卫星图）及已确定的建设内容需求，进行项目初步设计及设计概算的编制，提交初步设计成果文件（电子版&amp;纸质版）；</w:t>
            </w:r>
          </w:p>
          <w:p>
            <w:pPr>
              <w:pStyle w:val="null3"/>
              <w:jc w:val="both"/>
            </w:pPr>
            <w:r>
              <w:rPr>
                <w:rFonts w:ascii="仿宋_GB2312" w:hAnsi="仿宋_GB2312" w:cs="仿宋_GB2312" w:eastAsia="仿宋_GB2312"/>
                <w:sz w:val="21"/>
                <w:color w:val="333333"/>
              </w:rPr>
              <w:t>4.配合建设单位组织召开初步设计评审会，收集专家及相关主管部门意见，根据意见修改完善；</w:t>
            </w:r>
          </w:p>
          <w:p>
            <w:pPr>
              <w:pStyle w:val="null3"/>
              <w:jc w:val="both"/>
            </w:pPr>
            <w:r>
              <w:rPr>
                <w:rFonts w:ascii="仿宋_GB2312" w:hAnsi="仿宋_GB2312" w:cs="仿宋_GB2312" w:eastAsia="仿宋_GB2312"/>
                <w:sz w:val="21"/>
                <w:color w:val="333333"/>
              </w:rPr>
              <w:t>5.待初步设计通过评审会后，深化设计内容，完成施工图设计，提交施工图设计成果文件（电子版&amp;纸质版）；</w:t>
            </w:r>
          </w:p>
          <w:p>
            <w:pPr>
              <w:pStyle w:val="null3"/>
              <w:jc w:val="both"/>
            </w:pPr>
            <w:r>
              <w:rPr>
                <w:rFonts w:ascii="仿宋_GB2312" w:hAnsi="仿宋_GB2312" w:cs="仿宋_GB2312" w:eastAsia="仿宋_GB2312"/>
                <w:sz w:val="21"/>
                <w:color w:val="333333"/>
              </w:rPr>
              <w:t>6.配合建设单位完成施工图设计的技术审查；</w:t>
            </w:r>
          </w:p>
          <w:p>
            <w:pPr>
              <w:pStyle w:val="null3"/>
            </w:pPr>
            <w:r>
              <w:rPr>
                <w:rFonts w:ascii="仿宋_GB2312" w:hAnsi="仿宋_GB2312" w:cs="仿宋_GB2312" w:eastAsia="仿宋_GB2312"/>
                <w:sz w:val="21"/>
                <w:color w:val="333333"/>
              </w:rPr>
              <w:t>7.配合建设单位做好后续施工阶段的图纸答疑、技术交底等工作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完成成果并通过专家评审后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企业资质项目负责人资质</w:t>
            </w:r>
          </w:p>
        </w:tc>
        <w:tc>
          <w:tcPr>
            <w:tcW w:type="dxa" w:w="3322"/>
          </w:tcPr>
          <w:p>
            <w:pPr>
              <w:pStyle w:val="null3"/>
            </w:pPr>
            <w:r>
              <w:rPr>
                <w:rFonts w:ascii="仿宋_GB2312" w:hAnsi="仿宋_GB2312" w:cs="仿宋_GB2312" w:eastAsia="仿宋_GB2312"/>
              </w:rPr>
              <w:t>1、企业资质：工程勘察专业资质（工程测量、水文地质或岩土工程）丙级及以上资质、工程设计专项资质环境工程（水污染防治工程）乙级或环境类相关设计乙级或市政行业排水工程乙级及以上资质 . 2.项目负责人需具备相关专业中级工程师及以上职称</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 文件签署盖章要求</w:t>
            </w:r>
          </w:p>
        </w:tc>
        <w:tc>
          <w:tcPr>
            <w:tcW w:type="dxa" w:w="1661"/>
          </w:tcPr>
          <w:p>
            <w:pPr>
              <w:pStyle w:val="null3"/>
            </w:pPr>
            <w:r>
              <w:rPr>
                <w:rFonts w:ascii="仿宋_GB2312" w:hAnsi="仿宋_GB2312" w:cs="仿宋_GB2312" w:eastAsia="仿宋_GB2312"/>
              </w:rPr>
              <w:t>响应文件封面 业绩.docx 服务内容及服务邀请应答表 中小企业声明函 残疾人福利性单位声明函 商务应答表 服务方案 供应商应提交的相关资格证明材料.pdf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 年 1 0月 1 日起至本项目投标文件递交截止时间，类似工程勘察设计业绩(以中标通知书或勘察设计合同为准，时间以合同签订时间为准) 每有 1 项得 5 分，最多得 10 分。评审依据：以投标人加盖公章的中标通知书或勘察设计合同扫描件为准。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勘察方案</w:t>
            </w:r>
          </w:p>
        </w:tc>
        <w:tc>
          <w:tcPr>
            <w:tcW w:type="dxa" w:w="2492"/>
          </w:tcPr>
          <w:p>
            <w:pPr>
              <w:pStyle w:val="null3"/>
            </w:pPr>
            <w:r>
              <w:rPr>
                <w:rFonts w:ascii="仿宋_GB2312" w:hAnsi="仿宋_GB2312" w:cs="仿宋_GB2312" w:eastAsia="仿宋_GB2312"/>
              </w:rPr>
              <w:t>勘察技术方案先进、合理，能够满足工程需求。 勘察方法科学、合理，能够保证勘察数据的准确性。数据采集与分析方法科学、严谨，能够保证勘察成果的质量。 1、勘察技术方案先进、合理，方法科学，数据采集与分析方法科学、严谨得 10分； 2、勘察方案有一定的可行性，基本满足项目要求，具有一定的合理性、针对性得 7 分； 3、勘察方案内容基本可行，合理性、针对性稍有欠缺的得3分；未提供不得分。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依据投标人对本项目所处地理位置、周边环境、气象条件、场地现状等现有条件的理解与分析；对项目定位、设计原则、规划理念进行阐述。由资格审查委员会对各投标人所提供的项目解读与分析内容进行横向比较后 综合赋分； 1、项目解读与分析内容科学合理、满足项目要求，合理性、针对性强得 10 分； 2、项目解读与分析内容有一定的可行性，基本满足项目要求，具有一定的合理性、针对性得 7分； 3、项目解读与分析内容基本可行，合理性、针对性稍有欠缺的得 3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勘察设计人员</w:t>
            </w:r>
          </w:p>
        </w:tc>
        <w:tc>
          <w:tcPr>
            <w:tcW w:type="dxa" w:w="2492"/>
          </w:tcPr>
          <w:p>
            <w:pPr>
              <w:pStyle w:val="null3"/>
            </w:pPr>
            <w:r>
              <w:rPr>
                <w:rFonts w:ascii="仿宋_GB2312" w:hAnsi="仿宋_GB2312" w:cs="仿宋_GB2312" w:eastAsia="仿宋_GB2312"/>
              </w:rPr>
              <w:t>勘察设计人员结构合理，专业作业队配置齐全；合理、齐全：得4 分，一般：得2分，未提供不得分。 2、人员配备及部门职责范围；明确：得4分，一般：得2分，未提供不得分。 3、与施工现场对接跟踪服务紧密、通畅；紧密、通畅：得2分 ，一般：得1分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对建设项目的背景、建设条件、总体布局及勘察设计的重点充分的了解和认识，分析详细完整清晰得 15分，分析理解一般的得10 分，分析理解较差的得5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15分。评审内容每缺一项扣3分,评审内容有缺陷（缺陷指内容明显错误、描述过于简单、与项目特点不匹配、凭空编造、逻辑漏洞、出现常识性错误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①服务质量保证措施②服务质量承诺。 评审标准：以上内容全面详细、阐述条理清晰详尽、可行性强且符合本项目采购需求得10分。评审内容每缺一项扣5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