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3C5A2">
      <w:pPr>
        <w:numPr>
          <w:ilvl w:val="0"/>
          <w:numId w:val="0"/>
        </w:numPr>
        <w:spacing w:before="101" w:line="228" w:lineRule="auto"/>
        <w:jc w:val="center"/>
        <w:outlineLvl w:val="0"/>
        <w:rPr>
          <w:rFonts w:hint="eastAsia" w:ascii="仿宋" w:hAnsi="仿宋" w:eastAsia="仿宋" w:cs="仿宋"/>
          <w:b/>
          <w:bCs/>
          <w:spacing w:val="2"/>
          <w:sz w:val="31"/>
          <w:szCs w:val="31"/>
        </w:rPr>
      </w:pPr>
      <w:r>
        <w:rPr>
          <w:rFonts w:hint="eastAsia" w:ascii="仿宋" w:hAnsi="仿宋" w:eastAsia="仿宋" w:cs="仿宋"/>
          <w:b/>
          <w:bCs/>
          <w:spacing w:val="2"/>
          <w:sz w:val="31"/>
          <w:szCs w:val="31"/>
        </w:rPr>
        <w:t>合同格式与主要条款</w:t>
      </w:r>
    </w:p>
    <w:p w14:paraId="794FAD20">
      <w:pPr>
        <w:pStyle w:val="3"/>
        <w:numPr>
          <w:ilvl w:val="0"/>
          <w:numId w:val="0"/>
        </w:numPr>
        <w:rPr>
          <w:rFonts w:hint="eastAsia" w:ascii="仿宋" w:hAnsi="仿宋" w:eastAsia="仿宋" w:cs="仿宋"/>
        </w:rPr>
      </w:pPr>
    </w:p>
    <w:p w14:paraId="5CEC8A8E">
      <w:pPr>
        <w:spacing w:line="360" w:lineRule="auto"/>
        <w:ind w:firstLine="210" w:firstLineChars="100"/>
        <w:rPr>
          <w:rFonts w:hint="eastAsia" w:ascii="仿宋" w:hAnsi="仿宋" w:eastAsia="仿宋" w:cs="仿宋"/>
          <w:b w:val="0"/>
          <w:color w:val="000000"/>
          <w:lang w:eastAsia="zh-CN"/>
        </w:rPr>
      </w:pPr>
      <w:r>
        <w:rPr>
          <w:rFonts w:hint="eastAsia" w:ascii="仿宋" w:hAnsi="仿宋" w:eastAsia="仿宋" w:cs="仿宋"/>
          <w:b w:val="0"/>
          <w:color w:val="000000"/>
        </w:rPr>
        <w:t xml:space="preserve"> </w:t>
      </w:r>
      <w:r>
        <w:rPr>
          <w:rFonts w:hint="eastAsia" w:ascii="仿宋" w:hAnsi="仿宋" w:eastAsia="仿宋" w:cs="仿宋"/>
          <w:b w:val="0"/>
          <w:color w:val="000000"/>
          <w:lang w:eastAsia="zh-CN"/>
        </w:rPr>
        <w:t>（</w:t>
      </w:r>
      <w:r>
        <w:rPr>
          <w:rFonts w:hint="eastAsia" w:ascii="仿宋" w:hAnsi="仿宋" w:eastAsia="仿宋" w:cs="仿宋"/>
          <w:b/>
          <w:sz w:val="21"/>
          <w:szCs w:val="21"/>
        </w:rPr>
        <w:t>注：本合同仅为合同的参考文本，合同签订双方可根据项目的具体要求进行修订。</w:t>
      </w:r>
      <w:r>
        <w:rPr>
          <w:rFonts w:hint="eastAsia" w:ascii="仿宋" w:hAnsi="仿宋" w:eastAsia="仿宋" w:cs="仿宋"/>
          <w:b w:val="0"/>
          <w:color w:val="000000"/>
          <w:lang w:eastAsia="zh-CN"/>
        </w:rPr>
        <w:t>）</w:t>
      </w:r>
    </w:p>
    <w:p w14:paraId="04497180">
      <w:pPr>
        <w:spacing w:line="360" w:lineRule="auto"/>
        <w:ind w:firstLine="210" w:firstLineChars="100"/>
        <w:rPr>
          <w:rFonts w:hint="eastAsia" w:ascii="仿宋" w:hAnsi="仿宋" w:eastAsia="仿宋" w:cs="仿宋"/>
          <w:b w:val="0"/>
          <w:color w:val="000000"/>
          <w:lang w:eastAsia="zh-CN"/>
        </w:rPr>
      </w:pPr>
    </w:p>
    <w:p w14:paraId="5D1E44FA">
      <w:pPr>
        <w:pStyle w:val="3"/>
        <w:rPr>
          <w:rFonts w:hint="eastAsia" w:ascii="仿宋" w:hAnsi="仿宋" w:eastAsia="仿宋" w:cs="仿宋"/>
        </w:rPr>
      </w:pPr>
    </w:p>
    <w:p w14:paraId="1854E06C">
      <w:pPr>
        <w:ind w:firstLine="883" w:firstLineChars="200"/>
        <w:jc w:val="both"/>
        <w:rPr>
          <w:rStyle w:val="6"/>
          <w:rFonts w:hint="default" w:ascii="仿宋" w:hAnsi="仿宋" w:eastAsia="仿宋" w:cs="仿宋"/>
          <w:color w:val="auto"/>
          <w:sz w:val="48"/>
          <w:szCs w:val="24"/>
          <w:highlight w:val="none"/>
          <w:u w:val="single"/>
          <w:lang w:val="en-US" w:eastAsia="zh-CN"/>
        </w:rPr>
      </w:pPr>
      <w:r>
        <w:rPr>
          <w:rStyle w:val="6"/>
          <w:rFonts w:hint="eastAsia" w:ascii="仿宋" w:hAnsi="仿宋" w:eastAsia="仿宋" w:cs="仿宋"/>
          <w:color w:val="auto"/>
          <w:sz w:val="44"/>
          <w:szCs w:val="22"/>
          <w:highlight w:val="none"/>
          <w:u w:val="single"/>
          <w:lang w:val="en-US" w:eastAsia="zh-CN"/>
        </w:rPr>
        <w:t xml:space="preserve">                      </w:t>
      </w:r>
      <w:r>
        <w:rPr>
          <w:rStyle w:val="6"/>
          <w:rFonts w:hint="eastAsia" w:ascii="仿宋" w:hAnsi="仿宋" w:eastAsia="仿宋" w:cs="仿宋"/>
          <w:color w:val="auto"/>
          <w:sz w:val="44"/>
          <w:szCs w:val="22"/>
          <w:highlight w:val="none"/>
          <w:lang w:val="en-US" w:eastAsia="zh-CN"/>
        </w:rPr>
        <w:t>采购包</w:t>
      </w:r>
      <w:r>
        <w:rPr>
          <w:rStyle w:val="6"/>
          <w:rFonts w:hint="eastAsia" w:ascii="仿宋" w:hAnsi="仿宋" w:eastAsia="仿宋" w:cs="仿宋"/>
          <w:color w:val="auto"/>
          <w:sz w:val="44"/>
          <w:szCs w:val="22"/>
          <w:highlight w:val="none"/>
          <w:u w:val="single"/>
          <w:lang w:val="en-US" w:eastAsia="zh-CN"/>
        </w:rPr>
        <w:t xml:space="preserve">    </w:t>
      </w:r>
    </w:p>
    <w:p w14:paraId="5B15E781">
      <w:pPr>
        <w:pStyle w:val="3"/>
        <w:rPr>
          <w:rStyle w:val="6"/>
          <w:rFonts w:hint="eastAsia" w:ascii="仿宋" w:hAnsi="仿宋" w:eastAsia="仿宋" w:cs="仿宋"/>
          <w:color w:val="auto"/>
          <w:sz w:val="48"/>
          <w:szCs w:val="24"/>
          <w:highlight w:val="none"/>
          <w:lang w:eastAsia="zh-CN"/>
        </w:rPr>
      </w:pPr>
    </w:p>
    <w:p w14:paraId="65140A87">
      <w:pPr>
        <w:rPr>
          <w:rStyle w:val="6"/>
          <w:rFonts w:hint="eastAsia" w:ascii="仿宋" w:hAnsi="仿宋" w:eastAsia="仿宋" w:cs="仿宋"/>
          <w:color w:val="auto"/>
          <w:sz w:val="48"/>
          <w:szCs w:val="24"/>
          <w:highlight w:val="none"/>
          <w:lang w:eastAsia="zh-CN"/>
        </w:rPr>
      </w:pPr>
    </w:p>
    <w:p w14:paraId="43AF2268">
      <w:pPr>
        <w:pStyle w:val="3"/>
        <w:rPr>
          <w:rStyle w:val="6"/>
          <w:rFonts w:hint="eastAsia" w:ascii="仿宋" w:hAnsi="仿宋" w:eastAsia="仿宋" w:cs="仿宋"/>
          <w:color w:val="auto"/>
          <w:sz w:val="48"/>
          <w:szCs w:val="24"/>
          <w:highlight w:val="none"/>
          <w:lang w:eastAsia="zh-CN"/>
        </w:rPr>
      </w:pPr>
    </w:p>
    <w:p w14:paraId="44746998">
      <w:pPr>
        <w:rPr>
          <w:rFonts w:hint="eastAsia"/>
          <w:lang w:eastAsia="zh-CN"/>
        </w:rPr>
      </w:pPr>
    </w:p>
    <w:p w14:paraId="200308D8">
      <w:pPr>
        <w:pStyle w:val="3"/>
        <w:rPr>
          <w:rFonts w:hint="eastAsia"/>
          <w:lang w:eastAsia="zh-CN"/>
        </w:rPr>
      </w:pPr>
    </w:p>
    <w:p w14:paraId="0CB220FF">
      <w:pPr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  <w:t>合  同</w:t>
      </w:r>
    </w:p>
    <w:p w14:paraId="5D0AB93F">
      <w:pPr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71519BA4">
      <w:pPr>
        <w:pStyle w:val="3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254A8E96">
      <w:pPr>
        <w:rPr>
          <w:rFonts w:hint="eastAsia"/>
        </w:rPr>
      </w:pPr>
    </w:p>
    <w:p w14:paraId="0C84E69E">
      <w:pPr>
        <w:pStyle w:val="3"/>
        <w:rPr>
          <w:rFonts w:hint="eastAsia"/>
        </w:rPr>
      </w:pPr>
    </w:p>
    <w:p w14:paraId="3B2FF06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1F14177A">
      <w:pPr>
        <w:ind w:firstLine="3080" w:firstLineChars="1100"/>
        <w:rPr>
          <w:rFonts w:hint="eastAsia" w:ascii="仿宋" w:hAnsi="仿宋" w:eastAsia="仿宋" w:cs="仿宋"/>
          <w:color w:val="auto"/>
          <w:sz w:val="28"/>
          <w:szCs w:val="30"/>
          <w:highlight w:val="none"/>
        </w:rPr>
      </w:pPr>
    </w:p>
    <w:p w14:paraId="7B353DCB">
      <w:pPr>
        <w:spacing w:line="360" w:lineRule="auto"/>
        <w:ind w:firstLine="3080" w:firstLineChars="1100"/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</w:rPr>
        <w:t xml:space="preserve">       </w:t>
      </w:r>
    </w:p>
    <w:p w14:paraId="441A0F84">
      <w:pPr>
        <w:spacing w:line="360" w:lineRule="auto"/>
        <w:ind w:firstLine="3080" w:firstLineChars="1100"/>
        <w:rPr>
          <w:rFonts w:hint="eastAsia" w:ascii="仿宋" w:hAnsi="仿宋" w:eastAsia="仿宋" w:cs="仿宋"/>
          <w:color w:val="auto"/>
          <w:sz w:val="28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30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30"/>
          <w:highlight w:val="none"/>
          <w:u w:val="single"/>
        </w:rPr>
        <w:t xml:space="preserve">   </w:t>
      </w:r>
    </w:p>
    <w:p w14:paraId="30EE9A0B">
      <w:pPr>
        <w:jc w:val="center"/>
        <w:rPr>
          <w:rFonts w:hint="eastAsia" w:ascii="仿宋" w:hAnsi="仿宋" w:eastAsia="仿宋" w:cs="仿宋"/>
          <w:color w:val="auto"/>
          <w:sz w:val="28"/>
          <w:szCs w:val="30"/>
          <w:highlight w:val="none"/>
        </w:rPr>
      </w:pPr>
    </w:p>
    <w:p w14:paraId="7E409EC5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182C6912">
      <w:pPr>
        <w:rPr>
          <w:rFonts w:hint="eastAsia" w:ascii="仿宋" w:hAnsi="仿宋" w:eastAsia="仿宋" w:cs="仿宋"/>
          <w:color w:val="auto"/>
          <w:sz w:val="28"/>
          <w:szCs w:val="30"/>
          <w:highlight w:val="none"/>
          <w:lang w:eastAsia="zh-CN"/>
        </w:rPr>
      </w:pPr>
    </w:p>
    <w:p w14:paraId="42187562">
      <w:pPr>
        <w:pStyle w:val="3"/>
        <w:rPr>
          <w:rFonts w:hint="eastAsia" w:ascii="仿宋" w:hAnsi="仿宋" w:eastAsia="仿宋" w:cs="仿宋"/>
          <w:color w:val="auto"/>
          <w:sz w:val="28"/>
          <w:szCs w:val="30"/>
          <w:highlight w:val="none"/>
          <w:lang w:eastAsia="zh-CN"/>
        </w:rPr>
      </w:pPr>
    </w:p>
    <w:p w14:paraId="2313515B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1076DBB3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34864490">
      <w:pPr>
        <w:ind w:firstLine="960" w:firstLineChars="3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采购人（甲方）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：</w:t>
      </w:r>
    </w:p>
    <w:p w14:paraId="61F0EC3F">
      <w:pPr>
        <w:tabs>
          <w:tab w:val="left" w:pos="480"/>
        </w:tabs>
        <w:ind w:firstLine="960" w:firstLineChars="300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供应商（乙方）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： </w:t>
      </w:r>
    </w:p>
    <w:p w14:paraId="21AD3DA0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          </w:t>
      </w:r>
    </w:p>
    <w:p w14:paraId="3BA0A833">
      <w:pPr>
        <w:ind w:firstLine="3840" w:firstLineChars="1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日</w:t>
      </w:r>
    </w:p>
    <w:p w14:paraId="7E48BFE3">
      <w:pPr>
        <w:pStyle w:val="3"/>
        <w:rPr>
          <w:rFonts w:hint="eastAsia" w:ascii="仿宋" w:hAnsi="仿宋" w:eastAsia="仿宋" w:cs="仿宋"/>
        </w:rPr>
      </w:pPr>
    </w:p>
    <w:p w14:paraId="3BBABA74">
      <w:pP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3BF754E2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采购人（甲方）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</w:p>
    <w:p w14:paraId="4278E5BD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供应商（乙方）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</w:p>
    <w:p w14:paraId="66D7C2B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陕西瑞珂工程咨询有限责任公司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就甲方所需货物，按照政府采购程序组织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公开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招标，确定乙方为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供应商。依据《中华人民共和国政府采购法》、《中华人民共和国政府采购法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实施条例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》、《中华人民共和国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》，经甲、乙双方协商、确认，达成如下条款。</w:t>
      </w:r>
    </w:p>
    <w:p w14:paraId="3377F27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  <w:t>一、合同标的货物内容及数量</w:t>
      </w:r>
    </w:p>
    <w:tbl>
      <w:tblPr>
        <w:tblStyle w:val="4"/>
        <w:tblW w:w="923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049"/>
        <w:gridCol w:w="1215"/>
        <w:gridCol w:w="1593"/>
        <w:gridCol w:w="1223"/>
        <w:gridCol w:w="1095"/>
        <w:gridCol w:w="1035"/>
        <w:gridCol w:w="1339"/>
      </w:tblGrid>
      <w:tr w14:paraId="76255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noWrap w:val="0"/>
            <w:vAlign w:val="center"/>
          </w:tcPr>
          <w:p w14:paraId="3ADA5C79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49" w:type="dxa"/>
            <w:noWrap w:val="0"/>
            <w:vAlign w:val="center"/>
          </w:tcPr>
          <w:p w14:paraId="475A7503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产品</w:t>
            </w:r>
          </w:p>
          <w:p w14:paraId="463FE520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215" w:type="dxa"/>
            <w:noWrap w:val="0"/>
            <w:vAlign w:val="center"/>
          </w:tcPr>
          <w:p w14:paraId="67E45AD2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593" w:type="dxa"/>
            <w:noWrap w:val="0"/>
            <w:vAlign w:val="center"/>
          </w:tcPr>
          <w:p w14:paraId="447FEA9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品牌</w:t>
            </w:r>
          </w:p>
        </w:tc>
        <w:tc>
          <w:tcPr>
            <w:tcW w:w="1223" w:type="dxa"/>
            <w:noWrap w:val="0"/>
            <w:vAlign w:val="center"/>
          </w:tcPr>
          <w:p w14:paraId="681799F0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数量/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95" w:type="dxa"/>
            <w:noWrap w:val="0"/>
            <w:vAlign w:val="center"/>
          </w:tcPr>
          <w:p w14:paraId="39A61F03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1035" w:type="dxa"/>
            <w:noWrap w:val="0"/>
            <w:vAlign w:val="center"/>
          </w:tcPr>
          <w:p w14:paraId="19EA4EF2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 价</w:t>
            </w:r>
          </w:p>
        </w:tc>
        <w:tc>
          <w:tcPr>
            <w:tcW w:w="1339" w:type="dxa"/>
            <w:noWrap w:val="0"/>
            <w:vAlign w:val="center"/>
          </w:tcPr>
          <w:p w14:paraId="43BE578D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470C2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noWrap w:val="0"/>
            <w:vAlign w:val="center"/>
          </w:tcPr>
          <w:p w14:paraId="4827250C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49" w:type="dxa"/>
            <w:noWrap w:val="0"/>
            <w:vAlign w:val="center"/>
          </w:tcPr>
          <w:p w14:paraId="50EFE44F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1B2C70F0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5C7C8217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3C823C19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386673B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816D2A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74C1FBD7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9E40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noWrap w:val="0"/>
            <w:vAlign w:val="center"/>
          </w:tcPr>
          <w:p w14:paraId="7CEE04FB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049" w:type="dxa"/>
            <w:noWrap w:val="0"/>
            <w:vAlign w:val="center"/>
          </w:tcPr>
          <w:p w14:paraId="5EBC8BC4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3574C6BF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392B6ABB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104ACDB2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6F47651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A67FA5A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56F658E9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886A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noWrap w:val="0"/>
            <w:vAlign w:val="center"/>
          </w:tcPr>
          <w:p w14:paraId="4EEB8FC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049" w:type="dxa"/>
            <w:noWrap w:val="0"/>
            <w:vAlign w:val="center"/>
          </w:tcPr>
          <w:p w14:paraId="0C28F71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6F0BE12D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0A378B8E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33D885AB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2F95BAF7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1717E5C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50E518BA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4A7A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noWrap w:val="0"/>
            <w:vAlign w:val="center"/>
          </w:tcPr>
          <w:p w14:paraId="47CEEAF5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049" w:type="dxa"/>
            <w:noWrap w:val="0"/>
            <w:vAlign w:val="center"/>
          </w:tcPr>
          <w:p w14:paraId="2296D026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265D04EF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54B80CF2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198361C5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075865C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8B83CA9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113C51FA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CD2E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noWrap w:val="0"/>
            <w:vAlign w:val="center"/>
          </w:tcPr>
          <w:p w14:paraId="5EACCC78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49" w:type="dxa"/>
            <w:noWrap w:val="0"/>
            <w:vAlign w:val="center"/>
          </w:tcPr>
          <w:p w14:paraId="22F11089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0837F123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7558A090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1C87B138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873593A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6728942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1E065747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7AAF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noWrap w:val="0"/>
            <w:vAlign w:val="center"/>
          </w:tcPr>
          <w:p w14:paraId="0B87EA83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049" w:type="dxa"/>
            <w:noWrap w:val="0"/>
            <w:vAlign w:val="center"/>
          </w:tcPr>
          <w:p w14:paraId="091B5E4C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5" w:type="dxa"/>
            <w:noWrap w:val="0"/>
            <w:vAlign w:val="center"/>
          </w:tcPr>
          <w:p w14:paraId="515BABDC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93" w:type="dxa"/>
            <w:noWrap w:val="0"/>
            <w:vAlign w:val="center"/>
          </w:tcPr>
          <w:p w14:paraId="6A7D3813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569C0D40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68C6975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A2B0F9F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10349FDE">
            <w:pPr>
              <w:ind w:firstLine="211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C9A8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946" w:type="dxa"/>
            <w:gridSpan w:val="3"/>
            <w:noWrap w:val="0"/>
            <w:vAlign w:val="center"/>
          </w:tcPr>
          <w:p w14:paraId="063A38C1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合计（元）：</w:t>
            </w:r>
          </w:p>
        </w:tc>
        <w:tc>
          <w:tcPr>
            <w:tcW w:w="6285" w:type="dxa"/>
            <w:gridSpan w:val="5"/>
            <w:noWrap w:val="0"/>
            <w:vAlign w:val="center"/>
          </w:tcPr>
          <w:p w14:paraId="0FEA5BB7">
            <w:pPr>
              <w:ind w:firstLine="211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大写：</w:t>
            </w:r>
          </w:p>
          <w:p w14:paraId="4839B0A0">
            <w:pPr>
              <w:ind w:firstLine="211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小写：</w:t>
            </w:r>
          </w:p>
        </w:tc>
      </w:tr>
    </w:tbl>
    <w:p w14:paraId="7909880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</w:pPr>
    </w:p>
    <w:p w14:paraId="6BBEF510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  <w:t>二、合同价款</w:t>
      </w:r>
    </w:p>
    <w:p w14:paraId="48A5DB83">
      <w:pPr>
        <w:tabs>
          <w:tab w:val="left" w:pos="480"/>
        </w:tabs>
        <w:spacing w:line="360" w:lineRule="auto"/>
        <w:ind w:left="-199" w:leftChars="-95" w:firstLine="592" w:firstLineChars="282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合同总价款为人民币（大写）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（¥ xxxxx元）。</w:t>
      </w:r>
    </w:p>
    <w:p w14:paraId="2B29B7B8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三、款项结算</w:t>
      </w:r>
    </w:p>
    <w:p w14:paraId="422DA34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付款方式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  <w:lang w:val="en-US" w:eastAsia="zh-CN"/>
        </w:rPr>
        <w:t xml:space="preserve">                                                                     </w:t>
      </w:r>
    </w:p>
    <w:p w14:paraId="6570A0E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结算单位：银行转账，由采购人负责结算。在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付款前，供应商必须开具与合同金额相应的发票给采购人，附详细清单。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验收合格后，填写政府采购项目验收单（一式五份），与采购人结算剩余款项。</w:t>
      </w:r>
    </w:p>
    <w:p w14:paraId="09F2CB71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四、交货条件</w:t>
      </w:r>
    </w:p>
    <w:p w14:paraId="151C96AF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（一）交货地点：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指定地点（由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制定收货人明细）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09F7D0CF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（二）交货期：自合同签订之日起，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>日历天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</w:rPr>
        <w:t>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完成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配送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安装及培训等配套服务。</w:t>
      </w:r>
    </w:p>
    <w:p w14:paraId="5CCE5C7D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包装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运输</w:t>
      </w:r>
    </w:p>
    <w:p w14:paraId="6F55C65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根据产品储运要求,选择运输方式，并承担一切运输费用，包括从生产厂到采购人指定交货地点所需的装卸、运输（含保险费）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、安装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及其他一切费用。</w:t>
      </w:r>
    </w:p>
    <w:p w14:paraId="453A99A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运输费用：由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承担发货运输和产品保险费。</w:t>
      </w:r>
    </w:p>
    <w:p w14:paraId="3AF0AC46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发货前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通过电话或传真方式向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提供待发货物产品的名称、规格、数量等相关信息。</w:t>
      </w:r>
    </w:p>
    <w:p w14:paraId="192128A8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六、质量保证</w:t>
      </w:r>
    </w:p>
    <w:p w14:paraId="5AFEA06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（一）提供的货物及安装等配套服务内容保证技术指标先进、质量性能可靠、进货渠道正常，配置合理，满足竞争性磋商文件要求。</w:t>
      </w:r>
    </w:p>
    <w:p w14:paraId="1B98BC1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（二）货物及配套服务内容符合国家有关规范要求，原材料保证质量可靠。因质量引起的任何缺陷都立即实施补偿，承担更换货物所需费用，并在7个工作日内到达买方指定交货地点。</w:t>
      </w:r>
    </w:p>
    <w:p w14:paraId="716624C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（三）产品性能稳定，具有较好的使用效果，符合国家相关标准。如果由于质量问题需要回收，供应商将第一时间通知采购人，并按质量标准重新供货并承担所需费用。</w:t>
      </w:r>
    </w:p>
    <w:p w14:paraId="38056BB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（四）供应商提供的货物及配套服务，若发生侵权而产生的一切后果由供应商负责，采购方保留索赔权利。</w:t>
      </w:r>
    </w:p>
    <w:p w14:paraId="3319870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服务响应时间不超过2小时，解决问题不超过12小时，对问题较大，短期内不能解决的，为不影响甲方正常工作，供应商在两日内派出专门负责人员到当地解决问题，确保项目正常运行。</w:t>
      </w:r>
    </w:p>
    <w:p w14:paraId="09E27381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七、技术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支持</w:t>
      </w:r>
    </w:p>
    <w:p w14:paraId="67C33FEE">
      <w:pPr>
        <w:spacing w:line="520" w:lineRule="exact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提供质保期内全年7×24小时的技术咨询服务。供应商怠于或无法提供技术支持的，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有权委托第三方处理，由此产生的费用和后果由供应商负责，费用直接从应付款或质保金中扣除。供应商指定的项目总协调人必须是供应商公司管理层人员。因供应商的人员变更原因所造成的任何项目质量、进度滞后的后果，由供应商承担。</w:t>
      </w:r>
    </w:p>
    <w:p w14:paraId="19B1C700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、验收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</w:p>
    <w:p w14:paraId="5DDD02D2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在使用过程中，如果对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货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品质量有质疑时，供应商需向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所在地对其所供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货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品进行抽检。将检验结果报给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，检验所需费用由供应商承担。</w:t>
      </w:r>
    </w:p>
    <w:p w14:paraId="7359094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验收标准：按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、投标文件及澄清函等技术指标进行验收。各项指标均应符合验收标准及要求。</w:t>
      </w:r>
    </w:p>
    <w:p w14:paraId="629D37B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验收合格后，填写验收单，双方签字生效。</w:t>
      </w:r>
    </w:p>
    <w:p w14:paraId="21CF4D6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验收依据：</w:t>
      </w:r>
    </w:p>
    <w:p w14:paraId="3A9DDDA3">
      <w:pPr>
        <w:tabs>
          <w:tab w:val="left" w:pos="480"/>
        </w:tabs>
        <w:spacing w:line="360" w:lineRule="auto"/>
        <w:ind w:firstLine="630" w:firstLineChars="3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1、本合同及合同附件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；</w:t>
      </w:r>
    </w:p>
    <w:p w14:paraId="153E7CBB">
      <w:pPr>
        <w:tabs>
          <w:tab w:val="left" w:pos="480"/>
        </w:tabs>
        <w:spacing w:line="360" w:lineRule="auto"/>
        <w:ind w:firstLine="630" w:firstLineChars="3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2、国家相应的标准、规范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；</w:t>
      </w:r>
    </w:p>
    <w:p w14:paraId="7F364CEE">
      <w:pPr>
        <w:spacing w:line="360" w:lineRule="auto"/>
        <w:ind w:firstLine="630" w:firstLineChars="3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、投标文件、中标通知书、澄清表（函）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；</w:t>
      </w:r>
    </w:p>
    <w:p w14:paraId="2E23CF54">
      <w:pPr>
        <w:spacing w:line="360" w:lineRule="auto"/>
        <w:ind w:firstLine="630" w:firstLineChars="3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验收清单（注明品名、数量、规格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）。</w:t>
      </w:r>
    </w:p>
    <w:p w14:paraId="5EF87FB4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、违约责任</w:t>
      </w:r>
    </w:p>
    <w:p w14:paraId="586AD253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（一）按《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中华人民共和国政府采购法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》、《中华人民共和国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》中的相关条款执行。</w:t>
      </w:r>
    </w:p>
    <w:p w14:paraId="40D20BE2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二）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6FE02D58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（三）若供应商所供货物存在质量问题，供应商应当按照合同总价款的20%向采购方承担违约责任，保证金不予退还，采购单位有权解除合同，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Hans"/>
        </w:rPr>
        <w:t>并有权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要求供应商退还所有货款，因供应商所供药品致使第三人人身伤害的导致甲方承担赔偿责任，供应商应另行赔偿。</w:t>
      </w:r>
    </w:p>
    <w:p w14:paraId="62EA4BCA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（四）因追索违约方违约责任产生的律师费、诉讼费、差旅费等必要费用由违约方承担。</w:t>
      </w:r>
    </w:p>
    <w:p w14:paraId="25913D88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十、合同争议解决的方式</w:t>
      </w:r>
    </w:p>
    <w:p w14:paraId="1C75C41F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本合同在履行过程中发生的争议，由双方当事人协商解决，协商不成的依法向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所在地人民法院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提起诉讼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。</w:t>
      </w:r>
    </w:p>
    <w:p w14:paraId="47510A8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、合同生效</w:t>
      </w:r>
    </w:p>
    <w:p w14:paraId="13857DFC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本合同一式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份，甲乙双方各执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份，监管部门备案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份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713B8A9B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、其他事项</w:t>
      </w:r>
    </w:p>
    <w:p w14:paraId="2CA24F62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一）合同执行期内，非法定或合同约定，甲乙双方均不得随意变更或解除合同。未尽事宜，经双方共同协商作出补充规定，补充规定签字盖章后与本合同具有同等效力。其他未尽事宜，按《中华人民共和国民法典》的有关规定执行。</w:t>
      </w:r>
    </w:p>
    <w:p w14:paraId="15989803">
      <w:pPr>
        <w:tabs>
          <w:tab w:val="left" w:pos="4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二）如因不可抗力致使双方不能履行本合同中的部分或全部义务时，双方均不负违约责任。但不能履行义务一方应在合理的时间内，向对方报告所发生的不可抗力并提供有关部门的证明文件。本条所称“不可抗力”是指自然灾害、重大疫情、恶劣天气条件、政府行为、社会异常事件（包括罢工、政变、骚乱、游行等）或新颁布的法律、法规等不能预见、不能避免并不能克服的客观情况。</w:t>
      </w:r>
    </w:p>
    <w:p w14:paraId="7D3C87BF">
      <w:pPr>
        <w:widowControl/>
        <w:spacing w:line="48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采购人：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章）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章）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</w:p>
    <w:p w14:paraId="4DE6C229">
      <w:pPr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址：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址：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</w:t>
      </w:r>
    </w:p>
    <w:p w14:paraId="12EF83FC">
      <w:pPr>
        <w:tabs>
          <w:tab w:val="left" w:pos="480"/>
        </w:tabs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法定代表人         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法定代表人</w:t>
      </w:r>
    </w:p>
    <w:p w14:paraId="12705A0A">
      <w:pPr>
        <w:tabs>
          <w:tab w:val="left" w:pos="480"/>
        </w:tabs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或委托代理人：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>签字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或委托代理人：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>签字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</w:p>
    <w:p w14:paraId="2F3D085F">
      <w:pPr>
        <w:tabs>
          <w:tab w:val="left" w:pos="480"/>
        </w:tabs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开户银行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开户银行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</w:p>
    <w:p w14:paraId="688E4AA6">
      <w:pPr>
        <w:tabs>
          <w:tab w:val="left" w:pos="480"/>
        </w:tabs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</w:p>
    <w:p w14:paraId="7A1EB681">
      <w:pPr>
        <w:tabs>
          <w:tab w:val="left" w:pos="480"/>
        </w:tabs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联系电话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联系电话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</w:p>
    <w:p w14:paraId="58593D19">
      <w:pPr>
        <w:tabs>
          <w:tab w:val="left" w:pos="480"/>
        </w:tabs>
        <w:spacing w:line="480" w:lineRule="auto"/>
        <w:ind w:firstLine="4620" w:firstLineChars="2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</w:t>
      </w:r>
    </w:p>
    <w:p w14:paraId="10878F4C">
      <w:pPr>
        <w:tabs>
          <w:tab w:val="left" w:pos="480"/>
        </w:tabs>
        <w:spacing w:line="48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签订日期：   年  月  日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签订日期：    年  月  日</w:t>
      </w:r>
    </w:p>
    <w:p w14:paraId="741828BF"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1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6">
    <w:name w:val="标题 1 字符"/>
    <w:link w:val="2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2025-11-29T09:24:18Z</dcterms:created>
  <dc:creator>Administrator</dc:creator>
  <cp:lastModifiedBy>韩*^_^*韩</cp:lastModifiedBy>
  <dcterms:modified xsi:type="dcterms:W3CDTF">2025-11-29T09:24:36Z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eyJoZGlkIjoiYzQ5NWU4OGVlNzc2MWY2ZWZjY2ExNTIzMzMyNTlhMDIiLCJ1c2VySWQiOiIzNjA5MzA0ODMifQ==</vt:lpwstr>
  </property>
  <property fmtid="{D5CDD505-2E9C-101B-9397-08002B2CF9AE}" pid="4" name="ICV">
    <vt:lpwstr>BE72C1AFCBEB4397A60064E40366016E_12</vt:lpwstr>
  </property>
</Properties>
</file>