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版本号：SXZCZB2025-ZCCS-103820251104001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2026-2029年度参加就业见习人员人身意外伤害责任保险承保供应商遴选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SXZCZB2025-ZCCS-1038</w:t>
      </w:r>
      <w:r>
        <w:br/>
      </w:r>
      <w:r>
        <w:br/>
      </w:r>
      <w:r>
        <w:br/>
      </w:r>
    </w:p>
    <w:p>
      <w:pPr>
        <w:pStyle w:val="null3"/>
        <w:jc w:val="center"/>
        <w:outlineLvl w:val="2"/>
      </w:pPr>
      <w:r>
        <w:rPr>
          <w:rFonts w:ascii="仿宋_GB2312" w:hAnsi="仿宋_GB2312" w:cs="仿宋_GB2312" w:eastAsia="仿宋_GB2312"/>
          <w:sz w:val="28"/>
          <w:b/>
        </w:rPr>
        <w:t>汉中市人才交流服务中心</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汉中市人才交流服务中心</w:t>
      </w:r>
      <w:r>
        <w:rPr>
          <w:rFonts w:ascii="仿宋_GB2312" w:hAnsi="仿宋_GB2312" w:cs="仿宋_GB2312" w:eastAsia="仿宋_GB2312"/>
        </w:rPr>
        <w:t>委托，拟对</w:t>
      </w:r>
      <w:r>
        <w:rPr>
          <w:rFonts w:ascii="仿宋_GB2312" w:hAnsi="仿宋_GB2312" w:cs="仿宋_GB2312" w:eastAsia="仿宋_GB2312"/>
        </w:rPr>
        <w:t>2026-2029年度参加就业见习人员人身意外伤害责任保险承保供应商遴选</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SXZCZB2025-ZCCS-1038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2026-2029年度参加就业见习人员人身意外伤害责任保险承保供应商遴选</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2026-2029年度就业见习人员人身意外伤害保险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2、法定代表人委托书：提供法定代表人授权书（附法定代表人、被授权人身份证复印件）（法定代表人直接参加投标，须提供法定代表人身份证明及身份证复印件）；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3、供应商资格：供应商具有行业主管部门颁发的经营保险业务许可证或保险许可证。(同一保险机构只允许其总公司或一家分支机构参与磋商)。</w:t>
      </w:r>
    </w:p>
    <w:p>
      <w:pPr>
        <w:pStyle w:val="null3"/>
      </w:pPr>
      <w:r>
        <w:rPr>
          <w:rFonts w:ascii="仿宋_GB2312" w:hAnsi="仿宋_GB2312" w:cs="仿宋_GB2312" w:eastAsia="仿宋_GB2312"/>
        </w:rPr>
        <w:t>4、汉中市政府采购供应商资格承诺函：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p>
      <w:pPr>
        <w:pStyle w:val="null3"/>
      </w:pPr>
      <w:r>
        <w:rPr>
          <w:rFonts w:ascii="仿宋_GB2312" w:hAnsi="仿宋_GB2312" w:cs="仿宋_GB2312" w:eastAsia="仿宋_GB2312"/>
        </w:rPr>
        <w:t>5、非联合体磋商：本项目不接受联合体磋商（需提供承诺书）。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汉中市人才交流服务中心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陕西省汉中市汉台区人民路人力资源中心市场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0916-2247726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代理服务费收费标准：以中标金额为基数，参照国家计委颁布《招标代理服务收费管理暂行办法》（计价格[2002]1980 号）及国家发展和改革委员会办公厅颁发的《关于招标代理服务收费有关问题的通知》（发改办价格[2003]857 号）文件规定执行，不足5000元按5000元收取。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汉中市人才交流服务中心</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汉中市人才交流服务中心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汉中市人才交流服务中心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2026-2029年度就业见习人员人身意外伤害保险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2026-2029年度参加就业见习人员人身意外伤害责任保险承保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标的名称：2026-2029年度参加就业见习人员人身意外伤害责任保险承保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采购内容：2026-2029年度就业见习人员人身意外伤害保险</w:t>
            </w:r>
          </w:p>
          <w:p>
            <w:pPr>
              <w:pStyle w:val="null3"/>
            </w:pPr>
            <w:r>
              <w:rPr>
                <w:rFonts w:ascii="仿宋_GB2312" w:hAnsi="仿宋_GB2312" w:cs="仿宋_GB2312" w:eastAsia="仿宋_GB2312"/>
                <w:sz w:val="21"/>
              </w:rPr>
              <w:t>保费上限：30元/人*月，此价格最高限价。</w:t>
            </w:r>
          </w:p>
          <w:p>
            <w:pPr>
              <w:pStyle w:val="null3"/>
            </w:pPr>
            <w:r>
              <w:rPr>
                <w:rFonts w:ascii="仿宋_GB2312" w:hAnsi="仿宋_GB2312" w:cs="仿宋_GB2312" w:eastAsia="仿宋_GB2312"/>
                <w:sz w:val="21"/>
              </w:rPr>
              <w:t>保险涵盖范围及保额：（包括不限于）：</w:t>
            </w:r>
          </w:p>
          <w:p>
            <w:pPr>
              <w:pStyle w:val="null3"/>
            </w:pPr>
            <w:r>
              <w:rPr>
                <w:rFonts w:ascii="仿宋_GB2312" w:hAnsi="仿宋_GB2312" w:cs="仿宋_GB2312" w:eastAsia="仿宋_GB2312"/>
                <w:sz w:val="21"/>
              </w:rPr>
              <w:t>1.意外身故保障：被保险人遭受意外伤害，并自遭受意外伤害之日起180日内身故，保险公司按其保险金额给付身故保险金，保险责任终止。（保额不低于30万元）</w:t>
            </w:r>
          </w:p>
          <w:p>
            <w:pPr>
              <w:pStyle w:val="null3"/>
            </w:pPr>
            <w:r>
              <w:rPr>
                <w:rFonts w:ascii="仿宋_GB2312" w:hAnsi="仿宋_GB2312" w:cs="仿宋_GB2312" w:eastAsia="仿宋_GB2312"/>
                <w:sz w:val="21"/>
              </w:rPr>
              <w:t>2.意外残障保障：被保险人在本保险期间内因遭受意外事故，并自事故发生之日起180日内造成残疾的，乙方按保险金额给付“意外残疾保险金”。并据“残疾程度与给付比例表”给付“意外残疾保险金”。（保额不低于30万元）</w:t>
            </w:r>
          </w:p>
          <w:p>
            <w:pPr>
              <w:pStyle w:val="null3"/>
            </w:pPr>
            <w:r>
              <w:rPr>
                <w:rFonts w:ascii="仿宋_GB2312" w:hAnsi="仿宋_GB2312" w:cs="仿宋_GB2312" w:eastAsia="仿宋_GB2312"/>
                <w:sz w:val="21"/>
              </w:rPr>
              <w:t>3.意外医疗保障：被保险人在本保险有效期间内，因遭受意外事故并在医院进行治疗，乙方就其事故发生之日起180日内实际支出的合理医疗费用超过人民币100元的部分100%给付“意外伤害医疗保险金”。被保险人不论一次或多次发生意外伤害保险事故，保险人均按上述规定分别给付“意外伤害医疗保险金”。（保额不低于3万元）</w:t>
            </w:r>
          </w:p>
          <w:p>
            <w:pPr>
              <w:pStyle w:val="null3"/>
            </w:pPr>
            <w:r>
              <w:rPr>
                <w:rFonts w:ascii="仿宋_GB2312" w:hAnsi="仿宋_GB2312" w:cs="仿宋_GB2312" w:eastAsia="仿宋_GB2312"/>
                <w:sz w:val="21"/>
              </w:rPr>
              <w:t>其他要求：1.见习人员每次投保期限最低为三个月，见习时间超过三个月的进行二次投保。2. 保险公司在收到就业部门提供的投保名单后次日为见习人员参保，就业部门根据保险公司出具的保费交款通知书（三个工作日内）为实际新增参保人员核算并支付保费，特殊情况下保险公司允许延期支付，其它支付细节签订合同时具体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2026年1月1日00：00时起至2029年1月31日24：00时止，按年签订保单，合同一年一签。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国家和行业制定的相应的标准和规范。3.3.4支付方式</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付款资金由甲方确定见习人员信息后，乙方出具保单和发票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 3.由于不可抗力因素造成无法按照原计划提供服务，双方互不追究违约责任。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供应商具有行业主管部门颁发的经营保险业务许可证或保险许可证。(同一保险机构只允许其总公司或一家分支机构参与磋商)。</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承保服务</w:t>
            </w:r>
          </w:p>
        </w:tc>
        <w:tc>
          <w:tcPr>
            <w:tcW w:type="dxa" w:w="2492"/>
          </w:tcPr>
          <w:p>
            <w:pPr>
              <w:pStyle w:val="null3"/>
            </w:pPr>
            <w:r>
              <w:rPr>
                <w:rFonts w:ascii="仿宋_GB2312" w:hAnsi="仿宋_GB2312" w:cs="仿宋_GB2312" w:eastAsia="仿宋_GB2312"/>
              </w:rPr>
              <w:t>一、评审内容 针对本项目提出适用于本项目的需求响应方案，包括： ①项目理解②承保流程③承保机构在保险标的所在地设立正式机构(提供证明资料) 二、评审标准 1、完整性：方案必须全面，对评审内容中的各项要求有详细描述；2、可实施性 ：切合本项目实际情况，提出步骤清晰、合理的方案；3、针对性：方案能够紧扣项目实际情况，内容 科学合理。 三、赋分标准（满分18分） ①项目理解：每完全满足一个评审标准得 2分，未完全满足一个评审标准得0- 1.9分，满分6分； ②承保流程：每完全满足一个 评审标准得 2分，未完全满足一个评审标准得0- 1.9分，满分6分； ③承保机构在保险标的所在地设立正式机构：每完全满足一个评审标准得2分，未完全满足一个评审标准得0- 1.9分，满分6分。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理赔服务</w:t>
            </w:r>
          </w:p>
        </w:tc>
        <w:tc>
          <w:tcPr>
            <w:tcW w:type="dxa" w:w="2492"/>
          </w:tcPr>
          <w:p>
            <w:pPr>
              <w:pStyle w:val="null3"/>
            </w:pPr>
            <w:r>
              <w:rPr>
                <w:rFonts w:ascii="仿宋_GB2312" w:hAnsi="仿宋_GB2312" w:cs="仿宋_GB2312" w:eastAsia="仿宋_GB2312"/>
              </w:rPr>
              <w:t>一、评审内容 针对本项目提出适用于本项目的服务方案，包括：①责任事故处理有明确的理赔时效②理赔服务控制措施 二、评审标准 1、完整性：方案必须全面，对评审内容中的各项要求有详细描述； 2、可实施性：切合本项目实际情况，提出步骤清晰、合理的方案； 3、针对性：方案能够紧扣项目实际情况，内容科学合理。 三、赋分标准（满分12分） ①责任事故处理有明确的理赔时效：每完全满足一个评审标准得分，未完全满足一个评审标准得0-1.9分，满分6分； ②理赔服务控制措施：每完全满足一个评审标准得2分，未完全满足一个评审标准得0-1.9分，满分6分；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措施方案</w:t>
            </w:r>
          </w:p>
        </w:tc>
        <w:tc>
          <w:tcPr>
            <w:tcW w:type="dxa" w:w="2492"/>
          </w:tcPr>
          <w:p>
            <w:pPr>
              <w:pStyle w:val="null3"/>
            </w:pPr>
            <w:r>
              <w:rPr>
                <w:rFonts w:ascii="仿宋_GB2312" w:hAnsi="仿宋_GB2312" w:cs="仿宋_GB2312" w:eastAsia="仿宋_GB2312"/>
              </w:rPr>
              <w:t>一、评审内容 针对采购需求提出适用于本项目的措施方案，方案包括：①接报案后在1个自然日内提出处理意见机制及方案②对被保险人提供理赔材料有欠缺的协助处理方案 二、评审标准 完整性：方案必须全面，对评审内容中的各项要求有详细描述； 2、可实施性：切合本项目实际情况，提出步骤清晰、合理的方案； 3、针对性：方案能够紧扣项目实际情况，内容科学合理。 三、赋分标准（满分12分） ①接报案后在1个自然日内提出处理意见机制及方案：每完全满足一个评审标准得2分，未完全满足一个评审标准得0-1.9分，满分6分； ②对被保险人提供理赔材料有欠缺的协助处理方案：每完全满足一个评审标准得2分，未完全满足一个评审标准得0-1.9分，满分6分；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完整性：方案必须全面，对评审内容中的各项要求有详细描述； 2、可实施性：切合本项目实际情况，提出步骤清晰、合理的方案； 3、针对性：方案能够紧扣项目实际情况，内容科学合理。 三、赋分标准（满分18分） ①服务承诺：每完全满足一个评审标准得分，未完全满足一个评审标准得0-1.9分，满分6分； ②应急预案：每完全满足一个评审标准得2分，未完全满足一个评审标准得0-1.9分，满分6分； ③应急保障措施：每完全满足一个评审标准得2分，未完全满足一个评审标准得0-1.9分，满分6分。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针对本项目提出适用于本项目的项目团队配置方案，包括：①项目专项工作小组设立与人员配备②团队人员管理制度。 二、评审标准 1、完整性：方案必须全面，对评审内容中的各项要求有详细描述； 2、可实施性：切合本项目实际情况，提出步骤清晰、合理的方案； 3、针对性：方案能够紧扣项目实际情况，内容科学合理。 三、赋分标准（满分12分） ①项目专项工作小组设立与人员配备：每完全满足一个评审标准得2分，未完全满足一个评审标准得0-1.9分，满分6分； ②团队人员管理制度：每完全满足一个评审标准得2分，未完全满足一个评审标准得0-1.9分，满分6分。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对各供应商的增值服务进行打分（投标人如有额外的增值服务，提供承诺函等材料，未提供不得分）。每提供一条有效的增值服务得2分，满分8分。不提供不得分。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投标人近三年（2022年10月至今）具有类似项目业绩，每提供一份计3分，满分6分。 评审依据：提供供应商加盖公章的合同协议书复印件或中标通知书，以合同签订时间为准。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