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版本号：HNZB-2025-10520251104001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汉中市矿产资源总体规划（2026-2030年）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HNZB-2025-105</w:t>
      </w:r>
      <w:r>
        <w:br/>
      </w:r>
      <w:r>
        <w:br/>
      </w:r>
      <w:r>
        <w:br/>
      </w:r>
    </w:p>
    <w:p>
      <w:pPr>
        <w:pStyle w:val="null3"/>
        <w:jc w:val="center"/>
        <w:outlineLvl w:val="2"/>
      </w:pPr>
      <w:r>
        <w:rPr>
          <w:rFonts w:ascii="仿宋_GB2312" w:hAnsi="仿宋_GB2312" w:cs="仿宋_GB2312" w:eastAsia="仿宋_GB2312"/>
          <w:sz w:val="28"/>
          <w:b/>
        </w:rPr>
        <w:t>汉中市自然资源局</w:t>
      </w:r>
    </w:p>
    <w:p>
      <w:pPr>
        <w:pStyle w:val="null3"/>
        <w:jc w:val="center"/>
        <w:outlineLvl w:val="2"/>
      </w:pPr>
      <w:r>
        <w:rPr>
          <w:rFonts w:ascii="仿宋_GB2312" w:hAnsi="仿宋_GB2312" w:cs="仿宋_GB2312" w:eastAsia="仿宋_GB2312"/>
          <w:sz w:val="28"/>
          <w:b/>
        </w:rPr>
        <w:t>陕西汇诺项目管理咨询有限公司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陕西汇诺项目管理咨询有限公司</w:t>
      </w:r>
      <w:r>
        <w:rPr>
          <w:rFonts w:ascii="仿宋_GB2312" w:hAnsi="仿宋_GB2312" w:cs="仿宋_GB2312" w:eastAsia="仿宋_GB2312"/>
        </w:rPr>
        <w:t>（以下简称“代理机构”）受</w:t>
      </w:r>
      <w:r>
        <w:rPr>
          <w:rFonts w:ascii="仿宋_GB2312" w:hAnsi="仿宋_GB2312" w:cs="仿宋_GB2312" w:eastAsia="仿宋_GB2312"/>
        </w:rPr>
        <w:t>汉中市自然资源局</w:t>
      </w:r>
      <w:r>
        <w:rPr>
          <w:rFonts w:ascii="仿宋_GB2312" w:hAnsi="仿宋_GB2312" w:cs="仿宋_GB2312" w:eastAsia="仿宋_GB2312"/>
        </w:rPr>
        <w:t>委托，拟对</w:t>
      </w:r>
      <w:r>
        <w:rPr>
          <w:rFonts w:ascii="仿宋_GB2312" w:hAnsi="仿宋_GB2312" w:cs="仿宋_GB2312" w:eastAsia="仿宋_GB2312"/>
        </w:rPr>
        <w:t>汉中市矿产资源总体规划（2026-2030年）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HNZB-2025-105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汉中市矿产资源总体规划（2026-2030年）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开展规划实施评估、战略性矿产找矿增储、重点区域矿产勘查开发与布局优化、规划管控政策、矿业绿色高质量发展等重大专题研究和规划环评、数据库建设2项重点工作；主要功能或目标：围绕重点矿种、重点区域，从规划实施评估、战略性矿产找矿增储、布局优化、矿业绿色高质量发展、规划管控政策、规划环评以及数据库建设等方面开展重大专题研究，支撑《汉中市矿产资源总体规划（2026-2030年）》编制；完成规划文本、规划附图、规划附表及规划编制说明全部内容，建立配套数据库。开展并完成汉中市秦岭矿产资源开发专项规划修编及评估；开展汉中市砂石土矿开发利用专题研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采购包1（汉中市矿产资源总体规划（2026-2030年））：属于专门面向中小企业采购。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2、法定代表人（负责人）授权委托书身份证明：投标人代表应提供法定代表人（单位负责人）授权书（附法定代表人（单位负责人）及被授权人身份证复印件），法定代表人（单位负责人）直接参加只须提供法定代表人（单位负责人）身份证明；</w:t>
      </w:r>
    </w:p>
    <w:p>
      <w:pPr>
        <w:pStyle w:val="null3"/>
      </w:pPr>
      <w:r>
        <w:rPr>
          <w:rFonts w:ascii="仿宋_GB2312" w:hAnsi="仿宋_GB2312" w:cs="仿宋_GB2312" w:eastAsia="仿宋_GB2312"/>
        </w:rPr>
        <w:t>3、汉中市政府采购供应商资格承诺函：具有良好的商业信营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财办采管〔2024〕20号)文件要求，提供加盖公章的《汉中市政府采购供应商资格承诺函》。</w:t>
      </w:r>
    </w:p>
    <w:p>
      <w:pPr>
        <w:pStyle w:val="null3"/>
      </w:pPr>
      <w:r>
        <w:rPr>
          <w:rFonts w:ascii="仿宋_GB2312" w:hAnsi="仿宋_GB2312" w:cs="仿宋_GB2312" w:eastAsia="仿宋_GB2312"/>
        </w:rPr>
        <w:t>4、其他：本项目不接受联合体投标，单位负责人为同一人或者存在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0916-2996030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陕西汇诺项目管理咨询有限公司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陕西省西安市高新区太白南路22号坤元商务中心1602室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18391683365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开户名称：陕西汇诺项目管理咨询有限公司</w:t>
            </w:r>
          </w:p>
          <w:p>
            <w:pPr>
              <w:pStyle w:val="null3"/>
            </w:pPr>
            <w:r>
              <w:rPr>
                <w:rFonts w:ascii="仿宋_GB2312" w:hAnsi="仿宋_GB2312" w:cs="仿宋_GB2312" w:eastAsia="仿宋_GB2312"/>
              </w:rPr>
              <w:t>开户银行：中国民生银行股份有限公司西安太白路支行</w:t>
            </w:r>
          </w:p>
          <w:p>
            <w:pPr>
              <w:pStyle w:val="null3"/>
            </w:pPr>
            <w:r>
              <w:rPr>
                <w:rFonts w:ascii="仿宋_GB2312" w:hAnsi="仿宋_GB2312" w:cs="仿宋_GB2312" w:eastAsia="仿宋_GB2312"/>
              </w:rPr>
              <w:t>银行账号：640452913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招标代理服务费的金额参照“国家计委关于印发《招标代理服务收费管理暂行办法》的通知（计价格〔2002〕1980号）、国家发展计划委员会文件（发改办价格〔2003〕857号）“国家发展改革委办公厅关于招标代理服务收费有关问题的通知”的标准收取。 代理服务费缴存账户如下： 开户名称：陕西汇诺项目管理咨询有限公司 开户银行：中国民生银行股份有限公司西安太白路支行 银行账号：640452913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汉中市自然资源局</w:t>
      </w:r>
      <w:r>
        <w:rPr>
          <w:rFonts w:ascii="仿宋_GB2312" w:hAnsi="仿宋_GB2312" w:cs="仿宋_GB2312" w:eastAsia="仿宋_GB2312"/>
        </w:rPr>
        <w:t>和</w:t>
      </w:r>
      <w:r>
        <w:rPr>
          <w:rFonts w:ascii="仿宋_GB2312" w:hAnsi="仿宋_GB2312" w:cs="仿宋_GB2312" w:eastAsia="仿宋_GB2312"/>
        </w:rPr>
        <w:t>陕西汇诺项目管理咨询有限公司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陕西汇诺项目管理咨询有限公司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陕西汇诺项目管理咨询有限公司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按相关的技术标准、合同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陕西汇诺项目管理咨询有限公司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陕西汇诺项目管理咨询有限公司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陕西汇诺项目管理咨询有限公司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联系人：张停</w:t>
      </w:r>
    </w:p>
    <w:p>
      <w:pPr>
        <w:pStyle w:val="null3"/>
      </w:pPr>
      <w:r>
        <w:rPr>
          <w:rFonts w:ascii="仿宋_GB2312" w:hAnsi="仿宋_GB2312" w:cs="仿宋_GB2312" w:eastAsia="仿宋_GB2312"/>
        </w:rPr>
        <w:t>联系电话：18391683365</w:t>
      </w:r>
    </w:p>
    <w:p>
      <w:pPr>
        <w:pStyle w:val="null3"/>
      </w:pPr>
      <w:r>
        <w:rPr>
          <w:rFonts w:ascii="仿宋_GB2312" w:hAnsi="仿宋_GB2312" w:cs="仿宋_GB2312" w:eastAsia="仿宋_GB2312"/>
        </w:rPr>
        <w:t>地址：陕西省西安市高新区太白南路22号坤元商务中心1602室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规划实施评估、战略性矿产找矿增储、重点区域矿产勘查开发与布局优化、规划管控政策、矿业绿色高质量发展等重大专题研究和规划环评、数据库建设2项重点工作；主要功能或目标：围绕重点矿种、重点区域，从规划实施评估、战略性矿产找矿增储、布局优化、矿业绿色高质量发展、规划管控政策、规划环评以及数据库建设等方面开展重大专题研究，支撑《汉中市矿产资源总体规划（2026-2030年）》编制；完成规划文本、规划附图、规划附表及规划编制说明全部内容，建立配套数据库。开展并完成汉中市秦岭矿产资源开发专项规划修编及评估；开展汉中市砂石土矿开发利用专题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开展规划实施评估、战略性矿产找矿增储、重点区域矿产勘查开发与布局优化、规划管控政策、矿业绿色高质量发展等重大专题研究和规划环评、数据库建设2项重点工作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标的名称：开展规划实施评估、战略性矿产找矿增储、重点区域矿产勘查开发与布局优化、规划管控政策、矿业绿色高质量发展等重大专题研究和规划环评、数据库建设2项重点工作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1"/>
            </w:pPr>
            <w:r>
              <w:rPr>
                <w:rFonts w:ascii="仿宋_GB2312" w:hAnsi="仿宋_GB2312" w:cs="仿宋_GB2312" w:eastAsia="仿宋_GB2312"/>
                <w:sz w:val="18"/>
                <w:b/>
              </w:rPr>
              <w:t>1、项目简介</w:t>
            </w:r>
          </w:p>
          <w:p>
            <w:pPr>
              <w:pStyle w:val="null3"/>
              <w:ind w:firstLine="360"/>
              <w:jc w:val="left"/>
            </w:pPr>
            <w:r>
              <w:rPr>
                <w:rFonts w:ascii="仿宋_GB2312" w:hAnsi="仿宋_GB2312" w:cs="仿宋_GB2312" w:eastAsia="仿宋_GB2312"/>
                <w:sz w:val="18"/>
              </w:rPr>
              <w:t>根据自然资源部和陕西省自然资源厅的工作部署要求，紧密结合汉中市的矿产赋存特色和新常态要求，组织编制</w:t>
            </w:r>
            <w:r>
              <w:rPr>
                <w:rFonts w:ascii="仿宋_GB2312" w:hAnsi="仿宋_GB2312" w:cs="仿宋_GB2312" w:eastAsia="仿宋_GB2312"/>
                <w:sz w:val="18"/>
              </w:rPr>
              <w:t>“十五五”矿产资源总体规划，旨在落实省市发展战略目标，统筹矿产资源勘查、开发利用和保护活动，推动矿业绿色发展，确保资源供给与经济社会发展需求相适应，资源开发利用与生态环境保护相协调，规划管控与管理改革相衔接，促进合理布局，整顿和规范矿产资源开发秩序，实现矿产资源合理利用，满足矿业经济发展对矿产规划的新要求。规划适用范围为汉中市全域。</w:t>
            </w:r>
          </w:p>
          <w:p>
            <w:pPr>
              <w:pStyle w:val="null3"/>
              <w:ind w:firstLine="361"/>
              <w:jc w:val="left"/>
            </w:pPr>
            <w:r>
              <w:rPr>
                <w:rFonts w:ascii="仿宋_GB2312" w:hAnsi="仿宋_GB2312" w:cs="仿宋_GB2312" w:eastAsia="仿宋_GB2312"/>
                <w:sz w:val="18"/>
                <w:b/>
              </w:rPr>
              <w:t>2、主要服务内容</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1）按照自然资源部、陕西省自然资源厅和汉中市自然资源局相关工作部署，评估上一轮市级矿产资源规划实施情况，开展本轮规划编制基础数据整理、调研和汉中市秦岭矿产资源开发专项规划修编及评估、汉中市砂石土矿开发利用等专题研究。</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2）编制规划大纲、编写规划文本、编制规划附表及系列图件，广泛征求意见和组织论证，做好本级规划与上级规划衔接以及与相关规划的对接。</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3）按照矿产资源规划数据库标准和建设指南的要求，在规划编制的同时，同步推进、同步完成市级矿产资源规划数据库建设。</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4）协助市自然资源局开展所辖县（市、区）矿产资源规划的编制指导和审批。</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5）按照自然资源和生态环境部门相关要求，开展市级矿产资源规划环境影响评价工作。</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6）整合汉中市本级、所辖县（市、区）级矿产资源规划成果，建立全市统一的矿产资源规划数据库。</w:t>
            </w:r>
          </w:p>
          <w:p>
            <w:pPr>
              <w:pStyle w:val="null3"/>
              <w:ind w:firstLine="361"/>
              <w:jc w:val="left"/>
            </w:pPr>
            <w:r>
              <w:rPr>
                <w:rFonts w:ascii="仿宋_GB2312" w:hAnsi="仿宋_GB2312" w:cs="仿宋_GB2312" w:eastAsia="仿宋_GB2312"/>
                <w:sz w:val="18"/>
                <w:b/>
              </w:rPr>
              <w:t>3、编制依据和要求</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1）《中华人民共和国矿产资源法》等相关法律法规；</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2）《矿产资源规划编制实施办法》等自然资源部规章；</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3）《自然资源部办公厅关于开展“十四五”矿产资源规划总结评估及“十五五”规划编制工作的通知》（自然资办发〔2025〕19号）；</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4）《陕西省自然资源厅关于全面开展“十四五”矿产资源规划总结及“十五五”规划编制工作的通知》（陕自然资矿保发〔2025〕751号）；</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5）陕西省、汉中市国民经济和社会发展第十五个五年规划纲要；</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6）国家、陕西省、汉中市国土空间总体规划；</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7）上级矿产资源规划；</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8）《自然资源部办公厅关于印发&lt;“十五五”省级矿产资源规划编制技术规程&gt;和&lt;“十五五”市县级矿产资源规划编制指南&gt;的通知》（自然资办函〔2025〕2255号）；</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9）《矿产资源规划数据库建设指南》；</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10）《规划环境影响评价条例》（国务院令第559号）</w:t>
            </w:r>
          </w:p>
          <w:p>
            <w:pPr>
              <w:pStyle w:val="null3"/>
              <w:ind w:firstLine="361"/>
              <w:jc w:val="left"/>
            </w:pPr>
            <w:r>
              <w:rPr>
                <w:rFonts w:ascii="仿宋_GB2312" w:hAnsi="仿宋_GB2312" w:cs="仿宋_GB2312" w:eastAsia="仿宋_GB2312"/>
                <w:sz w:val="18"/>
                <w:b/>
              </w:rPr>
              <w:t>4、服务期限</w:t>
            </w:r>
          </w:p>
          <w:p>
            <w:pPr>
              <w:pStyle w:val="null3"/>
              <w:ind w:firstLine="360"/>
              <w:jc w:val="left"/>
            </w:pPr>
            <w:r>
              <w:rPr>
                <w:rFonts w:ascii="仿宋_GB2312" w:hAnsi="仿宋_GB2312" w:cs="仿宋_GB2312" w:eastAsia="仿宋_GB2312"/>
                <w:sz w:val="18"/>
              </w:rPr>
              <w:t>签订合同之日起至规划通过省自然资源厅的技术审查和成果验收。</w:t>
            </w:r>
          </w:p>
          <w:p>
            <w:pPr>
              <w:pStyle w:val="null3"/>
              <w:ind w:firstLine="361"/>
              <w:jc w:val="left"/>
            </w:pPr>
            <w:r>
              <w:rPr>
                <w:rFonts w:ascii="仿宋_GB2312" w:hAnsi="仿宋_GB2312" w:cs="仿宋_GB2312" w:eastAsia="仿宋_GB2312"/>
                <w:sz w:val="18"/>
                <w:b/>
              </w:rPr>
              <w:t>5、提交成果</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1）规划文本（10套）；</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2）规划附表（10套）；</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3）规划附图（10套）；</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4）规划编制说明（10套）；</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5）专题研究报告：汉中市矿产资源总体规划（2021—2025年）总结评估、汉中市秦岭矿产资源开发专项规划修编及评估、汉中市砂石土矿开发利用研究等3个专题（10套）。</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6）汉中市矿产资源总体规划（2026—2030年）数据库（1套）；</w:t>
            </w:r>
          </w:p>
          <w:p>
            <w:pPr>
              <w:pStyle w:val="null3"/>
              <w:ind w:firstLine="360"/>
              <w:jc w:val="left"/>
            </w:pPr>
            <w:r>
              <w:rPr>
                <w:rFonts w:ascii="仿宋_GB2312" w:hAnsi="仿宋_GB2312" w:cs="仿宋_GB2312" w:eastAsia="仿宋_GB2312"/>
                <w:sz w:val="18"/>
              </w:rPr>
              <w:t>（</w:t>
            </w:r>
            <w:r>
              <w:rPr>
                <w:rFonts w:ascii="仿宋_GB2312" w:hAnsi="仿宋_GB2312" w:cs="仿宋_GB2312" w:eastAsia="仿宋_GB2312"/>
                <w:sz w:val="18"/>
              </w:rPr>
              <w:t>7）汉中市矿产资源总体规划（2026—2030年）环境影响评价报告（10套）；</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签订合同之日起至规划通过省自然资源厅的技术审查和成果验收。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本项目合同价款采用总价合同，该金额为乙方履行本协议所需全部费用，未经甲方书面认可该费用不再调整，合同签订后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完成规划编制的全部任务并通过省自然资源厅技术审查和成果验收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①甲乙双方必须遵守本合同并执行合同中的各项规定，保证本合同的正常履行。②如因乙方工作人员在履行职务过程中的的疏忽、失职、过错等故意或者过失原因给甲方造成损失或侵害，包括但不限于甲方本身的财产损失、由此而导致的甲方对任何第三方的法律责任等，乙方对此均应承担全部的赔偿责任。③未按合同要求进行项目的实施或实施不能满足技术要求，采购人有权终止合同和对成交人违约行为进行追究，同时按政府采购法的有关规定进行相应的处罚。 解决争议的方法：在执行本合同中发生的或与本合同有关的争端，双方应通过友好协商解决，经协商在 7 天内不能达成协议时，则采取向甲方所在地有管辖权的人民法院提起诉讼方式解决争议。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1、甲方权利义务： ①甲方有权对合同规定范围内乙方的服务行为进行监督和检查，拥有监管权。有权定期核对乙方提供服务所配备的人员数量。对甲方认为不合理的部分有权下达整改通知书，并要求乙方限期整改。 ②甲方有权对乙方提供的服务进行定期考评。当考评结果未达到标准时，甲方有权要求乙方做出整改；若乙方整改依旧无法通过考评，则甲方有权要求赔偿。③负责检查监督乙方管理工作的实施及制度的执行情况。 ④根据本合同规定，按时向乙方支付应付服务费用。 ⑤甲方应及时向乙方提供相关资料，协助乙方办理有关事宜。 ⑥对合同条款及所知悉的乙方商业秘密负有保密义务。 ⑦国家法律、法规所规定由甲方承担的其它责任。 2、乙方的权利和义务 ①对本合同规定的委托服务范围内的项目享有管理权及服务义务。 ②根据本合同的规定向甲方收取相关服务费用，并有权在本项目管理范围内管理及合理使用。 ③及时向甲方通告本项目服务范围内有关服务的重大事项，及时配合处理。 ④乙方应保护甲方提供的相关资料。未经甲方同意不得擅自修改、复制或向第三人转让或用于本合同外的项目，如发生以上情况，乙方应负法律责任，甲方有权向乙方提出索赔。 ⑤乙方在中途需更换所指派的项目负责人，应事先征得甲方同意。 ⑥接受项目行业管理部门及政府有关部门的指导，接受甲方的监督。 ⑦乙方确定 同志为责任人，积极履行责任规划职责，落实磋商承诺书内容，在规划有效期内提供与本规划相关的专业技术咨询。 ⑧乙方项目团队人员配置必须与磋商响应文件所报项目组人员一致，并提供驻场人员名单和工作时间表，在编制期内应提供驻场周期。⑨乙方按合同要求交付规划编制成果后，参加有关规划编制成果的审查活动，并根据审查结论负责调整补充。合同履行过程中，若根据实际需要工作内容出现变化。 ⑩乙方对其提交的规划编制成果质量终身负责，并负责对规划编制成果出现的遗漏或错误进行修改、补充。 ⑪国家法律、法规所规定由乙方承担的其它责任。 3、本项目所属行业是其他未列明行业，投标人填写中小企业声明函的所属行业须填写其他未列明行业，根据工信部联企业 [2011]300号文件其他未列明行业的性质判定标准为：从业人员300人以下的为中小微型企业。其中，从业人员100人及以 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 xml:space="preserve"> 本项目为专门面向中小企业项目，供应商应为中型企业、小型企业、微型企业或监狱企业或残疾人福利性单位。供应商为中型企业、小型企业、微型企业的，提供《中小企业声明函》，且中小企业的划分标准所属行业为其他未列明行业；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法定代表人（负责人）授权委托书身份证明</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投标人代表应提供法定代表人（单位负责人）授权书（附法定代表人（单位负责人）及被授权人身份证复印件），法定代表人（单位负责人）直接参加只须提供法定代表人（单位负责人）身份证明；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具有良好的商业信营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财办采管〔2024〕20号)文件要求，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磋商响应文件构成没有重大缺项，按照磋商文件要求的格式编写磋商响应文件。</w:t>
            </w:r>
          </w:p>
        </w:tc>
        <w:tc>
          <w:tcPr>
            <w:tcW w:type="dxa" w:w="1661"/>
          </w:tcPr>
          <w:p>
            <w:pPr>
              <w:pStyle w:val="null3"/>
            </w:pPr>
            <w:r>
              <w:rPr>
                <w:rFonts w:ascii="仿宋_GB2312" w:hAnsi="仿宋_GB2312" w:cs="仿宋_GB2312" w:eastAsia="仿宋_GB2312"/>
              </w:rPr>
              <w:t>响应文件封面 报价一览表及分项报价表.docx 中小企业声明函 保证金交纳凭证.docx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磋商响应文件的签署、加盖印章是否合格、有效；提供的各种证明文件、数据、资料是否真实、有效。磋商有效期是否满足磋商文件规定，授权期限是否满足磋商文件中规定的有效期。</w:t>
            </w:r>
          </w:p>
        </w:tc>
        <w:tc>
          <w:tcPr>
            <w:tcW w:type="dxa" w:w="1661"/>
          </w:tcPr>
          <w:p>
            <w:pPr>
              <w:pStyle w:val="null3"/>
            </w:pPr>
            <w:r>
              <w:rPr>
                <w:rFonts w:ascii="仿宋_GB2312" w:hAnsi="仿宋_GB2312" w:cs="仿宋_GB2312" w:eastAsia="仿宋_GB2312"/>
              </w:rPr>
              <w:t>响应函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磋商响应文件方案是否有重大缺漏项；磋商响应文件提供的服务方案是否有重大偏离；磋商响应文件商务条款是否有重大偏离；对合同中规定的双方的权利和义务是否做出了实质性修改。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磋商报价是否超过项目采购预算</w:t>
            </w:r>
          </w:p>
        </w:tc>
        <w:tc>
          <w:tcPr>
            <w:tcW w:type="dxa" w:w="1661"/>
          </w:tcPr>
          <w:p>
            <w:pPr>
              <w:pStyle w:val="null3"/>
            </w:pPr>
            <w:r>
              <w:rPr>
                <w:rFonts w:ascii="仿宋_GB2312" w:hAnsi="仿宋_GB2312" w:cs="仿宋_GB2312" w:eastAsia="仿宋_GB2312"/>
              </w:rPr>
              <w:t>报价一览表及分项报价表.docx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保证金交纳凭证</w:t>
            </w:r>
          </w:p>
        </w:tc>
        <w:tc>
          <w:tcPr>
            <w:tcW w:type="dxa" w:w="3322"/>
          </w:tcPr>
          <w:p>
            <w:pPr>
              <w:pStyle w:val="null3"/>
            </w:pPr>
            <w:r>
              <w:rPr>
                <w:rFonts w:ascii="仿宋_GB2312" w:hAnsi="仿宋_GB2312" w:cs="仿宋_GB2312" w:eastAsia="仿宋_GB2312"/>
              </w:rPr>
              <w:t>是否按照磋商文件的规定提交了磋商保证金或担保机构出具的保函。</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采购文件其他章节中对无效投标的规定。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供应商针对本项目提供完整的项目实施方案，内容包含：①对本项目的建设背景、目标和内容理解分析，能充分体现项目需求；②内控管理制度；③实施进度计划；④应急保障措施；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①对本项目的建设背景、建设目标和内容理解分析，能充分体现项目功能需求；每完全满足一个评审标准得分1分，满分3分； ②内控管理制度；每完全满足一个评审标准得分1分，满分3分； ③实施进度计划；每完全满足一个评审标准得分1分，满分3分； ④应急保障措施；每完全满足一个评审标准得分1分，满分3分；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技术目标及内容</w:t>
            </w:r>
          </w:p>
        </w:tc>
        <w:tc>
          <w:tcPr>
            <w:tcW w:type="dxa" w:w="2492"/>
          </w:tcPr>
          <w:p>
            <w:pPr>
              <w:pStyle w:val="null3"/>
            </w:pPr>
            <w:r>
              <w:rPr>
                <w:rFonts w:ascii="仿宋_GB2312" w:hAnsi="仿宋_GB2312" w:cs="仿宋_GB2312" w:eastAsia="仿宋_GB2312"/>
              </w:rPr>
              <w:t>1、评审内容 本项目实施过程中技术目标及内容包括①规划实施评估专题研究，确保规划实施评估专题研究数据完整，问题分析深入，经验总结到位；②战略性矿产找矿增储专题研究，结合汉中市地质构造特征确保找矿靶区精准、增储潜力估算合理、找矿技术方案可行；③重点区域矿产勘查开发与布局优化专题研究，确保区域划分科学、勘查开发布局合理，产业联动规划完整；④规划管控政策专题研究，针对汉中市矿产资源开发利用中的突出问题（如乱采滥挖、生态修复滞后等），制定针对性（如政策与问题匹配）、可行性（政策内容符合国家法律法规及陕西省相关要求，且考虑汉中市经济社会发展实际，政策落地实施条件成熟）、政策保障措施（如资金保障、监管机制、考核评价机制等），保障措施覆盖政策实施全流程；⑤矿业绿色高质量发展专题研究，如绿色矿山建设规划、资源循环利用方案、生态修复规划；⑥规划环评专题研究，如环评范围全面性、环境影响预测准确性、环境影响预测准确性；⑦数据库建设重点工作，数据录入完整、数据更新及时、数据库易用。 2、评审标准 ①完整性：方案须全面，对评审内容中的各项要求有详细描述及说明； ②可实施性：切合本项目实际情况，实施步骤清晰、科学、合理； ③针对性：方案能够紧扣项目实际情况，内容全面、科学合理、详细具体。 3、赋分标准 ①规划实施评估专题研究，确保规划实施评估专题研究数据完整，问题分析深入，经验总结到位；每完全满足一个评审标准得分1.5分，满分4.5分； ②战略性矿产找矿增储专题研究，结合汉中市地质构造特征确保找矿靶区精准、增储潜力估算合理、找矿技术方案可行；每完全满足一个评审标准得分2分，满分6分； ③重点区域矿产勘查开发与布局优化专题研究，确保区域划分科学、勘查开发布局合理，产业联动规划完整；每完全满足一个评审标准得分1.5分，满分4.5分； ④规划管控政策专题研究，针对汉中市矿产资源开发利用中的突出问题（如乱采滥挖、生态修复滞后等），制定针对性（如政策与问题匹配）、可行性（政策内容符合国家法律法规及陕西省相关要求，且考虑汉中市经济社会发展实际，政策落地实施条件成熟）、政策保障措施（如资金保障、监管机制、考核评价机制等），保障措施覆盖政策实施全流程；每完全满足一个评审标准得分1.5分，满分4.5分； ⑤矿业绿色高质量发展专题研究，如绿色矿山建设规划、资源循环利用方案、生态修复规划；每完全满足一个评审标准得分1.5分，满分4.5分； ⑥规划环评专题研究，如环评范围全面性、环境影响预测准确性、环境影响预测准确性；每完全满足一个评审标准得分1.5分，满分4.5分； ⑦数据库建设重点工作，数据录入完整、数据更新及时、数据库易用。每完全满足一个评审标准得分1.5分，满分4.5分；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1、评审内容 根据项目实际情况全面分析本项目技术难点，并对其技术难点给出科学合理的解决方案； 2、评审标准 ①完整性：方案须全面，对评审内容中的各项要求有详细描述及说明； ②可实施性：切合本项目实际情况，实施步骤清晰、科学、合理； ③针对性：方案能够紧扣项目实际情况，内容全面、科学合理、详细具体。 3、赋分标准 根据项目实际情况全面分析本项目技术难点，并对其技术难点给出科学合理的解决方案；，每完全满足一个评审标准得分2分，满分6分；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1、评审内容 根据项目实际需求，提供质量保证方案。内容包含①质量保证目标及任务；②质量保证方法及措施；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①质量保证目标及任务：每完全满足一个评审标准得1.0分，满分3.0分； ②质量保证方法及措施：每完全满足一个评审标准得1.0分，满分3.0分；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供应商根据本项目的服务内容，做出切实可行的服务承诺，确保项目能按时按质完成，达到服务要求且能保证项目质量。 2、评审标准 ①完整性：承诺内容清晰、承诺指标明确，后续服务具有可延续性。 ②可实施性：切合本项目实际情况，实施步骤清晰、科学、合理； ③针对性：方案能够紧扣项目实际情况，内容全面、科学合理、详细具体。 3、赋分标准 供应商根据本项目的服务内容，做出切实可行的服务承诺，确保项目能按时按质完成，达到服务要求且能保证项目质量。每完全满足一个评审标准得1.5 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1、评审内容 供应商根据本项目服务内容制定科学、合理的保密措施； 2、评审标准 ①完整性：有完善的保密机制或具备保密能力，保密措施完善、承诺满足项目需求。 ②可实施性：切合本项目实际情况，实施步骤清晰、科学、合理； ③针对性：承诺参与本次项目的所有实施人员必须与采购人签订保密协议，确保信息数据不外泄。 3、赋分标准 供应商根据本项目服务内容制定的保密措施；每完全满足一个评审标准得1.5 分，满分4.5分；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项目负责人具有地质矿产或规划类高级及以上职称得2分；项目负责人近5年内（2020年1月1日至投标截止时间前）从事过矿产资源规划或其他规划编制相关工作业绩，业绩有一项得1分，最高不超过3分； （注：项目负责人需提供相应证书复印件或扫描件，项目负责人业绩证明材料不限于中标通知书、业绩合同、成果文件等须体现项目负责人姓名，项目负责人在本单位的社保缴纳证明，证明材料需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（1）人员基本要求（5分）：开展矿产资源规划实施评估的相关专业技术人员不少于5名（不包括项目负责人），满足基本要求得5分，每少1人扣1分扣完为止，本项不得负分。 （注：磋商响应文件中需提供以上人员相应证书复印件或扫描件及相关人员在本单位的社保缴纳证明，退休人员提供合同证明文件，专业类别应涵盖地质、测绘、规划、环境等专业，证明材料需加盖供应商公章。） （2）项目实施团队（4分），技术人员中（5人基础上，不包括项目负责人）每增加1名初级以上职称的技术人员加1分，本项满分4分。 （注：磋商响应文件中需提供以上人员相应证书复印件或扫描件及相关人员在本单位的社保缴纳证明，退休人员提供合同证明文件，专业类别应涵盖地质、测绘、规划、环境等专业，证明材料需加盖供应商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供应商提供近5年（2020年1月1日至投标截止时间前）完成矿产资源规划、国土空间规划、村庄规划、自然资源规划编制或专题研究，绿色矿山评估、压覆重要矿产资源评估、自然资源遥感调查监测等相关工作业绩，每有一项得2分，最高不超过10分； （注：业绩证明材料不限于中标通知书、业绩合同、成果文件等，单位业绩与项目负责人业绩不可重复计算。）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价格分采用低价优先法计算，即满足采购文件要求且最后报价最低的供应商的价格为评标基准价，其价格分为满分。其他供应商的价格分统一按照下列公式计算： 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