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版本号：HRC-ZBDL-2025-0169720251130001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历史建筑测绘建档</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HRC-ZBDL-2025-01697</w:t>
      </w:r>
      <w:r>
        <w:br/>
      </w:r>
      <w:r>
        <w:br/>
      </w:r>
      <w:r>
        <w:br/>
      </w:r>
    </w:p>
    <w:p>
      <w:pPr>
        <w:pStyle w:val="null3"/>
        <w:jc w:val="center"/>
        <w:outlineLvl w:val="2"/>
      </w:pPr>
      <w:r>
        <w:rPr>
          <w:rFonts w:ascii="仿宋_GB2312" w:hAnsi="仿宋_GB2312" w:cs="仿宋_GB2312" w:eastAsia="仿宋_GB2312"/>
          <w:sz w:val="28"/>
          <w:b/>
        </w:rPr>
        <w:t>汉中市历史文化名城保护委员会办公室（汉中市建设工程服务和质量监督中心）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汉中市历史文化名城保护委员会办公室（汉中市建设工程服务和质量监督中心）</w:t>
      </w:r>
      <w:r>
        <w:rPr>
          <w:rFonts w:ascii="仿宋_GB2312" w:hAnsi="仿宋_GB2312" w:cs="仿宋_GB2312" w:eastAsia="仿宋_GB2312"/>
        </w:rPr>
        <w:t>委托，拟对</w:t>
      </w:r>
      <w:r>
        <w:rPr>
          <w:rFonts w:ascii="仿宋_GB2312" w:hAnsi="仿宋_GB2312" w:cs="仿宋_GB2312" w:eastAsia="仿宋_GB2312"/>
        </w:rPr>
        <w:t>历史建筑测绘建档</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HRC-ZBDL-2025-01697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历史建筑测绘建档</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中心城区剩余12处历史建筑进行测绘建档。(1)测绘成果:包括总平面现状测绘图、平面现状测绘图、立面现状测绘图、剖面现状测绘图、典型构件大样图及三维;(2)历史建筑档案:每一处历史建筑要单独建立档案，主要内容包括基础信息、核心保护信息、现状信息、使用信息、测绘图纸和影像档案。符合《陕西省历史建筑测绘建档三年行动方案(2019-2021)》及《历史建筑数字化技术标准》要求，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1、具有独立承担民事责任的能力：具有独立承担民事责任能力的法人、其他组织或自然人，营业执照、组织机构代码 证、税务登记证（三证合一只提供营业执照，事业单位提供事业单位法人证书，自然人应提供身份证）合法有效；</w:t>
      </w:r>
    </w:p>
    <w:p>
      <w:pPr>
        <w:pStyle w:val="null3"/>
      </w:pPr>
      <w:r>
        <w:rPr>
          <w:rFonts w:ascii="仿宋_GB2312" w:hAnsi="仿宋_GB2312" w:cs="仿宋_GB2312" w:eastAsia="仿宋_GB2312"/>
        </w:rPr>
        <w:t>2、法定代表人或授权委托人：法定代表人参加磋商时，提供本人身份证；授权代表参加磋商时，提供法定代表人授权书和被授权人身份证；非法人单位参照执行；</w:t>
      </w:r>
    </w:p>
    <w:p>
      <w:pPr>
        <w:pStyle w:val="null3"/>
      </w:pPr>
      <w:r>
        <w:rPr>
          <w:rFonts w:ascii="仿宋_GB2312" w:hAnsi="仿宋_GB2312" w:cs="仿宋_GB2312" w:eastAsia="仿宋_GB2312"/>
        </w:rPr>
        <w:t>3、资质证书：须具有国家行政主管部门颁发的测绘乙级或以上资质。</w:t>
      </w:r>
    </w:p>
    <w:p>
      <w:pPr>
        <w:pStyle w:val="null3"/>
      </w:pPr>
      <w:r>
        <w:rPr>
          <w:rFonts w:ascii="仿宋_GB2312" w:hAnsi="仿宋_GB2312" w:cs="仿宋_GB2312" w:eastAsia="仿宋_GB2312"/>
        </w:rPr>
        <w:t>4、供应商资格承诺函：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须提供《汉中市政府采购供应商资格承诺函》；</w:t>
      </w:r>
    </w:p>
    <w:p>
      <w:pPr>
        <w:pStyle w:val="null3"/>
      </w:pPr>
      <w:r>
        <w:rPr>
          <w:rFonts w:ascii="仿宋_GB2312" w:hAnsi="仿宋_GB2312" w:cs="仿宋_GB2312" w:eastAsia="仿宋_GB2312"/>
        </w:rPr>
        <w:t>5、本项目不接受联合体磋商，不允许分包：供应商应提供《非联合体磋商声明》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汉中市历史文化名城保护委员会办公室（汉中市建设工程服务和质量监督中心）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汉中市汉台区将坛路301号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0916-2519698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19721965381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代理服务费收费标准：招标代理服务费收取参照国家计委颁布的《招标代理服务收费管理暂行办法》（计价格[2002]1980号）和（发改办价格[2003]857号）收费标准计取。若代理服务费计算后不足6000元按6000元计取。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汉中市历史文化名城保护委员会办公室（汉中市建设工程服务和质量监督中心）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汉中市历史文化名城保护委员会办公室（汉中市建设工程服务和质量监督中心）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汉中市历史文化名城保护委员会办公室（汉中市建设工程服务和质量监督中心）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符合《陕西省历史建筑测绘建档三年行动方案(2019-2021)》及《历史建筑数字化技术标准》要求，符合国家、省、市、行业标准及采购人要求。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联系人：张磊</w:t>
      </w:r>
    </w:p>
    <w:p>
      <w:pPr>
        <w:pStyle w:val="null3"/>
      </w:pPr>
      <w:r>
        <w:rPr>
          <w:rFonts w:ascii="仿宋_GB2312" w:hAnsi="仿宋_GB2312" w:cs="仿宋_GB2312" w:eastAsia="仿宋_GB2312"/>
        </w:rPr>
        <w:t>联系电话：19721965381</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中心城区剩余12处历史建筑进行测绘建档。(1)测绘成果:包括总平面现状测绘图、平面现状测绘图、立面现状测绘图、剖面现状测绘图、典型构件大样图及三维;(2)历史建筑档案:每一处历史建筑要单独建立档案，主要内容包括基础信息、核心保护信息、现状信息、使用信息、测绘图纸和影像档案。符合《陕西省历史建筑测绘建档三年行动方案(2019-2021)》及《历史建筑数字化技术标准》要求，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对中心城区剩余12处历史建筑进行测绘建档</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对中心城区剩余12处历史建筑进行测绘建档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一、采购内容</w:t>
            </w:r>
          </w:p>
          <w:p>
            <w:pPr>
              <w:pStyle w:val="null3"/>
              <w:jc w:val="both"/>
            </w:pPr>
            <w:r>
              <w:rPr>
                <w:rFonts w:ascii="仿宋_GB2312" w:hAnsi="仿宋_GB2312" w:cs="仿宋_GB2312" w:eastAsia="仿宋_GB2312"/>
                <w:sz w:val="20"/>
              </w:rPr>
              <w:t>对中心城区剩余</w:t>
            </w:r>
            <w:r>
              <w:rPr>
                <w:rFonts w:ascii="仿宋_GB2312" w:hAnsi="仿宋_GB2312" w:cs="仿宋_GB2312" w:eastAsia="仿宋_GB2312"/>
                <w:sz w:val="20"/>
              </w:rPr>
              <w:t>12处历史建筑进行测绘建档。(1)测绘成果:包括总平面现状测绘图、平面现状测绘图、立面现状测绘图、剖面现状测绘图、典型构件大样图及三维;(2)历史建筑档案:每一处历史建筑要单独建立档案，主要内容包括基础信息、核心保护信息、现状信息、使用信息、测绘图纸和影像档案。符合《陕西省历史建筑测绘建档三年行动方案(2019-2021)》及《历史建筑数字化技术标准》要求。</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、服务期</w:t>
            </w:r>
          </w:p>
          <w:p>
            <w:pPr>
              <w:pStyle w:val="null3"/>
            </w:pPr>
            <w:r>
              <w:rPr>
                <w:rFonts w:ascii="仿宋_GB2312" w:hAnsi="仿宋_GB2312" w:cs="仿宋_GB2312" w:eastAsia="仿宋_GB2312"/>
              </w:rPr>
              <w:t>自合同签订之日起至</w:t>
            </w:r>
            <w:r>
              <w:rPr>
                <w:rFonts w:ascii="仿宋_GB2312" w:hAnsi="仿宋_GB2312" w:cs="仿宋_GB2312" w:eastAsia="仿宋_GB2312"/>
                <w:b/>
              </w:rPr>
              <w:t>2026 年</w:t>
            </w:r>
            <w:r>
              <w:rPr>
                <w:rFonts w:ascii="仿宋_GB2312" w:hAnsi="仿宋_GB2312" w:cs="仿宋_GB2312" w:eastAsia="仿宋_GB2312"/>
                <w:b/>
              </w:rPr>
              <w:t>6</w:t>
            </w:r>
            <w:r>
              <w:rPr>
                <w:rFonts w:ascii="仿宋_GB2312" w:hAnsi="仿宋_GB2312" w:cs="仿宋_GB2312" w:eastAsia="仿宋_GB2312"/>
                <w:b/>
              </w:rPr>
              <w:t>月</w:t>
            </w:r>
            <w:r>
              <w:rPr>
                <w:rFonts w:ascii="仿宋_GB2312" w:hAnsi="仿宋_GB2312" w:cs="仿宋_GB2312" w:eastAsia="仿宋_GB2312"/>
                <w:b/>
              </w:rPr>
              <w:t>30</w:t>
            </w:r>
            <w:r>
              <w:rPr>
                <w:rFonts w:ascii="仿宋_GB2312" w:hAnsi="仿宋_GB2312" w:cs="仿宋_GB2312" w:eastAsia="仿宋_GB2312"/>
                <w:b/>
              </w:rPr>
              <w:t>日止</w:t>
            </w:r>
            <w:r>
              <w:rPr>
                <w:rFonts w:ascii="仿宋_GB2312" w:hAnsi="仿宋_GB2312" w:cs="仿宋_GB2312" w:eastAsia="仿宋_GB2312"/>
              </w:rPr>
              <w:t>，完成项目所有内容，提交最终成果，并达到验收标准，因报审程序项目截止日期顺延。</w:t>
            </w:r>
          </w:p>
          <w:p>
            <w:pPr>
              <w:pStyle w:val="null3"/>
              <w:jc w:val="both"/>
            </w:pPr>
            <w:r>
              <w:rPr>
                <w:rFonts w:ascii="仿宋_GB2312" w:hAnsi="仿宋_GB2312" w:cs="仿宋_GB2312" w:eastAsia="仿宋_GB2312"/>
                <w:sz w:val="20"/>
                <w:b/>
              </w:rPr>
              <w:t>三</w:t>
            </w:r>
            <w:r>
              <w:rPr>
                <w:rFonts w:ascii="仿宋_GB2312" w:hAnsi="仿宋_GB2312" w:cs="仿宋_GB2312" w:eastAsia="仿宋_GB2312"/>
                <w:sz w:val="20"/>
                <w:b/>
              </w:rPr>
              <w:t>、服务方式</w:t>
            </w:r>
          </w:p>
          <w:p>
            <w:pPr>
              <w:pStyle w:val="null3"/>
              <w:jc w:val="both"/>
            </w:pPr>
            <w:r>
              <w:rPr>
                <w:rFonts w:ascii="仿宋_GB2312" w:hAnsi="仿宋_GB2312" w:cs="仿宋_GB2312" w:eastAsia="仿宋_GB2312"/>
                <w:sz w:val="20"/>
              </w:rPr>
              <w:t>驻场服务。服务地</w:t>
            </w:r>
            <w:r>
              <w:rPr>
                <w:rFonts w:ascii="仿宋_GB2312" w:hAnsi="仿宋_GB2312" w:cs="仿宋_GB2312" w:eastAsia="仿宋_GB2312"/>
                <w:sz w:val="20"/>
              </w:rPr>
              <w:t>点</w:t>
            </w:r>
            <w:r>
              <w:rPr>
                <w:rFonts w:ascii="仿宋_GB2312" w:hAnsi="仿宋_GB2312" w:cs="仿宋_GB2312" w:eastAsia="仿宋_GB2312"/>
                <w:sz w:val="20"/>
              </w:rPr>
              <w:t>：</w:t>
            </w:r>
            <w:r>
              <w:rPr>
                <w:rFonts w:ascii="仿宋_GB2312" w:hAnsi="仿宋_GB2312" w:cs="仿宋_GB2312" w:eastAsia="仿宋_GB2312"/>
                <w:sz w:val="20"/>
              </w:rPr>
              <w:t>采购人指定地点</w:t>
            </w:r>
            <w:r>
              <w:rPr>
                <w:rFonts w:ascii="仿宋_GB2312" w:hAnsi="仿宋_GB2312" w:cs="仿宋_GB2312" w:eastAsia="仿宋_GB2312"/>
                <w:sz w:val="20"/>
              </w:rPr>
              <w:t>。</w:t>
            </w:r>
          </w:p>
          <w:p>
            <w:pPr>
              <w:pStyle w:val="null3"/>
              <w:numPr>
                <w:ilvl w:val="0"/>
                <w:numId w:val="1"/>
              </w:numPr>
              <w:jc w:val="both"/>
            </w:pPr>
            <w:r>
              <w:rPr>
                <w:rFonts w:ascii="仿宋_GB2312" w:hAnsi="仿宋_GB2312" w:cs="仿宋_GB2312" w:eastAsia="仿宋_GB2312"/>
                <w:sz w:val="20"/>
                <w:b/>
              </w:rPr>
              <w:t>质量要求</w:t>
            </w:r>
          </w:p>
          <w:p>
            <w:pPr>
              <w:pStyle w:val="null3"/>
              <w:jc w:val="both"/>
            </w:pPr>
            <w:r>
              <w:rPr>
                <w:rFonts w:ascii="仿宋_GB2312" w:hAnsi="仿宋_GB2312" w:cs="仿宋_GB2312" w:eastAsia="仿宋_GB2312"/>
                <w:sz w:val="20"/>
              </w:rPr>
              <w:t>符合国家有关规范和相关政策</w:t>
            </w:r>
            <w:r>
              <w:rPr>
                <w:rFonts w:ascii="仿宋_GB2312" w:hAnsi="仿宋_GB2312" w:cs="仿宋_GB2312" w:eastAsia="仿宋_GB2312"/>
                <w:sz w:val="20"/>
                <w:b/>
              </w:rPr>
              <w:t>。</w:t>
            </w:r>
          </w:p>
          <w:p>
            <w:pPr>
              <w:pStyle w:val="null3"/>
              <w:numPr>
                <w:ilvl w:val="0"/>
                <w:numId w:val="1"/>
              </w:numPr>
              <w:jc w:val="both"/>
            </w:pPr>
            <w:r>
              <w:rPr>
                <w:rFonts w:ascii="仿宋_GB2312" w:hAnsi="仿宋_GB2312" w:cs="仿宋_GB2312" w:eastAsia="仿宋_GB2312"/>
                <w:sz w:val="20"/>
                <w:b/>
              </w:rPr>
              <w:t>总体要求</w:t>
            </w:r>
          </w:p>
          <w:p>
            <w:pPr>
              <w:pStyle w:val="null3"/>
              <w:jc w:val="both"/>
            </w:pPr>
            <w:r>
              <w:rPr>
                <w:rFonts w:ascii="仿宋_GB2312" w:hAnsi="仿宋_GB2312" w:cs="仿宋_GB2312" w:eastAsia="仿宋_GB2312"/>
                <w:sz w:val="20"/>
              </w:rPr>
              <w:t>1、全面准确地反映历史建筑的现状情况。测绘内容主要包括总平面、平面、立面、剖面、典型构件等。</w:t>
            </w:r>
          </w:p>
          <w:p>
            <w:pPr>
              <w:pStyle w:val="null3"/>
              <w:jc w:val="both"/>
            </w:pPr>
            <w:r>
              <w:rPr>
                <w:rFonts w:ascii="仿宋_GB2312" w:hAnsi="仿宋_GB2312" w:cs="仿宋_GB2312" w:eastAsia="仿宋_GB2312"/>
                <w:sz w:val="20"/>
              </w:rPr>
              <w:t>2、遵循“从整体到局部，先控制后细部”的测量原则。宜通过目测步量，把握测量对象的整体比例和各部分、构件的相互比例和对位关系，</w:t>
            </w:r>
          </w:p>
          <w:p>
            <w:pPr>
              <w:pStyle w:val="null3"/>
              <w:jc w:val="both"/>
            </w:pPr>
            <w:r>
              <w:rPr>
                <w:rFonts w:ascii="仿宋_GB2312" w:hAnsi="仿宋_GB2312" w:cs="仿宋_GB2312" w:eastAsia="仿宋_GB2312"/>
                <w:sz w:val="20"/>
              </w:rPr>
              <w:t>3、对建筑方正、对称、平整情况进行测量并验证。</w:t>
            </w:r>
          </w:p>
          <w:p>
            <w:pPr>
              <w:pStyle w:val="null3"/>
              <w:jc w:val="both"/>
            </w:pPr>
            <w:r>
              <w:rPr>
                <w:rFonts w:ascii="仿宋_GB2312" w:hAnsi="仿宋_GB2312" w:cs="仿宋_GB2312" w:eastAsia="仿宋_GB2312"/>
                <w:sz w:val="20"/>
              </w:rPr>
              <w:t>4、确保测绘数据的真实性、准确表达建筑的比例、结构和做法。</w:t>
            </w:r>
          </w:p>
          <w:p>
            <w:pPr>
              <w:pStyle w:val="null3"/>
              <w:jc w:val="both"/>
            </w:pPr>
            <w:r>
              <w:rPr>
                <w:rFonts w:ascii="仿宋_GB2312" w:hAnsi="仿宋_GB2312" w:cs="仿宋_GB2312" w:eastAsia="仿宋_GB2312"/>
                <w:sz w:val="20"/>
              </w:rPr>
              <w:t>5、可用间接方法推算部分数据。</w:t>
            </w:r>
          </w:p>
          <w:p>
            <w:pPr>
              <w:pStyle w:val="null3"/>
              <w:jc w:val="both"/>
            </w:pPr>
            <w:r>
              <w:rPr>
                <w:rFonts w:ascii="仿宋_GB2312" w:hAnsi="仿宋_GB2312" w:cs="仿宋_GB2312" w:eastAsia="仿宋_GB2312"/>
                <w:sz w:val="20"/>
              </w:rPr>
              <w:t>6、由于居民尚未完全搬迁等特殊情况而暂时无法测绘的历史建筑，应先完成建筑立面、周边环境等公共部分测绘并于房屋完全腾空后进行补测。</w:t>
            </w:r>
          </w:p>
          <w:p>
            <w:pPr>
              <w:pStyle w:val="null3"/>
              <w:jc w:val="both"/>
            </w:pPr>
            <w:r>
              <w:rPr>
                <w:rFonts w:ascii="仿宋_GB2312" w:hAnsi="仿宋_GB2312" w:cs="仿宋_GB2312" w:eastAsia="仿宋_GB2312"/>
                <w:sz w:val="20"/>
              </w:rPr>
              <w:t>7、总平面图、平面图、立面图、剖面图、典型构件测绘工作开展流程包含利用测距仪、测量绘图工具、无人机等全面测量数据、勾画测绘草图、复测校核数据、整理测稿、计算机制图建档等步骤。</w:t>
            </w:r>
          </w:p>
          <w:p>
            <w:pPr>
              <w:pStyle w:val="null3"/>
              <w:jc w:val="both"/>
            </w:pPr>
            <w:r>
              <w:rPr>
                <w:rFonts w:ascii="仿宋_GB2312" w:hAnsi="仿宋_GB2312" w:cs="仿宋_GB2312" w:eastAsia="仿宋_GB2312"/>
                <w:sz w:val="20"/>
              </w:rPr>
              <w:t>(二)测绘图的电子文件要求:</w:t>
            </w:r>
          </w:p>
          <w:p>
            <w:pPr>
              <w:pStyle w:val="null3"/>
              <w:jc w:val="both"/>
            </w:pPr>
            <w:r>
              <w:rPr>
                <w:rFonts w:ascii="仿宋_GB2312" w:hAnsi="仿宋_GB2312" w:cs="仿宋_GB2312" w:eastAsia="仿宋_GB2312"/>
                <w:sz w:val="20"/>
              </w:rPr>
              <w:t>1、每处历史建筑的所有测绘图应保存为一个单独的电子文件。文件命名格式应为“历史建筑编号 历史建筑名称 绘图完成年月日”;历史建筑编号和名称应与政府公布的历史建筑名录保持一致，图纸应按“目录、总平面、平面、立面、剖面和详图”的顺序编制。</w:t>
            </w:r>
          </w:p>
          <w:p>
            <w:pPr>
              <w:pStyle w:val="null3"/>
              <w:jc w:val="both"/>
            </w:pPr>
            <w:r>
              <w:rPr>
                <w:rFonts w:ascii="仿宋_GB2312" w:hAnsi="仿宋_GB2312" w:cs="仿宋_GB2312" w:eastAsia="仿宋_GB2312"/>
                <w:sz w:val="20"/>
              </w:rPr>
              <w:t>2、图纸的图名命名格式应为“历史建筑编号 历史建筑名称 图纸内容”，历史建筑编号和名称应与政府公布的历史建筑名录保持一致。</w:t>
            </w:r>
          </w:p>
          <w:p>
            <w:pPr>
              <w:pStyle w:val="null3"/>
              <w:jc w:val="both"/>
            </w:pPr>
            <w:r>
              <w:rPr>
                <w:rFonts w:ascii="仿宋_GB2312" w:hAnsi="仿宋_GB2312" w:cs="仿宋_GB2312" w:eastAsia="仿宋_GB2312"/>
                <w:sz w:val="20"/>
              </w:rPr>
              <w:t>3、图纸编号应满足下列编制要求:图纸目录编号为“测绘00-00”;平面从“测绘 01-01”依次编号;立面从“测绘02-01”依次编号;剖面从“测绘 03-01”依次编号;详图从“测绘 04-01”依次编号;平面图应按总平面、各层平面、屋顶平面和仰视平面的顺序依次排列。</w:t>
            </w:r>
          </w:p>
          <w:p>
            <w:pPr>
              <w:pStyle w:val="null3"/>
              <w:jc w:val="both"/>
            </w:pPr>
            <w:r>
              <w:rPr>
                <w:rFonts w:ascii="仿宋_GB2312" w:hAnsi="仿宋_GB2312" w:cs="仿宋_GB2312" w:eastAsia="仿宋_GB2312"/>
                <w:sz w:val="20"/>
              </w:rPr>
              <w:t>4、图签应包含测绘单位、项目名称、项目负责、测量人员、绘图人员、校对、审核、审定、图名、日期、图号、版本号和相关文字说明。</w:t>
            </w:r>
          </w:p>
          <w:p>
            <w:pPr>
              <w:pStyle w:val="null3"/>
              <w:jc w:val="both"/>
            </w:pPr>
            <w:r>
              <w:rPr>
                <w:rFonts w:ascii="仿宋_GB2312" w:hAnsi="仿宋_GB2312" w:cs="仿宋_GB2312" w:eastAsia="仿宋_GB2312"/>
                <w:sz w:val="20"/>
              </w:rPr>
              <w:t>5、测绘图比例应满足以下要求：</w:t>
            </w:r>
          </w:p>
          <w:tbl>
            <w:tblPr>
              <w:tblInd w:type="dxa" w:w="240"/>
              <w:tblBorders>
                <w:top w:val="none" w:color="000000" w:sz="4"/>
                <w:left w:val="none" w:color="000000" w:sz="4"/>
                <w:bottom w:val="none" w:color="000000" w:sz="4"/>
                <w:right w:val="none" w:color="000000" w:sz="4"/>
                <w:insideH w:val="none"/>
                <w:insideV w:val="none"/>
              </w:tblBorders>
            </w:tblPr>
            <w:tblGrid>
              <w:gridCol w:w="491"/>
              <w:gridCol w:w="589"/>
              <w:gridCol w:w="1473"/>
            </w:tblGrid>
            <w:tr>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0"/>
                    </w:rPr>
                    <w:t>图纸分类</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图纸类型</w:t>
                  </w:r>
                </w:p>
              </w:tc>
              <w:tc>
                <w:tcPr>
                  <w:tcW w:type="dxa" w:w="1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绘图比例要求</w:t>
                  </w:r>
                </w:p>
              </w:tc>
            </w:tr>
            <w:tr>
              <w:tc>
                <w:tcPr>
                  <w:tcW w:type="dxa" w:w="4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0"/>
                    </w:rPr>
                    <w:t>全面测绘</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总平面图</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1:200或1:250</w:t>
                  </w:r>
                </w:p>
              </w:tc>
            </w:tr>
            <w:tr>
              <w:tc>
                <w:tcPr>
                  <w:tcW w:type="dxa" w:w="491"/>
                  <w:vMerge/>
                  <w:tcBorders>
                    <w:top w:val="none" w:color="000000" w:sz="4"/>
                    <w:left w:val="singl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平、立、剖面图</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1:100或1:150</w:t>
                  </w:r>
                </w:p>
              </w:tc>
            </w:tr>
            <w:tr>
              <w:tc>
                <w:tcPr>
                  <w:tcW w:type="dxa" w:w="491"/>
                  <w:vMerge/>
                  <w:tcBorders>
                    <w:top w:val="none" w:color="000000" w:sz="4"/>
                    <w:left w:val="singl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详图</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1:1、1:5、1:10、1:15、1:20、1:25、1:30</w:t>
                  </w:r>
                </w:p>
              </w:tc>
            </w:tr>
            <w:tr>
              <w:tc>
                <w:tcPr>
                  <w:tcW w:type="dxa" w:w="4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0"/>
                    </w:rPr>
                    <w:t>典型测绘</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总平面图</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1:250或1:300</w:t>
                  </w:r>
                </w:p>
              </w:tc>
            </w:tr>
            <w:tr>
              <w:tc>
                <w:tcPr>
                  <w:tcW w:type="dxa" w:w="491"/>
                  <w:vMerge/>
                  <w:tcBorders>
                    <w:top w:val="none" w:color="000000" w:sz="4"/>
                    <w:left w:val="singl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平、立、剖面图</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1:100、1:150或1:200</w:t>
                  </w:r>
                </w:p>
              </w:tc>
            </w:tr>
            <w:tr>
              <w:tc>
                <w:tcPr>
                  <w:tcW w:type="dxa" w:w="491"/>
                  <w:vMerge/>
                  <w:tcBorders>
                    <w:top w:val="none" w:color="000000" w:sz="4"/>
                    <w:left w:val="singl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详图</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1:5、1:10、1:15、1:20、1:25、1:30</w:t>
                  </w:r>
                </w:p>
              </w:tc>
            </w:tr>
            <w:tr>
              <w:tc>
                <w:tcPr>
                  <w:tcW w:type="dxa" w:w="4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0"/>
                    </w:rPr>
                    <w:t>简略测绘</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总平面图</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1:300或1:500</w:t>
                  </w:r>
                </w:p>
              </w:tc>
            </w:tr>
            <w:tr>
              <w:tc>
                <w:tcPr>
                  <w:tcW w:type="dxa" w:w="491"/>
                  <w:vMerge/>
                  <w:tcBorders>
                    <w:top w:val="none" w:color="000000" w:sz="4"/>
                    <w:left w:val="singl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平、立、剖面图</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1:200或1:250</w:t>
                  </w:r>
                </w:p>
              </w:tc>
            </w:tr>
            <w:tr>
              <w:tc>
                <w:tcPr>
                  <w:tcW w:type="dxa" w:w="491"/>
                  <w:vMerge/>
                  <w:tcBorders>
                    <w:top w:val="none" w:color="000000" w:sz="4"/>
                    <w:left w:val="singl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详图</w:t>
                  </w:r>
                </w:p>
              </w:tc>
              <w:tc>
                <w:tcPr>
                  <w:tcW w:type="dxa" w:w="1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1:15、1:20、1:25、1:30、1:50</w:t>
                  </w:r>
                </w:p>
              </w:tc>
            </w:tr>
          </w:tbl>
          <w:p>
            <w:pPr>
              <w:pStyle w:val="null3"/>
              <w:jc w:val="both"/>
            </w:pPr>
            <w:r>
              <w:rPr>
                <w:rFonts w:ascii="仿宋_GB2312" w:hAnsi="仿宋_GB2312" w:cs="仿宋_GB2312" w:eastAsia="仿宋_GB2312"/>
                <w:sz w:val="20"/>
              </w:rPr>
              <w:t>6、历史建筑的测绘图绘制应符合现行国家标准《房屋建筑制图统一标准》GB/T50001、《建筑制图标准》GB/T50104《总图制图标准》GB/T50103 的有关规定。</w:t>
            </w:r>
          </w:p>
          <w:p>
            <w:pPr>
              <w:pStyle w:val="null3"/>
              <w:jc w:val="both"/>
            </w:pPr>
            <w:r>
              <w:rPr>
                <w:rFonts w:ascii="仿宋_GB2312" w:hAnsi="仿宋_GB2312" w:cs="仿宋_GB2312" w:eastAsia="仿宋_GB2312"/>
                <w:sz w:val="20"/>
                <w:b/>
              </w:rPr>
              <w:t>六、</w:t>
            </w:r>
            <w:r>
              <w:rPr>
                <w:rFonts w:ascii="仿宋_GB2312" w:hAnsi="仿宋_GB2312" w:cs="仿宋_GB2312" w:eastAsia="仿宋_GB2312"/>
                <w:sz w:val="21"/>
                <w:b/>
              </w:rPr>
              <w:t>成果</w:t>
            </w:r>
          </w:p>
          <w:p>
            <w:pPr>
              <w:pStyle w:val="null3"/>
              <w:jc w:val="both"/>
            </w:pPr>
            <w:r>
              <w:rPr>
                <w:rFonts w:ascii="仿宋_GB2312" w:hAnsi="仿宋_GB2312" w:cs="仿宋_GB2312" w:eastAsia="仿宋_GB2312"/>
                <w:sz w:val="21"/>
              </w:rPr>
              <w:t>规划文本、图纸、说明书等，</w:t>
            </w:r>
            <w:r>
              <w:rPr>
                <w:rFonts w:ascii="仿宋_GB2312" w:hAnsi="仿宋_GB2312" w:cs="仿宋_GB2312" w:eastAsia="仿宋_GB2312"/>
                <w:sz w:val="21"/>
              </w:rPr>
              <w:t>Word或PDF格式文件。</w:t>
            </w:r>
          </w:p>
          <w:p>
            <w:pPr>
              <w:pStyle w:val="null3"/>
            </w:pPr>
            <w:r>
              <w:rPr>
                <w:rFonts w:ascii="仿宋_GB2312" w:hAnsi="仿宋_GB2312" w:cs="仿宋_GB2312" w:eastAsia="仿宋_GB2312"/>
                <w:sz w:val="21"/>
              </w:rPr>
              <w:t>（纸质版</w:t>
            </w:r>
            <w:r>
              <w:rPr>
                <w:rFonts w:ascii="仿宋_GB2312" w:hAnsi="仿宋_GB2312" w:cs="仿宋_GB2312" w:eastAsia="仿宋_GB2312"/>
                <w:sz w:val="21"/>
              </w:rPr>
              <w:t>6套，电子版2份刻录成DVD）</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为保证项目质量，供应商应配置足够数量、专业的、经验丰富的技术人员确保完成项目履约。配置人员不少于4人。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承接方自备设备，包括满足测绘作业要求的台式机、绘图软件、绘图仪、打印机等，确保完成项目履约。</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符合采购人需求，符合磋商文件要求。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 年6月30日止，完成项目所有内容，提交最终成果，并达到验收标准，因报审程序项目截止日期顺延。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符合《陕西省历史建筑测绘建档三年行动方案(2019-2021)》及《历史建筑数字化技术标准》要求，符合国家、省、市、行业标准及采购人要求。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合同签订后10日内，乙方开具合法且符合甲方要求的合同款项增值税专用发票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乙方提供的测绘成果通过技术审查后，乙方开具合法且符合甲方要求的合同款项增值税专用发票，甲方收到乙方发票后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乙方提供的测绘成果获审批后，乙方开具合法且符合甲方要求的合同款项增值税专用发票，甲方收到乙方发票后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3.甲方发现乙方人员资质造假可立即终止合同。 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甲方住所地有管辖权的人民法院提起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 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w:t>
            </w:r>
          </w:p>
        </w:tc>
        <w:tc>
          <w:tcPr>
            <w:tcW w:type="dxa" w:w="3322"/>
          </w:tcPr>
          <w:p>
            <w:pPr>
              <w:pStyle w:val="null3"/>
            </w:pPr>
            <w:r>
              <w:rPr>
                <w:rFonts w:ascii="仿宋_GB2312" w:hAnsi="仿宋_GB2312" w:cs="仿宋_GB2312" w:eastAsia="仿宋_GB2312"/>
              </w:rPr>
              <w:t>法定代表人参加磋商时，提供本人身份证；授权代表参加磋商时，提供法定代表人授权书和被授权人身份证；非法人单位参照执行；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须具有国家行政主管部门颁发的测绘乙级或以上资质。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须提供《汉中市政府采购供应商资格承诺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供应商应提供《非联合体磋商声明》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磋商无效条件：响应文件未按磋商文件要求签署、盖章的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磋商无效条件：供应商报价超出采购预算或最高限价的</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磋商无效条件：磋商有效期不满足磋商文件要求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磋商无效条件：存在其它不符合法律法规或磋商文件规定的投标无效情形</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供应商针对本项目提供技术方案，方案内容包括：①项目整体情况概括；②历史建筑保护措施及方案；③具体实施方案；④工作步骤；⑤成果提交。 二、评审标准 ①完整性：方案须全面，对评审内容中的各项要求有详细描述及说明； ②可实施性：切合本项目实际情况，实施步骤清晰、科学、合理； ③针对性：方案能够紧扣项目实际情况，内容全面、科学合理、详细具体。 三、赋分标准 ①项目整体情况概括。每完全满足一个评审标准得2.0分，满分6.0分. ②历史建筑保护措施及方案。每完全满足一个评审标准得2.0分，满分6.0分。 ③具体实施方案；每完全满足一个评审标准得2.0分，满分6.0分。 ④工作步骤；每完全满足一个评审标准得2.0分，满分6.0分。 ⑤成果提交。每完全满足一个评审标准得2.0分，满分6.0分。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项目组织结构方案</w:t>
            </w:r>
          </w:p>
        </w:tc>
        <w:tc>
          <w:tcPr>
            <w:tcW w:type="dxa" w:w="2492"/>
          </w:tcPr>
          <w:p>
            <w:pPr>
              <w:pStyle w:val="null3"/>
            </w:pPr>
            <w:r>
              <w:rPr>
                <w:rFonts w:ascii="仿宋_GB2312" w:hAnsi="仿宋_GB2312" w:cs="仿宋_GB2312" w:eastAsia="仿宋_GB2312"/>
              </w:rPr>
              <w:t>一、评审内容 供应商针对本项目提供项目组织结构方案，方案内容包括：①项目管理机构图；②工作职能组织运行图；③项目成员的管理职责及内部管理的职责分工；④日常管理制度；⑤考核办法。 二、评审标准 ①完整性：方案须全面，对评审内容中的各项要求有详细描述及说明； ②可实施性：切合本项目实际情况，实施步骤清晰、科学、合理； ③针对性：方案能够紧扣项目实际情况，内容全面、科学合理、详细具体。 三、赋分标准 ①项目管理机构图；每完全满足一个评审标准得1分，满分3分。 ②工作职能组织运行图；每完全满足一个评审标准得1分，满分3分。 ③项目成员的管理职责及内部管理的职责分工；每完全满足一个评审标准得1分，满分3分。 ④日常管理制度；每完全满足一个评审标准得1分，满分3分。 ⑤考核办法。每完全满足一个评审标准得1分，满分3分。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保障措施方案</w:t>
            </w:r>
          </w:p>
        </w:tc>
        <w:tc>
          <w:tcPr>
            <w:tcW w:type="dxa" w:w="2492"/>
          </w:tcPr>
          <w:p>
            <w:pPr>
              <w:pStyle w:val="null3"/>
            </w:pPr>
            <w:r>
              <w:rPr>
                <w:rFonts w:ascii="仿宋_GB2312" w:hAnsi="仿宋_GB2312" w:cs="仿宋_GB2312" w:eastAsia="仿宋_GB2312"/>
              </w:rPr>
              <w:t>一、评审内容 供应商针对本项目提供保障措施方案，方案内容包括：①项目进度计划；②进度保障措施；③质量保障措施；④成果保密方案。 二、评审标准 ①完整性：方案内容完整全面，对上述各项内容均有描述及说明：②针对性强，合本项目实际情况。 ③可实施性：可实施性强，能够紧扣项目实际情况，内容全面、科学合理、详细具体。 三、赋分标准 ①项目进度计划；每完全满足一个评审标准得1分，满分3分。 ②进度保障措施；每完全满足一个评审标准得1分，满分3分。 ③质量保障措施；每完全满足一个评审标准得1分，满分3分。 ④成果保密方案。每完全满足一个评审标准得1分，满分3分。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供应商针对本项目提供的售后服务方案，方案内容包括：①后期服务人员配置、响应时间；②后期服务承诺；③后期服务联系方式；④ 现场服务支持能力；⑤应急情况处理方式. 售后服务承诺完善、合理可行的计（3-5]分；售后服务承诺简单，合理可行的计(1-3]分；不合理或未提供，计0分。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突发事件应急预案及合理化建议</w:t>
            </w:r>
          </w:p>
        </w:tc>
        <w:tc>
          <w:tcPr>
            <w:tcW w:type="dxa" w:w="2492"/>
          </w:tcPr>
          <w:p>
            <w:pPr>
              <w:pStyle w:val="null3"/>
            </w:pPr>
            <w:r>
              <w:rPr>
                <w:rFonts w:ascii="仿宋_GB2312" w:hAnsi="仿宋_GB2312" w:cs="仿宋_GB2312" w:eastAsia="仿宋_GB2312"/>
              </w:rPr>
              <w:t>突发事件应急预案不限于突发情况、雨雪恶劣天气等方面，突发事件应急预案及合理化建议详细，实用，切实可行得（3-5]分；突发事件应急预案及合理化建议，可行性较差得(1-3]分；不合理或未提供，计0分。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成果文件等各个方面，全面保证采购人数据及相关信息不泄密，保密承诺详细可行得（3-5]分；保密方案简略，可行性较差得(1-3]分；不合理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针对本项目采购需求，提供拟投入的设备机械充足，能较好地满足测绘使用需求得（3-5]分；拟投入设备机械较差，不能较好地满足测绘使用需求得(1-3]分；不合理或未提供，计0分。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供应商自2022年1月1日（含）以来，每具有1个与本项目类似业绩的得1分,本项最多得3分。 注：1、提供中标（成交）通知书或合同复印件并加盖并供应商公章；以合同签订时间为准。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1、项目负责人：具备测绘专业中级及以上技术职称，计2分； 2、拟投入本项目组成员中（除项目负责人外）具备测绘专业中级及以上技术职称每提供1个计1分，满分3分。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