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版本号：YD-202506020251107001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2025年全市永久基本农田储备库市级汇总和核查验收项目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YD-2025060</w:t>
      </w:r>
      <w:r>
        <w:br/>
      </w:r>
      <w:r>
        <w:br/>
      </w:r>
      <w:r>
        <w:br/>
      </w:r>
    </w:p>
    <w:p>
      <w:pPr>
        <w:pStyle w:val="null3"/>
        <w:jc w:val="center"/>
        <w:outlineLvl w:val="2"/>
      </w:pPr>
      <w:r>
        <w:rPr>
          <w:rFonts w:ascii="仿宋_GB2312" w:hAnsi="仿宋_GB2312" w:cs="仿宋_GB2312" w:eastAsia="仿宋_GB2312"/>
          <w:sz w:val="28"/>
          <w:b/>
        </w:rPr>
        <w:t>汉中市自然资源局</w:t>
      </w:r>
    </w:p>
    <w:p>
      <w:pPr>
        <w:pStyle w:val="null3"/>
        <w:jc w:val="center"/>
        <w:outlineLvl w:val="2"/>
      </w:pPr>
      <w:r>
        <w:rPr>
          <w:rFonts w:ascii="仿宋_GB2312" w:hAnsi="仿宋_GB2312" w:cs="仿宋_GB2312" w:eastAsia="仿宋_GB2312"/>
          <w:sz w:val="28"/>
          <w:b/>
        </w:rPr>
        <w:t>一鼎项目管理有限公司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一鼎项目管理有限公司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w:t>
      </w:r>
      <w:r>
        <w:rPr>
          <w:rFonts w:ascii="仿宋_GB2312" w:hAnsi="仿宋_GB2312" w:cs="仿宋_GB2312" w:eastAsia="仿宋_GB2312"/>
        </w:rPr>
        <w:t>委托，拟对</w:t>
      </w:r>
      <w:r>
        <w:rPr>
          <w:rFonts w:ascii="仿宋_GB2312" w:hAnsi="仿宋_GB2312" w:cs="仿宋_GB2312" w:eastAsia="仿宋_GB2312"/>
        </w:rPr>
        <w:t>2025年全市永久基本农田储备库市级汇总和核查验收项目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YD-2025060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2025年全市永久基本农田储备库市级汇总和核查验收项目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对全市11个县区提交的永久基本农田储备库成果进行汇总，并对内业资料100%进行审核，以不低于划入储各库总地块数20%（或全市2000个地块）进行外业核查。确保全市永久基本农田储备库成果通过省级核查。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采购包1（2025年全市永久基本农田储备库市级汇总和核查验收项目）：属于专门面向中小企业采购。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2、法定代表人或负责人授权委托书：法定代表人或单位负责人授权书及被授权人身份证（法定代表人或单位负责人直接参加投标除外，但须出示法定代表人或单位负责人身份证及营业执照复印件）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4、控股管理关系：控股管理关系：单位负责人为同一人或者存在直接控股、管理关系的供应商，不得参加同一合同项下的政府采购活动。</w:t>
      </w:r>
    </w:p>
    <w:p>
      <w:pPr>
        <w:pStyle w:val="null3"/>
      </w:pPr>
      <w:r>
        <w:rPr>
          <w:rFonts w:ascii="仿宋_GB2312" w:hAnsi="仿宋_GB2312" w:cs="仿宋_GB2312" w:eastAsia="仿宋_GB2312"/>
        </w:rPr>
        <w:t>5、资质要求：供应商须具备行政主管部门颁发的测绘乙级及以上资质证书，拟派的项目负责人须具有相关专业高级技术职称。</w:t>
      </w:r>
    </w:p>
    <w:p>
      <w:pPr>
        <w:pStyle w:val="null3"/>
      </w:pPr>
      <w:r>
        <w:rPr>
          <w:rFonts w:ascii="仿宋_GB2312" w:hAnsi="仿宋_GB2312" w:cs="仿宋_GB2312" w:eastAsia="仿宋_GB2312"/>
        </w:rPr>
        <w:t>6、非联合体不分包投标声明：本项目不接受联合体响应，不允许分包。供应商提供《非联合体不分包投标声明》，视为独立响应，不分包。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7、本采购包专门面向中小企业采购：本项目为专门面向中小企业采购，投标人应为中型企业或小型、微型企业或监狱企业或残疾人福利性单位。投标人为中型、小型、微型企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0916-2996028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一鼎项目管理有限公司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汉中市汉台区石马路睿居品阁酒店17楼06室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0916-2610065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开户名称：一鼎项目管理有限公司汉中分公司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 6080 1421 0061 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代理服务费收费标准：采购代理机构参照《国家发展改革委关于进一步放开建设项目专业服务价格的通知》（发改价格〔2015〕299号）文收费标准向成交供应商收取招标代理服务费。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汉中市自然资源局</w:t>
      </w:r>
      <w:r>
        <w:rPr>
          <w:rFonts w:ascii="仿宋_GB2312" w:hAnsi="仿宋_GB2312" w:cs="仿宋_GB2312" w:eastAsia="仿宋_GB2312"/>
        </w:rPr>
        <w:t>和</w:t>
      </w:r>
      <w:r>
        <w:rPr>
          <w:rFonts w:ascii="仿宋_GB2312" w:hAnsi="仿宋_GB2312" w:cs="仿宋_GB2312" w:eastAsia="仿宋_GB2312"/>
        </w:rPr>
        <w:t>一鼎项目管理有限公司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汉中市自然资源局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一鼎项目管理有限公司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一鼎项目管理有限公司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一鼎项目管理有限公司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一鼎项目管理有限公司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一鼎项目管理有限公司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联系电话：0916-2610065</w:t>
      </w:r>
    </w:p>
    <w:p>
      <w:pPr>
        <w:pStyle w:val="null3"/>
      </w:pPr>
      <w:r>
        <w:rPr>
          <w:rFonts w:ascii="仿宋_GB2312" w:hAnsi="仿宋_GB2312" w:cs="仿宋_GB2312" w:eastAsia="仿宋_GB2312"/>
        </w:rPr>
        <w:t>地址：汉中市汉台区石马路睿居品阁酒店17楼06室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对全市11个县区提交的永久基本农田储备库成果进行汇总，并对内业资料100%进行审核，以不低于划入储各库总地块数20%（或全市2000个地块）进行外业核查。确保全市永久基本农田储备库成果通过省级核查。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按照不少于三区三线划定永久基本农田面积的1%建立永久基本农田储备库，作为重大建设项目占用或保护红线调整的主要补划来源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标的名称：按照不少于三区三线划定永久基本农田面积的1%建立永久基本农田储备库，作为重大建设项目占用或保护红线调整的主要补划来源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工作内容</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潜力分析:在省厅下发的潜力数据基础上，以年度变更调查成果为底图，套合叠加永久基本农田核实处置成果、规划成果、用地管理信息、保护红线、已建成高标准农田等范围线数据，分析形成汉中市永久基本农田储备库潜力数据，下发各县参考应用。</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内业审核:对县级上报图斑100%内业审核，重点检查划定规模、耕地质量、布局是否达到相关要求。</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外业核查:对各县(区)上报的储备库地块进行外业核查，核查比例不低于20%或全市不少于2000个地块。</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汇总分析:汇总全市永久基本农田储备区数据库，编制《汉中市永久基本农田储备库分布图》、《汉中市永久基本农田储备库成果分析报告》、《汉中市永久基本农田储备库成果数据集》等成果。</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成果报送:将市级验收通过的县级储备库成果及时提交省级核查;将通过省级验收的成果报省自然资源厅进行报备。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主要技术依据</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自然资源部 农业农村部《永久基本农田保护红线管理办法》；</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自然资源部办公厅《关于严肃开展耕地和永久基本农田划定成果核实处置工作的通知》(自然资办发(2023〕25号)；</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自然资源部办公厅《关于在全国开展“三区三线”划定工作的函》(自然资办函(2022〕47号)；</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自然资源部办公厅《关于印发“三区三线”划定成果数据汇交要求的函》(自然资办函(2022)1541号)；</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《国土调查数据库标准》(TD/T 1057-2020)；</w:t>
            </w:r>
          </w:p>
          <w:p>
            <w:pPr>
              <w:pStyle w:val="null3"/>
            </w:pPr>
            <w:r>
              <w:rPr>
                <w:rFonts w:ascii="仿宋_GB2312" w:hAnsi="仿宋_GB2312" w:cs="仿宋_GB2312" w:eastAsia="仿宋_GB2312"/>
                <w:sz w:val="20"/>
                <w:color w:val="000000"/>
              </w:rPr>
              <w:t>6.</w:t>
            </w:r>
            <w:r>
              <w:rPr>
                <w:rFonts w:ascii="仿宋_GB2312" w:hAnsi="仿宋_GB2312" w:cs="仿宋_GB2312" w:eastAsia="仿宋_GB2312"/>
                <w:sz w:val="20"/>
                <w:color w:val="000000"/>
              </w:rPr>
              <w:t>《国土变更调查技术规程》(2024年度适用)；</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《耕地质量等级》(GB/T33469-2016)；</w:t>
            </w:r>
          </w:p>
          <w:p>
            <w:pPr>
              <w:pStyle w:val="null3"/>
            </w:pPr>
            <w:r>
              <w:rPr>
                <w:rFonts w:ascii="仿宋_GB2312" w:hAnsi="仿宋_GB2312" w:cs="仿宋_GB2312" w:eastAsia="仿宋_GB2312"/>
                <w:sz w:val="20"/>
                <w:color w:val="000000"/>
              </w:rPr>
              <w:t>8.</w:t>
            </w:r>
            <w:r>
              <w:rPr>
                <w:rFonts w:ascii="仿宋_GB2312" w:hAnsi="仿宋_GB2312" w:cs="仿宋_GB2312" w:eastAsia="仿宋_GB2312"/>
                <w:sz w:val="20"/>
                <w:color w:val="000000"/>
              </w:rPr>
              <w:t>陕西省自然资源厅 农业农村厅下发《关于建立全省永久基本农田储备库制度及有关工作的通知》(陕自然资发(2025]838号):</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其他相关行业标准和文件。</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提交成果/提交自然资源部门成果：</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市级永久基本农田储备库成果数据集；</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市级永久基本农田储备库成果检查报告；</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市级建立永久基本农田储备库工作总结报告；</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省级要求的其它成果资料。</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质量要求：</w:t>
            </w:r>
          </w:p>
          <w:p>
            <w:pPr>
              <w:pStyle w:val="null3"/>
            </w:pPr>
            <w:r>
              <w:rPr>
                <w:rFonts w:ascii="仿宋_GB2312" w:hAnsi="仿宋_GB2312" w:cs="仿宋_GB2312" w:eastAsia="仿宋_GB2312"/>
                <w:sz w:val="21"/>
                <w:color w:val="000000"/>
              </w:rPr>
              <w:t>按照国家、省、市相关规定，提交的所有成果资料必须符合相关规定及上报要求。</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保密责任：</w:t>
            </w:r>
          </w:p>
          <w:p>
            <w:pPr>
              <w:pStyle w:val="null3"/>
            </w:pPr>
            <w:r>
              <w:rPr>
                <w:rFonts w:ascii="仿宋_GB2312" w:hAnsi="仿宋_GB2312" w:cs="仿宋_GB2312" w:eastAsia="仿宋_GB2312"/>
                <w:sz w:val="21"/>
                <w:color w:val="000000"/>
              </w:rPr>
              <w:t>凡涉及国家秘密的按《中华人民共和国保守国家秘密法》相关规定执行。</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其他要求：</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组织作业队伍进场作业，并明确人员和时间安排，在规定时间内完成调查工作。</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对项目实施中出现的质量问题，应按照技术规程规定无条件修改完善，产生费用由供应商承担。</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供应商应严格按照国家和地方的实施方案、相关规程、细则规定进行项目的实施，并对成果质量负责。</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供应商应配合采购人做好省级成果检查验收确认工作。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自合同签订之日起90日内。按照省级要求完成各阶段工作任务，如遇中、省、市政策变化等不可抗拒因素，工期顺延。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采购人按照政府采购相关法律法规以及《财政部关于进一步加强政府采购需求和履约验收管理的指导意见》（财库〔2016〕205 号）的要求；本项目合同；相关国家行业标准；本项目竞争性谈判文件；中标（成交）人响应文件等进行验收。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合同书签订生效后，成交供应商进场开展工作后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成交供应商提供的数据库成果汇交省级核查后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成交供应商提供的数据库等成果通过省级验收后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1、任何一方违反合同约定内容的，则应承担相应的违约责任；对于造成对方损失的，应承担赔偿责任。 2、合同争议，应通过协商、谈判的方式解决。如协商、谈判不能解决的，任何一方可依法向项目所在地人民法院提起诉讼解决。</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1、在成交结果公示后，成交供应商向代理机构提交纸质响应文件正本壹份、副本贰份、电子版U盘贰份，编辑目录和页码，内容和通过电子化交易平台实施的政府采购项目提交的响应文件一致。 2、纸质响应文件正副本分别胶装，加盖骑缝章。3、投标保证金若以担保函形式开具必须在开标前一个工作日电话告知（0916-2610065）并将扫描件发送至采购代理机构邮箱（1042853189@qq.com）。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供应商须具备行政主管部门颁发的测绘乙级及以上资质证书，拟派的项目负责人须具有相关专业高级技术职称。</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响应文件按竞争性谈判要求进行电子签章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符合竞争性谈判文件要求，响应文件内容齐全、无遗漏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报价唯一，未超出采购预算或竞争性谈判文件规定的最高限价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响应文件封面 服务内容及服务邀请应答表 商务应答表 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不存在其他不符合法律法规或竞争性谈判文件规定的响应无效条款的情形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详见附件：新建 DOCX 文档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