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版本号：HWHZ-202506120251217001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1.5T核磁共振、CT设备维保项目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HWHZ-2025061</w:t>
      </w:r>
      <w:r>
        <w:br/>
      </w:r>
      <w:r>
        <w:br/>
      </w:r>
      <w:r>
        <w:br/>
      </w:r>
    </w:p>
    <w:p>
      <w:pPr>
        <w:pStyle w:val="null3"/>
        <w:jc w:val="center"/>
        <w:outlineLvl w:val="2"/>
      </w:pPr>
      <w:r>
        <w:rPr>
          <w:rFonts w:ascii="仿宋_GB2312" w:hAnsi="仿宋_GB2312" w:cs="仿宋_GB2312" w:eastAsia="仿宋_GB2312"/>
          <w:sz w:val="28"/>
          <w:b/>
        </w:rPr>
        <w:t>汉中职业技术学院附属医院</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汉中职业技术学院附属医院</w:t>
      </w:r>
      <w:r>
        <w:rPr>
          <w:rFonts w:ascii="仿宋_GB2312" w:hAnsi="仿宋_GB2312" w:cs="仿宋_GB2312" w:eastAsia="仿宋_GB2312"/>
        </w:rPr>
        <w:t>委托，拟对</w:t>
      </w:r>
      <w:r>
        <w:rPr>
          <w:rFonts w:ascii="仿宋_GB2312" w:hAnsi="仿宋_GB2312" w:cs="仿宋_GB2312" w:eastAsia="仿宋_GB2312"/>
        </w:rPr>
        <w:t>1.5T核磁共振、CT设备维保项目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HWHZ-2025061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1.5T核磁共振、CT设备维保项目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为保证设备的正常使用，需重新采购两台设备的维护保养保修服务，为保障医院设备高效稳定运行，提高临床诊断与治疗效率。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采购包1（1.5T核磁共振、CT设备维保项目）：属于专门面向中小企业采购。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3、资质能力：供应商应具有医疗器械经营许可证或经营备案凭证；</w:t>
      </w:r>
    </w:p>
    <w:p>
      <w:pPr>
        <w:pStyle w:val="null3"/>
      </w:pPr>
      <w:r>
        <w:rPr>
          <w:rFonts w:ascii="仿宋_GB2312" w:hAnsi="仿宋_GB2312" w:cs="仿宋_GB2312" w:eastAsia="仿宋_GB2312"/>
        </w:rPr>
        <w:t>4、供应商资格承诺函：供应商须按照汉财办采管[2024]20号文件通知要求，提供《汉中市政府采购供应商资格承诺函》；</w:t>
      </w:r>
    </w:p>
    <w:p>
      <w:pPr>
        <w:pStyle w:val="null3"/>
      </w:pPr>
      <w:r>
        <w:rPr>
          <w:rFonts w:ascii="仿宋_GB2312" w:hAnsi="仿宋_GB2312" w:cs="仿宋_GB2312" w:eastAsia="仿宋_GB2312"/>
        </w:rPr>
        <w:t>5、非联合体声明：本项目不接受联合体磋商，需提供非联合体书面声明。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陕西省汉中市汉台区天汉大道670号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0916-8113506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0916-2702818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开户名称：华文项目管理有限公司汉中分公司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银行账号：61050110066600000600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代理服务费收费标准：代理服务费收费标准：参照《招标代理服务收费管理暂行办法》的通知（计价格[2002]1980号 ）和《关于招标代理服务收费有关问题的通知》（发改办价格[2003]857号）的有关规定按标 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汉中职业技术学院附属医院</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汉中职业技术学院附属医院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联系电话：0916-2702818</w:t>
      </w:r>
    </w:p>
    <w:p>
      <w:pPr>
        <w:pStyle w:val="null3"/>
      </w:pPr>
      <w:r>
        <w:rPr>
          <w:rFonts w:ascii="仿宋_GB2312" w:hAnsi="仿宋_GB2312" w:cs="仿宋_GB2312" w:eastAsia="仿宋_GB2312"/>
        </w:rPr>
        <w:t>地址：汉中市汉台区北关街道办事处留侯路东方明珠小区临街商铺二楼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为保证设备的正常使用，需重新采购两台设备的维护保养保修服务，为保障医院设备高效稳定运行，提高临床诊断与治疗效率。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723,000.00</w:t>
      </w:r>
    </w:p>
    <w:p>
      <w:pPr>
        <w:pStyle w:val="null3"/>
      </w:pPr>
      <w:r>
        <w:rPr>
          <w:rFonts w:ascii="仿宋_GB2312" w:hAnsi="仿宋_GB2312" w:cs="仿宋_GB2312" w:eastAsia="仿宋_GB2312"/>
        </w:rPr>
        <w:t>采购包最高限价（元）: 723,000.00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1.5T核磁共振、CT设备维保项目</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723,000.00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标的名称：1.5T核磁共振、CT设备维保项目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维修响应：接到报修电话后半小时内响应，如电话、远程视频无法解决设备故障，供应商须派遣具有相关资质的专业维修工程师在</w:t>
            </w:r>
            <w:r>
              <w:rPr>
                <w:rFonts w:ascii="仿宋_GB2312" w:hAnsi="仿宋_GB2312" w:cs="仿宋_GB2312" w:eastAsia="仿宋_GB2312"/>
                <w:sz w:val="24"/>
              </w:rPr>
              <w:t>2小时内到达设备使用现场进行维修，及时排除故障。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定期保养服务：供应商全年为维保设备提供不少于</w:t>
            </w:r>
            <w:r>
              <w:rPr>
                <w:rFonts w:ascii="仿宋_GB2312" w:hAnsi="仿宋_GB2312" w:cs="仿宋_GB2312" w:eastAsia="仿宋_GB2312"/>
                <w:sz w:val="24"/>
              </w:rPr>
              <w:t>4次维护保养服务，并提供符合原厂技术要求的保养报告，供应商的保养服务需做好记录，包括但不限于设备清洁、性能测试及较准、必要的机械或电气的检查，根据采购人要求对设备的数据进行备份。</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客服专线：具有固定的售后服务电话，并提供</w:t>
            </w:r>
            <w:r>
              <w:rPr>
                <w:rFonts w:ascii="仿宋_GB2312" w:hAnsi="仿宋_GB2312" w:cs="仿宋_GB2312" w:eastAsia="仿宋_GB2312"/>
                <w:sz w:val="24"/>
              </w:rPr>
              <w:t>365天的7X24小时服务，需注明准确服务电话。</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年开机率：合同期内供应商须保证维保设备的年开机率</w:t>
            </w:r>
            <w:r>
              <w:rPr>
                <w:rFonts w:ascii="仿宋_GB2312" w:hAnsi="仿宋_GB2312" w:cs="仿宋_GB2312" w:eastAsia="仿宋_GB2312"/>
                <w:sz w:val="24"/>
              </w:rPr>
              <w:t>≥95%（全年按365天计），即每年因故障停机时间不超过18天，停机时间每超过1天维保时间顺延3天。单次故障停机不超过72小时，每超1天保修顺延3天。</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工程师要求：供应商需提供专业工程师不少于</w:t>
            </w:r>
            <w:r>
              <w:rPr>
                <w:rFonts w:ascii="仿宋_GB2312" w:hAnsi="仿宋_GB2312" w:cs="仿宋_GB2312" w:eastAsia="仿宋_GB2312"/>
                <w:sz w:val="24"/>
              </w:rPr>
              <w:t>2人，提供工程师的专业维修资质证书或有效证明材料。</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备件到场时间：常规备件</w:t>
            </w:r>
            <w:r>
              <w:rPr>
                <w:rFonts w:ascii="仿宋_GB2312" w:hAnsi="仿宋_GB2312" w:cs="仿宋_GB2312" w:eastAsia="仿宋_GB2312"/>
                <w:sz w:val="24"/>
              </w:rPr>
              <w:t>48小时内到场（重要或者需要报关的备件除外），最晚3天到场。</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每年向院方提供维修、维护保养报告（至少</w:t>
            </w:r>
            <w:r>
              <w:rPr>
                <w:rFonts w:ascii="仿宋_GB2312" w:hAnsi="仿宋_GB2312" w:cs="仿宋_GB2312" w:eastAsia="仿宋_GB2312"/>
                <w:sz w:val="24"/>
              </w:rPr>
              <w:t>12次巡检），并胶装成册。</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1.5T核磁共振每年每合同期内，</w:t>
            </w:r>
            <w:r>
              <w:rPr>
                <w:rFonts w:ascii="仿宋_GB2312" w:hAnsi="仿宋_GB2312" w:cs="仿宋_GB2312" w:eastAsia="仿宋_GB2312"/>
                <w:sz w:val="24"/>
              </w:rPr>
              <w:t>核磁共振磁体线圈以及液氦气体在本次售后服务保修范围以外，其他的所有配件都包含在本次售后服务方案内</w:t>
            </w:r>
            <w:r>
              <w:rPr>
                <w:rFonts w:ascii="仿宋_GB2312" w:hAnsi="仿宋_GB2312" w:cs="仿宋_GB2312" w:eastAsia="仿宋_GB2312"/>
                <w:sz w:val="24"/>
              </w:rPr>
              <w:t>，常规配件免费更换，无论价值大小。此条款不包括</w:t>
            </w:r>
            <w:r>
              <w:rPr>
                <w:rFonts w:ascii="仿宋_GB2312" w:hAnsi="仿宋_GB2312" w:cs="仿宋_GB2312" w:eastAsia="仿宋_GB2312"/>
                <w:sz w:val="24"/>
              </w:rPr>
              <w:t>CT的配件更换。</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CT提供技术服务保障服务，如果有配件匹配，配件的成本维修价格低于5000元的有投标服务商承担，每年累计承担次数最多为4次，超过次数的配件投标供应商只能收取配件的成本费用。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一采管三年，每年考核合格后续签。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汉中职业技术学院附属医院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按季度考核支付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按季度考核支付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按季度考核支付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按季度考核，完成审核及服务质量考核，资料齐全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本项目为不见面开标，供应商无需在开标现场提交纸质响应文件，待中标（成交）结果发布后1个工作日内中标（成交）人向代理机构提交纸质版响应文件以便于存档，响应文件包括:正本壹份、副本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法定代表人身份证明或授权委托书.docx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资质能力</w:t>
            </w:r>
          </w:p>
        </w:tc>
        <w:tc>
          <w:tcPr>
            <w:tcW w:type="dxa" w:w="3322"/>
          </w:tcPr>
          <w:p>
            <w:pPr>
              <w:pStyle w:val="null3"/>
            </w:pPr>
            <w:r>
              <w:rPr>
                <w:rFonts w:ascii="仿宋_GB2312" w:hAnsi="仿宋_GB2312" w:cs="仿宋_GB2312" w:eastAsia="仿宋_GB2312"/>
              </w:rPr>
              <w:t>供应商应具有医疗器械经营许可证或经营备案凭证；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供应商须按照汉财办采管[2024]20号文件通知要求，提供《汉中市政府采购供应商资格承诺函》；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本项目不接受联合体磋商，需提供非联合体书面声明。</w:t>
            </w:r>
          </w:p>
        </w:tc>
        <w:tc>
          <w:tcPr>
            <w:tcW w:type="dxa" w:w="1661"/>
          </w:tcPr>
          <w:p>
            <w:pPr>
              <w:pStyle w:val="null3"/>
            </w:pPr>
            <w:r>
              <w:rPr>
                <w:rFonts w:ascii="仿宋_GB2312" w:hAnsi="仿宋_GB2312" w:cs="仿宋_GB2312" w:eastAsia="仿宋_GB2312"/>
              </w:rPr>
              <w:t>非联合体声明.docx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法定代表人身份证明或授权委托书.docx 非联合体声明.docx 残疾人福利性单位声明函 服务方案 标的清单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汉中市政府采购供应商资格承诺函.docx 响应文件封面 法定代表人身份证明或授权委托书.docx 非联合体声明.docx 残疾人福利性单位声明函 服务方案 标的清单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根据服务要求针对本项目的维护保养范围计划清晰、合理，并能及时响应和积极配合业主的有关要求等，综合对比评价： 方案全面、具体、可行、科学合理，得8分； 方案比较全面、具体、可行、科学合理，得7分； 方案相对全面、具体、合理，得6分； 方案基本全面、具体、合理，得5分； 方案简单，描述不够清晰，得4分； 方案存在一定缺漏，得3分； 方案存在较多缺漏，合理性差，得2分； 方案存在重大缺漏，无合理性，得1分；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根据服务要求提供供应商日常维修保养制度与操作规范及针对本项目制定的相关措施：方案全面、具体、可行、科学合理，得8分；方案比较全面、具体、可行、科学合理，得7分；方案相对全面、具体、合理，得6分； 方案基本全面、具体、合理，得5分；方案简单，描述不够清晰，得4分；方案存在一定缺漏，得3分； 方案存在较多缺漏，合理性差，得2分； 方案存在重大缺漏，无合理性，得1分；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定期维护保养方案</w:t>
            </w:r>
          </w:p>
        </w:tc>
        <w:tc>
          <w:tcPr>
            <w:tcW w:type="dxa" w:w="2492"/>
          </w:tcPr>
          <w:p>
            <w:pPr>
              <w:pStyle w:val="null3"/>
            </w:pPr>
            <w:r>
              <w:rPr>
                <w:rFonts w:ascii="仿宋_GB2312" w:hAnsi="仿宋_GB2312" w:cs="仿宋_GB2312" w:eastAsia="仿宋_GB2312"/>
              </w:rPr>
              <w:t>提供一年不少于四次的定期维护保养，需制定详细的保养计划，提供整机的全面定期维护保养及预防性巡检，维护保养服务内容包括：①机器清洁②性能测试③校准等。以上3项内容完整、不存在瑕疵得15分；每缺一项扣5分，存在瑕疵的一项扣 1-3 分，扣完为止。（本项所指“瑕疵”是指：内容描述过于简单、条理不清晰、与项目内容不匹配、凭空编造、出现常识性错误、不可能实现的夸大情形、存在不适用项目实际情况的情形等）。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开机率保证</w:t>
            </w:r>
          </w:p>
        </w:tc>
        <w:tc>
          <w:tcPr>
            <w:tcW w:type="dxa" w:w="2492"/>
          </w:tcPr>
          <w:p>
            <w:pPr>
              <w:pStyle w:val="null3"/>
            </w:pPr>
            <w:r>
              <w:rPr>
                <w:rFonts w:ascii="仿宋_GB2312" w:hAnsi="仿宋_GB2312" w:cs="仿宋_GB2312" w:eastAsia="仿宋_GB2312"/>
              </w:rPr>
              <w:t>根据服务要求供应商提供的承诺函中包含详细具体的开机率保证承诺函。 1.开机率保证承诺函全面、详细、科学合理、规范，可操作性强，得6分； 2.开机率保证承诺函较为合理、规范，具有一定操作性，得4分； 3.开机率保证承诺函简单，得2分； 4.开机率保证承诺函不合理或未提供得0分。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响应时效</w:t>
            </w:r>
          </w:p>
        </w:tc>
        <w:tc>
          <w:tcPr>
            <w:tcW w:type="dxa" w:w="2492"/>
          </w:tcPr>
          <w:p>
            <w:pPr>
              <w:pStyle w:val="null3"/>
            </w:pPr>
            <w:r>
              <w:rPr>
                <w:rFonts w:ascii="仿宋_GB2312" w:hAnsi="仿宋_GB2312" w:cs="仿宋_GB2312" w:eastAsia="仿宋_GB2312"/>
              </w:rPr>
              <w:t>根据服务要求供应商提供详细具体的维修响应时效承诺及应急预案。 1.维修响应时效承诺及应急预案全面、详细、科学合理、规范，可操作性强，得7分； 2.维修响应时效承诺及应急预案较为合理、规范，具有一定操作性，得5分； 3.维修响应时效承诺及应急预案较合理，能够实施，得3分；4.维修时效承诺及应急预案简单，得1分； 5.维修响应时效承诺不合理或未提供得0分。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服务报告</w:t>
            </w:r>
          </w:p>
        </w:tc>
        <w:tc>
          <w:tcPr>
            <w:tcW w:type="dxa" w:w="2492"/>
          </w:tcPr>
          <w:p>
            <w:pPr>
              <w:pStyle w:val="null3"/>
            </w:pPr>
            <w:r>
              <w:rPr>
                <w:rFonts w:ascii="仿宋_GB2312" w:hAnsi="仿宋_GB2312" w:cs="仿宋_GB2312" w:eastAsia="仿宋_GB2312"/>
              </w:rPr>
              <w:t>供应商根据服务要求提供保养报告、整机质量评估报告、设备年度服务报告。1.报告内容全面、详细、服务报告形式多样，科学合理、规范，可操作性强，得7分； 2.报告内容较为合理、规范，服务报告能够符合要求，具有一定操作性，得5分； 3.报告内容较为合理，服务报告单一，具有操作性，得3分； 4.报告内容简单，得1分； 5.服务方案不合理或未提供得0分。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1.供应商提供满足本项目要求的详细的人员配备方案，团队组织结构合理，职责分明，人员不少于6人，且提供详细的证明资料，得8分； 2.供应商针对本项目提供完整的人员配备方案，团队组织结构合理，职责分明，人员数量不少于4人，提供部分证明资料得5分； 3.供应商提供人员配备方案，团队组织结构合理，人员不少于3人，提供的单一证明材料得3分； 4.供应商提供人员配备方案简单，人员少于3人，且未提供证明资料，得1分。未提供相关内容不得分。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拟投入本项目配备专业的维修工程师，并提供人员的相关证书及本单位一年内任意一个月缴纳社保证明，每提供一名得1分，本项最高得4分。未提供或提供不全不得分。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项目拟派人员情况表.docx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拟投入本项目维保设备</w:t>
            </w:r>
          </w:p>
        </w:tc>
        <w:tc>
          <w:tcPr>
            <w:tcW w:type="dxa" w:w="2492"/>
          </w:tcPr>
          <w:p>
            <w:pPr>
              <w:pStyle w:val="null3"/>
            </w:pPr>
            <w:r>
              <w:rPr>
                <w:rFonts w:ascii="仿宋_GB2312" w:hAnsi="仿宋_GB2312" w:cs="仿宋_GB2312" w:eastAsia="仿宋_GB2312"/>
              </w:rPr>
              <w:t>拟投入本项目维保设备、维保物料能满足日常和紧急维保需求设备、物料品种丰富，能够满足日常维保需求，得5分；设备、物料品种较多，能满足常见的维保需求，得3分；设备、物料品种单一，得2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紧急维修服务方案</w:t>
            </w:r>
          </w:p>
        </w:tc>
        <w:tc>
          <w:tcPr>
            <w:tcW w:type="dxa" w:w="2492"/>
          </w:tcPr>
          <w:p>
            <w:pPr>
              <w:pStyle w:val="null3"/>
            </w:pPr>
            <w:r>
              <w:rPr>
                <w:rFonts w:ascii="仿宋_GB2312" w:hAnsi="仿宋_GB2312" w:cs="仿宋_GB2312" w:eastAsia="仿宋_GB2312"/>
              </w:rPr>
              <w:t>提供7*24小时紧急维修服务方案、承诺及保障措施 措施详细完整、可行性、针对性强，能高质量的确保项目服务质量，得4分； 保障措施比较完整，可行性及针对性较强以保证项目质量，得3分； 保障措施基本完整、可行，得2分；保障措施存在漏洞、合理性、可行性差，得1分；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供应商具有完善的培训方案，对服务人员进行专业化培训，有完善的服务业务培训管理制度，提供较好的理论与实战相结合的培训内容。 方案全面、合理、规范，可操作性强得6分；方案比较全面、合理、规范，可操作性较强得5分； 方案相对全面、合理，可操作性相对较强得4分；方案简单、笼统，有可操作性得3分；方案比较简略，可操作性略有欠缺得2分； 方案有缺漏，可操作性差得1分；未提供相关内容不得分。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1.供应商针对本项目提供详细的服务承诺（包含维修后续服务等），服务承诺内容合理，贴合本项目情况得4分； 2.供应商提供完整的服务承诺（包含维修后续服务等），服务承诺内容合理得2分； 3.供应商提供的服务承诺较简单得2分； 4.未提供得0分。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具有科学、合理、可行的保密措施，保证采购人的相关信息不被泄漏，保密措施完整、合理，可操作性强得3 分； 保密措施比较完整，可操作性较强得2分；保密措施基本完整，有一定可操作性得2分；保密措施不够完整，可操作性差得1分；未提供相关内容不得分。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供应商提供2022年6月1日以来同类设备维保案例业绩证明,每个得 1 分，最高得5分。注：提供完整合同并加盖公章。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1.满足磋商文件实质性要求且最后报价最低的供应商价格为磋商基准价，其价格分为满分10分。2.磋商报价得分=（磋商基准价/磋商报价）×10。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