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3EE467">
      <w:pPr>
        <w:numPr>
          <w:ilvl w:val="0"/>
          <w:numId w:val="0"/>
        </w:numPr>
        <w:spacing w:line="360" w:lineRule="auto"/>
        <w:jc w:val="center"/>
        <w:rPr>
          <w:rFonts w:hint="eastAsia" w:ascii="宋体" w:hAnsi="宋体" w:eastAsia="宋体" w:cs="宋体"/>
          <w:b/>
          <w:snapToGrid w:val="0"/>
          <w:color w:val="000000"/>
          <w:kern w:val="44"/>
          <w:sz w:val="44"/>
          <w:szCs w:val="21"/>
          <w:highlight w:val="none"/>
          <w:lang w:val="en-US" w:eastAsia="en-US" w:bidi="ar-SA"/>
        </w:rPr>
      </w:pPr>
    </w:p>
    <w:p w14:paraId="351E01F2">
      <w:pPr>
        <w:numPr>
          <w:ilvl w:val="0"/>
          <w:numId w:val="0"/>
        </w:numPr>
        <w:kinsoku w:val="0"/>
        <w:autoSpaceDE w:val="0"/>
        <w:autoSpaceDN w:val="0"/>
        <w:adjustRightInd w:val="0"/>
        <w:snapToGrid w:val="0"/>
        <w:spacing w:line="360" w:lineRule="auto"/>
        <w:jc w:val="center"/>
        <w:textAlignment w:val="baseline"/>
        <w:rPr>
          <w:rFonts w:hint="eastAsia" w:ascii="宋体" w:hAnsi="宋体" w:eastAsia="宋体" w:cs="宋体"/>
          <w:b/>
          <w:snapToGrid w:val="0"/>
          <w:color w:val="000000"/>
          <w:kern w:val="44"/>
          <w:sz w:val="44"/>
          <w:szCs w:val="21"/>
          <w:highlight w:val="none"/>
          <w:lang w:val="en-US" w:eastAsia="en-US" w:bidi="ar-SA"/>
        </w:rPr>
      </w:pPr>
    </w:p>
    <w:p w14:paraId="1459F8FB">
      <w:pPr>
        <w:spacing w:line="360" w:lineRule="auto"/>
        <w:jc w:val="center"/>
        <w:rPr>
          <w:rFonts w:hint="eastAsia" w:ascii="宋体" w:hAnsi="宋体" w:eastAsia="宋体"/>
          <w:b/>
          <w:bCs/>
          <w:caps w:val="0"/>
          <w:color w:val="auto"/>
          <w:sz w:val="44"/>
          <w:szCs w:val="44"/>
          <w:highlight w:val="none"/>
          <w:lang w:eastAsia="zh-CN"/>
        </w:rPr>
      </w:pPr>
      <w:r>
        <w:rPr>
          <w:rFonts w:hint="eastAsia" w:ascii="宋体" w:hAnsi="宋体" w:eastAsia="宋体"/>
          <w:b/>
          <w:bCs/>
          <w:caps w:val="0"/>
          <w:color w:val="auto"/>
          <w:sz w:val="44"/>
          <w:szCs w:val="44"/>
          <w:highlight w:val="none"/>
          <w:lang w:eastAsia="zh-CN"/>
        </w:rPr>
        <w:t>汉中市机关事务服务中心</w:t>
      </w:r>
    </w:p>
    <w:p w14:paraId="767B8C9E">
      <w:pPr>
        <w:spacing w:line="360" w:lineRule="auto"/>
        <w:jc w:val="center"/>
        <w:rPr>
          <w:rFonts w:hint="eastAsia" w:ascii="宋体" w:hAnsi="宋体" w:eastAsia="宋体"/>
          <w:b/>
          <w:bCs/>
          <w:caps w:val="0"/>
          <w:color w:val="auto"/>
          <w:sz w:val="44"/>
          <w:szCs w:val="44"/>
          <w:highlight w:val="none"/>
          <w:lang w:eastAsia="zh-CN"/>
        </w:rPr>
      </w:pPr>
      <w:r>
        <w:rPr>
          <w:rFonts w:hint="eastAsia" w:ascii="宋体" w:hAnsi="宋体" w:eastAsia="宋体"/>
          <w:b/>
          <w:bCs/>
          <w:caps w:val="0"/>
          <w:color w:val="auto"/>
          <w:sz w:val="44"/>
          <w:szCs w:val="44"/>
          <w:highlight w:val="none"/>
          <w:lang w:eastAsia="zh-CN"/>
        </w:rPr>
        <w:t>市级部门单位餐饮服务</w:t>
      </w:r>
    </w:p>
    <w:p w14:paraId="306E6B47">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b/>
          <w:bCs/>
          <w:caps w:val="0"/>
          <w:color w:val="auto"/>
          <w:sz w:val="52"/>
          <w:szCs w:val="52"/>
          <w:highlight w:val="none"/>
          <w:lang w:eastAsia="zh-CN"/>
        </w:rPr>
      </w:pPr>
    </w:p>
    <w:p w14:paraId="7919AE03">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b/>
          <w:bCs/>
          <w:caps w:val="0"/>
          <w:color w:val="auto"/>
          <w:sz w:val="52"/>
          <w:szCs w:val="52"/>
          <w:highlight w:val="none"/>
          <w:lang w:eastAsia="zh-CN"/>
        </w:rPr>
      </w:pPr>
    </w:p>
    <w:p w14:paraId="58949447">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b/>
          <w:bCs/>
          <w:caps w:val="0"/>
          <w:color w:val="auto"/>
          <w:sz w:val="52"/>
          <w:szCs w:val="52"/>
          <w:highlight w:val="none"/>
          <w:lang w:eastAsia="zh-CN"/>
        </w:rPr>
      </w:pPr>
      <w:r>
        <w:rPr>
          <w:rFonts w:hint="eastAsia" w:ascii="宋体" w:hAnsi="宋体" w:eastAsia="宋体"/>
          <w:b/>
          <w:bCs/>
          <w:caps w:val="0"/>
          <w:color w:val="auto"/>
          <w:sz w:val="52"/>
          <w:szCs w:val="52"/>
          <w:highlight w:val="none"/>
          <w:lang w:eastAsia="zh-CN"/>
        </w:rPr>
        <w:t>服务</w:t>
      </w:r>
      <w:r>
        <w:rPr>
          <w:rFonts w:hint="eastAsia" w:ascii="宋体" w:hAnsi="宋体"/>
          <w:b/>
          <w:bCs/>
          <w:caps w:val="0"/>
          <w:color w:val="auto"/>
          <w:sz w:val="52"/>
          <w:szCs w:val="52"/>
          <w:highlight w:val="none"/>
        </w:rPr>
        <w:t>合同</w:t>
      </w:r>
    </w:p>
    <w:p w14:paraId="5166BCF0">
      <w:pPr>
        <w:keepNext w:val="0"/>
        <w:keepLines w:val="0"/>
        <w:pageBreakBefore w:val="0"/>
        <w:widowControl/>
        <w:kinsoku w:val="0"/>
        <w:wordWrap/>
        <w:overflowPunct/>
        <w:topLinePunct w:val="0"/>
        <w:autoSpaceDE w:val="0"/>
        <w:autoSpaceDN w:val="0"/>
        <w:bidi w:val="0"/>
        <w:adjustRightInd w:val="0"/>
        <w:snapToGrid w:val="0"/>
        <w:spacing w:line="360" w:lineRule="auto"/>
        <w:ind w:firstLine="2801" w:firstLineChars="1000"/>
        <w:jc w:val="both"/>
        <w:textAlignment w:val="baseline"/>
        <w:rPr>
          <w:rFonts w:hint="eastAsia" w:ascii="宋体" w:hAnsi="宋体"/>
          <w:b/>
          <w:bCs/>
          <w:caps w:val="0"/>
          <w:color w:val="auto"/>
          <w:sz w:val="28"/>
          <w:szCs w:val="28"/>
          <w:highlight w:val="none"/>
        </w:rPr>
      </w:pPr>
      <w:r>
        <w:rPr>
          <w:rFonts w:hint="eastAsia" w:ascii="宋体" w:hAnsi="宋体"/>
          <w:b/>
          <w:bCs/>
          <w:caps w:val="0"/>
          <w:color w:val="auto"/>
          <w:sz w:val="28"/>
          <w:szCs w:val="28"/>
          <w:highlight w:val="none"/>
        </w:rPr>
        <w:t>项目编号：</w:t>
      </w:r>
      <w:r>
        <w:rPr>
          <w:rFonts w:hint="eastAsia" w:ascii="宋体" w:hAnsi="宋体"/>
          <w:b/>
          <w:bCs/>
          <w:caps w:val="0"/>
          <w:color w:val="auto"/>
          <w:sz w:val="28"/>
          <w:szCs w:val="28"/>
          <w:highlight w:val="none"/>
          <w:u w:val="single"/>
          <w:lang w:val="en-US" w:eastAsia="zh-CN"/>
        </w:rPr>
        <w:t xml:space="preserve">          </w:t>
      </w:r>
      <w:r>
        <w:rPr>
          <w:rFonts w:hint="eastAsia" w:ascii="宋体" w:hAnsi="宋体"/>
          <w:b/>
          <w:bCs/>
          <w:caps w:val="0"/>
          <w:color w:val="auto"/>
          <w:sz w:val="28"/>
          <w:szCs w:val="28"/>
          <w:highlight w:val="none"/>
        </w:rPr>
        <w:t xml:space="preserve"> </w:t>
      </w:r>
    </w:p>
    <w:p w14:paraId="513382B7">
      <w:pPr>
        <w:numPr>
          <w:ilvl w:val="0"/>
          <w:numId w:val="0"/>
        </w:numPr>
        <w:kinsoku w:val="0"/>
        <w:autoSpaceDE w:val="0"/>
        <w:autoSpaceDN w:val="0"/>
        <w:adjustRightInd w:val="0"/>
        <w:snapToGrid w:val="0"/>
        <w:spacing w:line="360" w:lineRule="auto"/>
        <w:jc w:val="center"/>
        <w:textAlignment w:val="baseline"/>
        <w:rPr>
          <w:rFonts w:hint="eastAsia" w:ascii="宋体" w:hAnsi="宋体" w:eastAsia="宋体" w:cs="宋体"/>
          <w:b/>
          <w:snapToGrid w:val="0"/>
          <w:color w:val="000000"/>
          <w:kern w:val="44"/>
          <w:sz w:val="44"/>
          <w:szCs w:val="21"/>
          <w:highlight w:val="none"/>
          <w:lang w:val="en-US" w:eastAsia="en-US" w:bidi="ar-SA"/>
        </w:rPr>
      </w:pPr>
    </w:p>
    <w:p w14:paraId="4792C48E">
      <w:pPr>
        <w:pStyle w:val="6"/>
        <w:rPr>
          <w:rFonts w:hint="eastAsia" w:ascii="宋体" w:hAnsi="宋体" w:eastAsia="宋体" w:cs="宋体"/>
          <w:b/>
          <w:snapToGrid w:val="0"/>
          <w:color w:val="000000"/>
          <w:kern w:val="44"/>
          <w:sz w:val="44"/>
          <w:szCs w:val="21"/>
          <w:highlight w:val="none"/>
          <w:lang w:val="en-US" w:eastAsia="en-US" w:bidi="ar-SA"/>
        </w:rPr>
      </w:pPr>
    </w:p>
    <w:p w14:paraId="42070DC2">
      <w:pPr>
        <w:pStyle w:val="6"/>
        <w:rPr>
          <w:rFonts w:hint="eastAsia" w:ascii="宋体" w:hAnsi="宋体" w:eastAsia="宋体" w:cs="宋体"/>
          <w:b/>
          <w:snapToGrid w:val="0"/>
          <w:color w:val="000000"/>
          <w:kern w:val="44"/>
          <w:sz w:val="44"/>
          <w:szCs w:val="21"/>
          <w:highlight w:val="none"/>
          <w:lang w:val="en-US" w:eastAsia="en-US" w:bidi="ar-SA"/>
        </w:rPr>
      </w:pPr>
    </w:p>
    <w:p w14:paraId="7C4A1383">
      <w:pPr>
        <w:numPr>
          <w:ilvl w:val="0"/>
          <w:numId w:val="0"/>
        </w:numPr>
        <w:spacing w:line="360" w:lineRule="auto"/>
        <w:jc w:val="left"/>
        <w:rPr>
          <w:rFonts w:hint="eastAsia" w:ascii="宋体" w:hAnsi="宋体"/>
          <w:sz w:val="24"/>
        </w:rPr>
      </w:pPr>
    </w:p>
    <w:p w14:paraId="6847CDE9">
      <w:pPr>
        <w:keepNext w:val="0"/>
        <w:keepLines w:val="0"/>
        <w:pageBreakBefore w:val="0"/>
        <w:widowControl/>
        <w:kinsoku w:val="0"/>
        <w:wordWrap/>
        <w:overflowPunct/>
        <w:topLinePunct w:val="0"/>
        <w:autoSpaceDE w:val="0"/>
        <w:autoSpaceDN w:val="0"/>
        <w:bidi w:val="0"/>
        <w:adjustRightInd w:val="0"/>
        <w:snapToGrid w:val="0"/>
        <w:spacing w:line="480" w:lineRule="auto"/>
        <w:ind w:firstLine="1446" w:firstLineChars="600"/>
        <w:jc w:val="left"/>
        <w:textAlignment w:val="baseline"/>
        <w:rPr>
          <w:rFonts w:hint="default" w:ascii="宋体" w:hAnsi="宋体" w:eastAsia="宋体"/>
          <w:b/>
          <w:bCs/>
          <w:sz w:val="24"/>
          <w:lang w:val="en-US" w:eastAsia="zh-CN"/>
        </w:rPr>
      </w:pPr>
      <w:r>
        <w:rPr>
          <w:rFonts w:hint="eastAsia" w:ascii="宋体" w:hAnsi="宋体" w:eastAsia="宋体"/>
          <w:b/>
          <w:bCs/>
          <w:sz w:val="24"/>
          <w:lang w:eastAsia="zh-CN"/>
        </w:rPr>
        <w:t>甲方名称</w:t>
      </w:r>
      <w:r>
        <w:rPr>
          <w:rFonts w:hint="eastAsia" w:ascii="宋体" w:hAnsi="宋体" w:eastAsia="宋体"/>
          <w:b/>
          <w:bCs/>
          <w:sz w:val="24"/>
          <w:lang w:val="en-US" w:eastAsia="zh-CN"/>
        </w:rPr>
        <w:t>:汉中市机关事务服务中心</w:t>
      </w:r>
    </w:p>
    <w:p w14:paraId="7C623544">
      <w:pPr>
        <w:keepNext w:val="0"/>
        <w:keepLines w:val="0"/>
        <w:pageBreakBefore w:val="0"/>
        <w:widowControl/>
        <w:kinsoku w:val="0"/>
        <w:wordWrap/>
        <w:overflowPunct/>
        <w:topLinePunct w:val="0"/>
        <w:autoSpaceDE w:val="0"/>
        <w:autoSpaceDN w:val="0"/>
        <w:bidi w:val="0"/>
        <w:adjustRightInd w:val="0"/>
        <w:snapToGrid w:val="0"/>
        <w:spacing w:line="480" w:lineRule="auto"/>
        <w:ind w:firstLine="1446" w:firstLineChars="600"/>
        <w:jc w:val="left"/>
        <w:textAlignment w:val="baseline"/>
        <w:rPr>
          <w:rFonts w:hint="eastAsia" w:ascii="宋体" w:hAnsi="宋体" w:eastAsia="宋体"/>
          <w:b/>
          <w:bCs/>
          <w:sz w:val="24"/>
          <w:lang w:val="en-US" w:eastAsia="zh-CN"/>
        </w:rPr>
      </w:pPr>
      <w:r>
        <w:rPr>
          <w:rFonts w:hint="eastAsia" w:ascii="宋体" w:hAnsi="宋体" w:eastAsia="宋体"/>
          <w:b/>
          <w:bCs/>
          <w:sz w:val="24"/>
          <w:lang w:val="en-US" w:eastAsia="zh-CN"/>
        </w:rPr>
        <w:t>乙方名称：</w:t>
      </w:r>
      <w:r>
        <w:rPr>
          <w:rFonts w:ascii="宋体" w:hAnsi="宋体"/>
          <w:b/>
          <w:bCs/>
          <w:sz w:val="24"/>
          <w:u w:val="single"/>
        </w:rPr>
        <w:t xml:space="preserve">                              </w:t>
      </w:r>
      <w:r>
        <w:rPr>
          <w:rFonts w:hint="eastAsia" w:ascii="宋体" w:hAnsi="宋体" w:eastAsia="宋体"/>
          <w:b/>
          <w:bCs/>
          <w:sz w:val="24"/>
          <w:u w:val="single"/>
          <w:lang w:val="en-US" w:eastAsia="zh-CN"/>
        </w:rPr>
        <w:t xml:space="preserve"> </w:t>
      </w:r>
    </w:p>
    <w:p w14:paraId="0906DD00">
      <w:pPr>
        <w:keepNext w:val="0"/>
        <w:keepLines w:val="0"/>
        <w:pageBreakBefore w:val="0"/>
        <w:widowControl/>
        <w:kinsoku w:val="0"/>
        <w:wordWrap/>
        <w:overflowPunct/>
        <w:topLinePunct w:val="0"/>
        <w:autoSpaceDE w:val="0"/>
        <w:autoSpaceDN w:val="0"/>
        <w:bidi w:val="0"/>
        <w:adjustRightInd w:val="0"/>
        <w:snapToGrid w:val="0"/>
        <w:spacing w:line="480" w:lineRule="auto"/>
        <w:ind w:firstLine="1441" w:firstLineChars="600"/>
        <w:jc w:val="left"/>
        <w:textAlignment w:val="baseline"/>
        <w:rPr>
          <w:rFonts w:hint="default" w:ascii="宋体" w:hAnsi="宋体" w:eastAsia="宋体"/>
          <w:b/>
          <w:bCs/>
          <w:sz w:val="24"/>
          <w:u w:val="single"/>
          <w:lang w:val="en-US" w:eastAsia="zh-CN"/>
        </w:rPr>
      </w:pPr>
      <w:r>
        <w:rPr>
          <w:rFonts w:hint="eastAsia" w:ascii="宋体" w:hAnsi="宋体"/>
          <w:b/>
          <w:bCs/>
          <w:sz w:val="24"/>
        </w:rPr>
        <w:t>签订时间：</w:t>
      </w:r>
      <w:r>
        <w:rPr>
          <w:rFonts w:hint="eastAsia" w:ascii="宋体" w:hAnsi="宋体" w:eastAsia="宋体"/>
          <w:b/>
          <w:bCs/>
          <w:sz w:val="24"/>
          <w:u w:val="single"/>
          <w:lang w:val="en-US" w:eastAsia="zh-CN"/>
        </w:rPr>
        <w:t>2025</w:t>
      </w:r>
      <w:r>
        <w:rPr>
          <w:rFonts w:hint="eastAsia" w:ascii="宋体" w:hAnsi="宋体" w:eastAsia="宋体"/>
          <w:b/>
          <w:bCs/>
          <w:sz w:val="24"/>
          <w:lang w:val="en-US" w:eastAsia="zh-CN"/>
        </w:rPr>
        <w:t>年</w:t>
      </w:r>
      <w:r>
        <w:rPr>
          <w:rFonts w:hint="eastAsia" w:ascii="宋体" w:hAnsi="宋体" w:eastAsia="宋体"/>
          <w:b/>
          <w:bCs/>
          <w:sz w:val="24"/>
          <w:u w:val="single"/>
          <w:lang w:val="en-US" w:eastAsia="zh-CN"/>
        </w:rPr>
        <w:t xml:space="preserve">     </w:t>
      </w:r>
      <w:r>
        <w:rPr>
          <w:rFonts w:hint="eastAsia" w:ascii="宋体" w:hAnsi="宋体" w:eastAsia="宋体"/>
          <w:b/>
          <w:bCs/>
          <w:sz w:val="24"/>
          <w:u w:val="none"/>
          <w:lang w:val="en-US" w:eastAsia="zh-CN"/>
        </w:rPr>
        <w:t>月</w:t>
      </w:r>
      <w:r>
        <w:rPr>
          <w:rFonts w:hint="eastAsia" w:ascii="宋体" w:hAnsi="宋体" w:eastAsia="宋体"/>
          <w:b/>
          <w:bCs/>
          <w:sz w:val="24"/>
          <w:u w:val="single"/>
          <w:lang w:val="en-US" w:eastAsia="zh-CN"/>
        </w:rPr>
        <w:t xml:space="preserve">     </w:t>
      </w:r>
      <w:r>
        <w:rPr>
          <w:rFonts w:hint="eastAsia" w:ascii="宋体" w:hAnsi="宋体" w:eastAsia="宋体"/>
          <w:b/>
          <w:bCs/>
          <w:sz w:val="24"/>
          <w:u w:val="none"/>
          <w:lang w:val="en-US" w:eastAsia="zh-CN"/>
        </w:rPr>
        <w:t>日</w:t>
      </w:r>
    </w:p>
    <w:p w14:paraId="58746058">
      <w:pPr>
        <w:ind w:firstLine="360" w:firstLineChars="150"/>
        <w:jc w:val="center"/>
        <w:rPr>
          <w:rFonts w:hint="eastAsia" w:ascii="宋体"/>
          <w:b/>
          <w:sz w:val="24"/>
          <w:highlight w:val="none"/>
          <w:lang w:val="zh-CN"/>
        </w:rPr>
      </w:pPr>
    </w:p>
    <w:p w14:paraId="402DF132">
      <w:pPr>
        <w:ind w:firstLine="360" w:firstLineChars="150"/>
        <w:jc w:val="center"/>
        <w:rPr>
          <w:highlight w:val="none"/>
        </w:rPr>
      </w:pPr>
      <w:r>
        <w:rPr>
          <w:rFonts w:hint="eastAsia" w:ascii="宋体"/>
          <w:b/>
          <w:sz w:val="24"/>
          <w:highlight w:val="none"/>
          <w:lang w:val="zh-CN"/>
        </w:rPr>
        <w:t>（此合同只作为参考，最终签订的合同以采购人确定的合同内容为准）</w:t>
      </w:r>
    </w:p>
    <w:p w14:paraId="7E0562D1">
      <w:pPr>
        <w:rPr>
          <w:rFonts w:hint="eastAsia" w:ascii="宋体" w:hAnsi="宋体"/>
          <w:b/>
          <w:sz w:val="24"/>
        </w:rPr>
      </w:pPr>
    </w:p>
    <w:p w14:paraId="6AE42106">
      <w:pPr>
        <w:rPr>
          <w:rFonts w:hint="eastAsia" w:ascii="宋体" w:hAnsi="宋体" w:eastAsia="宋体"/>
          <w:bCs/>
          <w:sz w:val="24"/>
          <w:highlight w:val="none"/>
          <w:lang w:eastAsia="zh-CN"/>
        </w:rPr>
      </w:pPr>
      <w:r>
        <w:rPr>
          <w:rFonts w:hint="eastAsia" w:ascii="宋体" w:hAnsi="宋体" w:eastAsia="宋体"/>
          <w:bCs/>
          <w:sz w:val="24"/>
          <w:highlight w:val="none"/>
          <w:lang w:eastAsia="zh-CN"/>
        </w:rPr>
        <w:br w:type="page"/>
      </w:r>
    </w:p>
    <w:p w14:paraId="5BFD4A0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bCs/>
          <w:sz w:val="24"/>
          <w:highlight w:val="none"/>
        </w:rPr>
      </w:pPr>
      <w:r>
        <w:rPr>
          <w:rFonts w:hint="eastAsia" w:ascii="宋体" w:hAnsi="宋体" w:eastAsia="宋体"/>
          <w:bCs/>
          <w:sz w:val="24"/>
          <w:highlight w:val="none"/>
          <w:lang w:eastAsia="zh-CN"/>
        </w:rPr>
        <w:t>汉中市机关事务服务中心</w:t>
      </w:r>
      <w:r>
        <w:rPr>
          <w:rFonts w:hint="eastAsia" w:ascii="宋体" w:hAnsi="宋体"/>
          <w:bCs/>
          <w:sz w:val="24"/>
          <w:highlight w:val="none"/>
        </w:rPr>
        <w:t>（以下简称甲方）</w:t>
      </w:r>
      <w:r>
        <w:rPr>
          <w:rFonts w:hint="eastAsia" w:ascii="宋体" w:hAnsi="宋体"/>
          <w:bCs/>
          <w:sz w:val="24"/>
          <w:highlight w:val="none"/>
          <w:shd w:val="clear" w:color="auto" w:fill="FFFFFF"/>
        </w:rPr>
        <w:t>经</w:t>
      </w:r>
      <w:r>
        <w:rPr>
          <w:rFonts w:hint="eastAsia" w:ascii="宋体" w:hAnsi="宋体"/>
          <w:bCs/>
          <w:sz w:val="24"/>
          <w:highlight w:val="none"/>
          <w:shd w:val="clear" w:color="auto" w:fill="FFFFFF"/>
          <w:lang w:eastAsia="zh-CN"/>
        </w:rPr>
        <w:t>政府</w:t>
      </w:r>
      <w:r>
        <w:rPr>
          <w:rFonts w:hint="eastAsia" w:ascii="宋体" w:hAnsi="宋体"/>
          <w:bCs/>
          <w:sz w:val="24"/>
          <w:highlight w:val="none"/>
          <w:shd w:val="clear" w:color="auto" w:fill="FFFFFF"/>
        </w:rPr>
        <w:t>采</w:t>
      </w:r>
      <w:r>
        <w:rPr>
          <w:rFonts w:hint="eastAsia" w:ascii="宋体" w:hAnsi="宋体"/>
          <w:bCs/>
          <w:sz w:val="24"/>
          <w:highlight w:val="none"/>
        </w:rPr>
        <w:t>购，选定</w:t>
      </w:r>
      <w:r>
        <w:rPr>
          <w:rFonts w:hint="eastAsia" w:ascii="宋体" w:hAnsi="宋体"/>
          <w:bCs/>
          <w:sz w:val="24"/>
          <w:highlight w:val="none"/>
          <w:u w:val="single"/>
        </w:rPr>
        <w:t xml:space="preserve">        公司</w:t>
      </w:r>
      <w:r>
        <w:rPr>
          <w:rFonts w:hint="eastAsia" w:ascii="宋体" w:hAnsi="宋体"/>
          <w:bCs/>
          <w:sz w:val="24"/>
          <w:highlight w:val="none"/>
        </w:rPr>
        <w:t>（以下简称乙方）为</w:t>
      </w:r>
      <w:r>
        <w:rPr>
          <w:rFonts w:hint="eastAsia" w:ascii="宋体" w:hAnsi="宋体" w:eastAsia="宋体"/>
          <w:bCs/>
          <w:sz w:val="24"/>
          <w:highlight w:val="none"/>
          <w:lang w:eastAsia="zh-CN"/>
        </w:rPr>
        <w:t>汉中市机关事务服务中心市级部门单位餐饮服务采购项目</w:t>
      </w:r>
      <w:r>
        <w:rPr>
          <w:rFonts w:hint="eastAsia" w:ascii="宋体" w:hAnsi="宋体"/>
          <w:bCs/>
          <w:sz w:val="24"/>
          <w:highlight w:val="none"/>
        </w:rPr>
        <w:t>成交</w:t>
      </w:r>
      <w:r>
        <w:rPr>
          <w:rFonts w:hint="eastAsia" w:ascii="宋体" w:hAnsi="宋体" w:eastAsia="宋体"/>
          <w:bCs/>
          <w:sz w:val="24"/>
          <w:highlight w:val="none"/>
          <w:lang w:eastAsia="zh-CN"/>
        </w:rPr>
        <w:t>供应商</w:t>
      </w:r>
      <w:r>
        <w:rPr>
          <w:rFonts w:hint="eastAsia" w:ascii="宋体" w:hAnsi="宋体"/>
          <w:bCs/>
          <w:sz w:val="24"/>
          <w:highlight w:val="none"/>
        </w:rPr>
        <w:t>。依据《中华人民共和国民法典》，经甲、乙双方共同协商，按下述条款和条件签署本合同。</w:t>
      </w:r>
    </w:p>
    <w:p w14:paraId="2C531930">
      <w:pPr>
        <w:keepNext w:val="0"/>
        <w:keepLines w:val="0"/>
        <w:pageBreakBefore w:val="0"/>
        <w:wordWrap w:val="0"/>
        <w:overflowPunct/>
        <w:topLinePunct w:val="0"/>
        <w:autoSpaceDE w:val="0"/>
        <w:autoSpaceDN w:val="0"/>
        <w:bidi w:val="0"/>
        <w:adjustRightInd w:val="0"/>
        <w:snapToGrid w:val="0"/>
        <w:spacing w:line="360" w:lineRule="auto"/>
        <w:ind w:left="0" w:firstLine="480" w:firstLineChars="200"/>
        <w:rPr>
          <w:rFonts w:ascii="宋体" w:hAnsi="宋体"/>
          <w:b/>
          <w:sz w:val="24"/>
        </w:rPr>
      </w:pPr>
      <w:r>
        <w:rPr>
          <w:rFonts w:hint="eastAsia" w:ascii="宋体" w:hAnsi="宋体"/>
          <w:b/>
          <w:sz w:val="24"/>
        </w:rPr>
        <w:t>第一条、项目基本情况</w:t>
      </w:r>
    </w:p>
    <w:p w14:paraId="61CA4E1F">
      <w:pPr>
        <w:keepNext w:val="0"/>
        <w:keepLines w:val="0"/>
        <w:pageBreakBefore w:val="0"/>
        <w:overflowPunct/>
        <w:topLinePunct w:val="0"/>
        <w:bidi w:val="0"/>
        <w:adjustRightInd w:val="0"/>
        <w:snapToGrid w:val="0"/>
        <w:spacing w:line="360" w:lineRule="auto"/>
        <w:ind w:left="0" w:firstLine="480" w:firstLineChars="200"/>
        <w:rPr>
          <w:rFonts w:ascii="宋体" w:hAnsi="宋体"/>
          <w:b/>
          <w:sz w:val="24"/>
        </w:rPr>
      </w:pPr>
      <w:r>
        <w:rPr>
          <w:rFonts w:ascii="宋体" w:hAnsi="宋体"/>
          <w:sz w:val="24"/>
          <w:u w:val="single"/>
        </w:rPr>
        <w:t xml:space="preserve">                                                                             </w:t>
      </w:r>
    </w:p>
    <w:p w14:paraId="7C8FED17">
      <w:pPr>
        <w:keepNext w:val="0"/>
        <w:keepLines w:val="0"/>
        <w:pageBreakBefore w:val="0"/>
        <w:wordWrap w:val="0"/>
        <w:overflowPunct/>
        <w:topLinePunct w:val="0"/>
        <w:autoSpaceDE w:val="0"/>
        <w:autoSpaceDN w:val="0"/>
        <w:bidi w:val="0"/>
        <w:adjustRightInd w:val="0"/>
        <w:snapToGrid w:val="0"/>
        <w:spacing w:line="360" w:lineRule="auto"/>
        <w:ind w:left="0" w:firstLine="480" w:firstLineChars="200"/>
        <w:rPr>
          <w:rFonts w:ascii="宋体" w:hAnsi="宋体"/>
          <w:b/>
          <w:sz w:val="24"/>
        </w:rPr>
      </w:pPr>
      <w:r>
        <w:rPr>
          <w:rFonts w:hint="eastAsia" w:ascii="宋体" w:hAnsi="宋体"/>
          <w:b/>
          <w:sz w:val="24"/>
        </w:rPr>
        <w:t>第二条、合同期限</w:t>
      </w:r>
    </w:p>
    <w:p w14:paraId="271825A0">
      <w:pPr>
        <w:keepNext w:val="0"/>
        <w:keepLines w:val="0"/>
        <w:pageBreakBefore w:val="0"/>
        <w:overflowPunct/>
        <w:topLinePunct w:val="0"/>
        <w:bidi w:val="0"/>
        <w:adjustRightInd w:val="0"/>
        <w:snapToGrid w:val="0"/>
        <w:spacing w:line="360" w:lineRule="auto"/>
        <w:ind w:left="0" w:firstLine="480" w:firstLineChars="200"/>
        <w:rPr>
          <w:rFonts w:hint="eastAsia" w:ascii="宋体" w:hAnsi="宋体"/>
          <w:b/>
          <w:sz w:val="24"/>
        </w:rPr>
      </w:pPr>
      <w:r>
        <w:rPr>
          <w:rFonts w:hint="eastAsia" w:ascii="宋体" w:hAnsi="宋体" w:eastAsia="宋体"/>
          <w:sz w:val="24"/>
          <w:u w:val="single"/>
          <w:lang w:eastAsia="zh-CN"/>
        </w:rPr>
        <w:t>自合同签订之日起</w:t>
      </w:r>
      <w:r>
        <w:rPr>
          <w:rFonts w:hint="eastAsia" w:ascii="宋体" w:hAnsi="宋体" w:eastAsia="宋体"/>
          <w:sz w:val="24"/>
          <w:u w:val="single"/>
          <w:lang w:val="en-US" w:eastAsia="zh-CN"/>
        </w:rPr>
        <w:t>1年</w:t>
      </w:r>
    </w:p>
    <w:p w14:paraId="425C1BC9">
      <w:pPr>
        <w:keepNext w:val="0"/>
        <w:keepLines w:val="0"/>
        <w:pageBreakBefore w:val="0"/>
        <w:overflowPunct/>
        <w:topLinePunct w:val="0"/>
        <w:bidi w:val="0"/>
        <w:adjustRightInd w:val="0"/>
        <w:snapToGrid w:val="0"/>
        <w:spacing w:line="360" w:lineRule="auto"/>
        <w:ind w:left="0" w:firstLine="480" w:firstLineChars="200"/>
        <w:jc w:val="left"/>
        <w:rPr>
          <w:rFonts w:hint="eastAsia" w:ascii="宋体" w:hAnsi="宋体"/>
          <w:b/>
          <w:sz w:val="24"/>
        </w:rPr>
      </w:pPr>
      <w:bookmarkStart w:id="0" w:name="_Toc251768862"/>
      <w:bookmarkStart w:id="1" w:name="_Toc247334841"/>
      <w:bookmarkStart w:id="2" w:name="_Toc211854449"/>
      <w:bookmarkStart w:id="3" w:name="_Toc283019214"/>
      <w:bookmarkStart w:id="4" w:name="_Toc239568418"/>
      <w:bookmarkStart w:id="5" w:name="_Toc225670751"/>
      <w:bookmarkStart w:id="6" w:name="_Toc238984975"/>
      <w:bookmarkStart w:id="7" w:name="_Toc211911348"/>
      <w:bookmarkStart w:id="8" w:name="_Toc239233914"/>
      <w:bookmarkStart w:id="9" w:name="_Toc225654644"/>
      <w:bookmarkStart w:id="10" w:name="_Toc286993786"/>
      <w:bookmarkStart w:id="11" w:name="_Toc212019594"/>
      <w:bookmarkStart w:id="12" w:name="_Toc225244852"/>
      <w:bookmarkStart w:id="13" w:name="_Toc241833903"/>
      <w:bookmarkStart w:id="14" w:name="_Toc237145406"/>
      <w:bookmarkStart w:id="15" w:name="_Toc282696226"/>
      <w:bookmarkStart w:id="16" w:name="_Toc185395249"/>
      <w:bookmarkStart w:id="17" w:name="_Toc232492928"/>
      <w:r>
        <w:rPr>
          <w:rFonts w:hint="eastAsia" w:ascii="宋体" w:hAnsi="宋体"/>
          <w:b/>
          <w:sz w:val="24"/>
        </w:rPr>
        <w:t>第三条、合同价格</w:t>
      </w:r>
    </w:p>
    <w:p w14:paraId="51A53C41">
      <w:pPr>
        <w:keepNext w:val="0"/>
        <w:keepLines w:val="0"/>
        <w:pageBreakBefore w:val="0"/>
        <w:overflowPunct/>
        <w:topLinePunct w:val="0"/>
        <w:bidi w:val="0"/>
        <w:adjustRightInd w:val="0"/>
        <w:snapToGrid w:val="0"/>
        <w:spacing w:line="360" w:lineRule="auto"/>
        <w:ind w:left="0" w:firstLine="480" w:firstLineChars="200"/>
        <w:jc w:val="left"/>
        <w:rPr>
          <w:rFonts w:hint="eastAsia" w:ascii="宋体" w:hAnsi="宋体"/>
          <w:sz w:val="24"/>
        </w:rPr>
      </w:pPr>
      <w:r>
        <w:rPr>
          <w:rFonts w:hint="eastAsia" w:ascii="宋体" w:hAnsi="宋体"/>
          <w:sz w:val="24"/>
        </w:rPr>
        <w:t>合同总价：</w:t>
      </w:r>
      <w:r>
        <w:rPr>
          <w:rFonts w:hint="eastAsia" w:ascii="宋体" w:hAnsi="宋体"/>
          <w:sz w:val="24"/>
          <w:u w:val="single"/>
        </w:rPr>
        <w:t xml:space="preserve">人民币       元整（¥         元） </w:t>
      </w:r>
    </w:p>
    <w:p w14:paraId="17CA02A8">
      <w:pPr>
        <w:keepNext w:val="0"/>
        <w:keepLines w:val="0"/>
        <w:pageBreakBefore w:val="0"/>
        <w:overflowPunct/>
        <w:topLinePunct w:val="0"/>
        <w:bidi w:val="0"/>
        <w:adjustRightInd w:val="0"/>
        <w:snapToGrid w:val="0"/>
        <w:spacing w:line="360" w:lineRule="auto"/>
        <w:ind w:left="0" w:firstLine="480" w:firstLineChars="200"/>
        <w:jc w:val="left"/>
        <w:rPr>
          <w:rFonts w:hint="eastAsia" w:ascii="宋体" w:hAnsi="宋体"/>
          <w:sz w:val="24"/>
          <w:highlight w:val="none"/>
        </w:rPr>
      </w:pPr>
      <w:r>
        <w:rPr>
          <w:rFonts w:hint="eastAsia" w:ascii="宋体" w:hAnsi="宋体"/>
          <w:sz w:val="24"/>
        </w:rPr>
        <w:t>说明：包括人员成本、利润、税收及负担服务本项目所有员工的工资、奖金、福利、医疗、社保、住宿和交通等一切费用</w:t>
      </w:r>
      <w:r>
        <w:rPr>
          <w:rFonts w:hint="eastAsia" w:ascii="宋体" w:hAnsi="宋体" w:eastAsia="宋体"/>
          <w:sz w:val="24"/>
          <w:lang w:eastAsia="zh-CN"/>
        </w:rPr>
        <w:t>，</w:t>
      </w:r>
      <w:r>
        <w:rPr>
          <w:rFonts w:hint="eastAsia" w:ascii="宋体" w:hAnsi="宋体"/>
          <w:sz w:val="24"/>
        </w:rPr>
        <w:t>受市场</w:t>
      </w:r>
      <w:r>
        <w:rPr>
          <w:rFonts w:hint="eastAsia" w:ascii="宋体" w:hAnsi="宋体"/>
          <w:sz w:val="24"/>
          <w:highlight w:val="none"/>
        </w:rPr>
        <w:t>价格变化的影响，服务质量按月考核作为结算的唯一依据。</w:t>
      </w:r>
    </w:p>
    <w:p w14:paraId="41584C76">
      <w:pPr>
        <w:keepNext w:val="0"/>
        <w:keepLines w:val="0"/>
        <w:pageBreakBefore w:val="0"/>
        <w:overflowPunct/>
        <w:topLinePunct w:val="0"/>
        <w:bidi w:val="0"/>
        <w:adjustRightInd w:val="0"/>
        <w:snapToGrid w:val="0"/>
        <w:spacing w:line="360" w:lineRule="auto"/>
        <w:ind w:left="0" w:firstLine="480" w:firstLineChars="200"/>
        <w:jc w:val="left"/>
        <w:rPr>
          <w:rFonts w:hint="eastAsia" w:ascii="宋体" w:hAnsi="宋体"/>
          <w:b/>
          <w:sz w:val="24"/>
          <w:highlight w:val="none"/>
        </w:rPr>
      </w:pPr>
      <w:r>
        <w:rPr>
          <w:rFonts w:hint="eastAsia" w:ascii="宋体" w:hAnsi="宋体"/>
          <w:b/>
          <w:sz w:val="24"/>
          <w:highlight w:val="none"/>
        </w:rPr>
        <w:t>第四条、合同款项支付</w:t>
      </w:r>
    </w:p>
    <w:p w14:paraId="4E94C6E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sz w:val="24"/>
          <w:highlight w:val="none"/>
        </w:rPr>
      </w:pPr>
      <w:r>
        <w:rPr>
          <w:rFonts w:hint="eastAsia" w:ascii="宋体" w:hAnsi="宋体"/>
          <w:sz w:val="24"/>
          <w:highlight w:val="none"/>
        </w:rPr>
        <w:t>付款方式：服务</w:t>
      </w:r>
      <w:r>
        <w:rPr>
          <w:rFonts w:hint="eastAsia" w:ascii="宋体" w:hAnsi="宋体" w:eastAsia="宋体"/>
          <w:sz w:val="24"/>
          <w:highlight w:val="none"/>
          <w:lang w:val="en-US" w:eastAsia="zh-CN"/>
        </w:rPr>
        <w:t>每半年</w:t>
      </w:r>
      <w:r>
        <w:rPr>
          <w:rFonts w:hint="eastAsia" w:ascii="宋体" w:hAnsi="宋体"/>
          <w:sz w:val="24"/>
          <w:highlight w:val="none"/>
        </w:rPr>
        <w:t>付款，考核达标后供应商开具等额的增值税发票，采购人按发票金额付款。</w:t>
      </w:r>
    </w:p>
    <w:p w14:paraId="14CF6FF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sz w:val="24"/>
          <w:highlight w:val="none"/>
          <w:lang w:eastAsia="zh-CN"/>
        </w:rPr>
      </w:pPr>
      <w:r>
        <w:rPr>
          <w:rFonts w:hint="eastAsia" w:ascii="宋体" w:hAnsi="宋体"/>
          <w:sz w:val="24"/>
          <w:highlight w:val="none"/>
        </w:rPr>
        <w:t>付款条件说明：采购人每月对承包商进行考核评价，考核结果作为付款依据。</w:t>
      </w:r>
      <w:r>
        <w:rPr>
          <w:rFonts w:hint="eastAsia" w:ascii="宋体" w:hAnsi="宋体" w:eastAsia="宋体"/>
          <w:sz w:val="24"/>
          <w:highlight w:val="none"/>
          <w:lang w:val="en-US" w:eastAsia="zh-CN"/>
        </w:rPr>
        <w:t>每半年支付一次费用</w:t>
      </w:r>
      <w:r>
        <w:rPr>
          <w:rFonts w:hint="eastAsia" w:ascii="宋体" w:hAnsi="宋体"/>
          <w:sz w:val="24"/>
          <w:highlight w:val="none"/>
        </w:rPr>
        <w:t>，甲方根据日常抽查情况及</w:t>
      </w:r>
      <w:r>
        <w:rPr>
          <w:rFonts w:hint="eastAsia" w:ascii="宋体" w:hAnsi="宋体" w:eastAsia="宋体"/>
          <w:sz w:val="24"/>
          <w:highlight w:val="none"/>
          <w:lang w:val="en-US" w:eastAsia="zh-CN"/>
        </w:rPr>
        <w:t>每</w:t>
      </w:r>
      <w:r>
        <w:rPr>
          <w:rFonts w:hint="eastAsia" w:ascii="宋体" w:hAnsi="宋体"/>
          <w:sz w:val="24"/>
          <w:highlight w:val="none"/>
        </w:rPr>
        <w:t>月末考核检查对承包商团队进行评分，考核为优秀，全额支付</w:t>
      </w:r>
      <w:r>
        <w:rPr>
          <w:rFonts w:hint="eastAsia" w:ascii="宋体" w:hAnsi="宋体" w:eastAsia="宋体"/>
          <w:sz w:val="24"/>
          <w:highlight w:val="none"/>
          <w:lang w:val="en-US" w:eastAsia="zh-CN"/>
        </w:rPr>
        <w:t>半年</w:t>
      </w:r>
      <w:r>
        <w:rPr>
          <w:rFonts w:hint="eastAsia" w:ascii="宋体" w:hAnsi="宋体"/>
          <w:sz w:val="24"/>
          <w:highlight w:val="none"/>
        </w:rPr>
        <w:t>约定支付的劳务费用；考核为合格，对甲方提出的问题乙方组织及时整改的全额支付</w:t>
      </w:r>
      <w:r>
        <w:rPr>
          <w:rFonts w:hint="eastAsia" w:ascii="宋体" w:hAnsi="宋体" w:eastAsia="宋体"/>
          <w:sz w:val="24"/>
          <w:highlight w:val="none"/>
          <w:lang w:val="en-US" w:eastAsia="zh-CN"/>
        </w:rPr>
        <w:t>半年</w:t>
      </w:r>
      <w:r>
        <w:rPr>
          <w:rFonts w:hint="eastAsia" w:ascii="宋体" w:hAnsi="宋体"/>
          <w:sz w:val="24"/>
          <w:highlight w:val="none"/>
        </w:rPr>
        <w:t>的劳务费用，如乙方未按期及时整改的支付</w:t>
      </w:r>
      <w:r>
        <w:rPr>
          <w:rFonts w:hint="eastAsia" w:ascii="宋体" w:hAnsi="宋体" w:eastAsia="宋体"/>
          <w:sz w:val="24"/>
          <w:highlight w:val="none"/>
          <w:lang w:val="en-US" w:eastAsia="zh-CN"/>
        </w:rPr>
        <w:t>半年</w:t>
      </w:r>
      <w:r>
        <w:rPr>
          <w:rFonts w:hint="eastAsia" w:ascii="宋体" w:hAnsi="宋体"/>
          <w:sz w:val="24"/>
          <w:highlight w:val="none"/>
        </w:rPr>
        <w:t>的80%劳务费用；考核为不合格，支付</w:t>
      </w:r>
      <w:r>
        <w:rPr>
          <w:rFonts w:hint="eastAsia" w:ascii="宋体" w:hAnsi="宋体" w:eastAsia="宋体"/>
          <w:sz w:val="24"/>
          <w:highlight w:val="none"/>
          <w:lang w:val="en-US" w:eastAsia="zh-CN"/>
        </w:rPr>
        <w:t>半年</w:t>
      </w:r>
      <w:r>
        <w:rPr>
          <w:rFonts w:hint="eastAsia" w:ascii="宋体" w:hAnsi="宋体"/>
          <w:sz w:val="24"/>
          <w:highlight w:val="none"/>
        </w:rPr>
        <w:t>的50%劳务费用；累计三个月考核不合格甲方有权解除合同</w:t>
      </w:r>
      <w:r>
        <w:rPr>
          <w:rFonts w:hint="eastAsia" w:ascii="宋体" w:hAnsi="宋体" w:eastAsia="宋体"/>
          <w:sz w:val="24"/>
          <w:highlight w:val="none"/>
          <w:lang w:eastAsia="zh-CN"/>
        </w:rPr>
        <w:t>。</w:t>
      </w:r>
    </w:p>
    <w:p w14:paraId="6050EFD5">
      <w:pPr>
        <w:keepNext w:val="0"/>
        <w:keepLines w:val="0"/>
        <w:pageBreakBefore w:val="0"/>
        <w:wordWrap w:val="0"/>
        <w:overflowPunct/>
        <w:topLinePunct w:val="0"/>
        <w:autoSpaceDE w:val="0"/>
        <w:autoSpaceDN w:val="0"/>
        <w:bidi w:val="0"/>
        <w:adjustRightInd w:val="0"/>
        <w:snapToGrid w:val="0"/>
        <w:spacing w:line="360" w:lineRule="auto"/>
        <w:ind w:left="0" w:firstLine="480" w:firstLineChars="200"/>
        <w:rPr>
          <w:rFonts w:ascii="宋体" w:hAnsi="宋体"/>
          <w:b/>
          <w:sz w:val="24"/>
          <w:highlight w:val="none"/>
        </w:rPr>
      </w:pPr>
      <w:r>
        <w:rPr>
          <w:rFonts w:hint="eastAsia" w:ascii="宋体" w:hAnsi="宋体"/>
          <w:b/>
          <w:sz w:val="24"/>
          <w:highlight w:val="none"/>
        </w:rPr>
        <w:t>第五条、服务内容与质量标准</w:t>
      </w:r>
    </w:p>
    <w:p w14:paraId="35F6F52D">
      <w:pPr>
        <w:keepNext w:val="0"/>
        <w:keepLines w:val="0"/>
        <w:pageBreakBefore w:val="0"/>
        <w:overflowPunct/>
        <w:topLinePunct w:val="0"/>
        <w:bidi w:val="0"/>
        <w:adjustRightInd w:val="0"/>
        <w:snapToGrid w:val="0"/>
        <w:spacing w:line="360" w:lineRule="auto"/>
        <w:ind w:left="0" w:firstLine="480" w:firstLineChars="200"/>
        <w:rPr>
          <w:rFonts w:hint="eastAsia" w:ascii="宋体" w:hAnsi="宋体"/>
          <w:b/>
          <w:sz w:val="24"/>
        </w:rPr>
      </w:pPr>
      <w:r>
        <w:rPr>
          <w:rFonts w:ascii="宋体" w:hAnsi="宋体"/>
          <w:sz w:val="24"/>
        </w:rPr>
        <w:t>1</w:t>
      </w:r>
      <w:r>
        <w:rPr>
          <w:rFonts w:hint="eastAsia" w:ascii="宋体" w:hAnsi="宋体" w:eastAsia="宋体"/>
          <w:sz w:val="24"/>
          <w:lang w:eastAsia="zh-CN"/>
        </w:rPr>
        <w:t>.</w:t>
      </w:r>
      <w:r>
        <w:rPr>
          <w:rFonts w:ascii="宋体" w:hAnsi="宋体"/>
          <w:sz w:val="24"/>
          <w:u w:val="single"/>
        </w:rPr>
        <w:t xml:space="preserve">                                                        </w:t>
      </w:r>
    </w:p>
    <w:p w14:paraId="390A3F66">
      <w:pPr>
        <w:keepNext w:val="0"/>
        <w:keepLines w:val="0"/>
        <w:pageBreakBefore w:val="0"/>
        <w:overflowPunct/>
        <w:topLinePunct w:val="0"/>
        <w:bidi w:val="0"/>
        <w:adjustRightInd w:val="0"/>
        <w:snapToGrid w:val="0"/>
        <w:spacing w:line="360" w:lineRule="auto"/>
        <w:ind w:left="0" w:firstLine="480" w:firstLineChars="200"/>
        <w:rPr>
          <w:rFonts w:hint="eastAsia" w:ascii="宋体" w:hAnsi="宋体"/>
          <w:b/>
          <w:sz w:val="24"/>
        </w:rPr>
      </w:pPr>
      <w:r>
        <w:rPr>
          <w:rFonts w:ascii="宋体" w:hAnsi="宋体"/>
          <w:sz w:val="24"/>
        </w:rPr>
        <w:t>2</w:t>
      </w:r>
      <w:r>
        <w:rPr>
          <w:rFonts w:hint="eastAsia" w:ascii="宋体" w:hAnsi="宋体" w:eastAsia="宋体"/>
          <w:sz w:val="24"/>
          <w:lang w:eastAsia="zh-CN"/>
        </w:rPr>
        <w:t>.</w:t>
      </w:r>
      <w:r>
        <w:rPr>
          <w:rFonts w:ascii="宋体" w:hAnsi="宋体"/>
          <w:sz w:val="24"/>
          <w:u w:val="single"/>
        </w:rPr>
        <w:t xml:space="preserve">                                                        </w:t>
      </w:r>
    </w:p>
    <w:p w14:paraId="1E06B572">
      <w:pPr>
        <w:keepNext w:val="0"/>
        <w:keepLines w:val="0"/>
        <w:pageBreakBefore w:val="0"/>
        <w:overflowPunct/>
        <w:topLinePunct w:val="0"/>
        <w:bidi w:val="0"/>
        <w:adjustRightInd w:val="0"/>
        <w:snapToGrid w:val="0"/>
        <w:spacing w:line="360" w:lineRule="auto"/>
        <w:ind w:left="0" w:firstLine="480" w:firstLineChars="200"/>
        <w:rPr>
          <w:rFonts w:hint="eastAsia" w:ascii="宋体" w:hAnsi="宋体"/>
          <w:b/>
          <w:sz w:val="24"/>
        </w:rPr>
      </w:pPr>
      <w:r>
        <w:rPr>
          <w:rFonts w:ascii="宋体" w:hAnsi="宋体"/>
          <w:sz w:val="24"/>
        </w:rPr>
        <w:t>3</w:t>
      </w:r>
      <w:r>
        <w:rPr>
          <w:rFonts w:hint="eastAsia" w:ascii="宋体" w:hAnsi="宋体" w:eastAsia="宋体"/>
          <w:sz w:val="24"/>
          <w:lang w:eastAsia="zh-CN"/>
        </w:rPr>
        <w:t>.</w:t>
      </w:r>
      <w:r>
        <w:rPr>
          <w:rFonts w:ascii="宋体" w:hAnsi="宋体"/>
          <w:sz w:val="24"/>
          <w:u w:val="single"/>
        </w:rPr>
        <w:t xml:space="preserve">                                                        </w:t>
      </w:r>
    </w:p>
    <w:p w14:paraId="4AEE6175">
      <w:pPr>
        <w:keepNext w:val="0"/>
        <w:keepLines w:val="0"/>
        <w:pageBreakBefore w:val="0"/>
        <w:wordWrap w:val="0"/>
        <w:overflowPunct/>
        <w:topLinePunct w:val="0"/>
        <w:autoSpaceDE w:val="0"/>
        <w:autoSpaceDN w:val="0"/>
        <w:bidi w:val="0"/>
        <w:adjustRightInd w:val="0"/>
        <w:snapToGrid w:val="0"/>
        <w:spacing w:line="360" w:lineRule="auto"/>
        <w:ind w:left="0" w:firstLine="480" w:firstLineChars="200"/>
        <w:rPr>
          <w:rFonts w:ascii="宋体" w:hAnsi="宋体"/>
          <w:b/>
          <w:sz w:val="24"/>
        </w:rPr>
      </w:pPr>
      <w:r>
        <w:rPr>
          <w:rFonts w:hint="eastAsia" w:ascii="宋体" w:hAnsi="宋体"/>
          <w:b/>
          <w:sz w:val="24"/>
        </w:rPr>
        <w:t>第六条、知识产权</w:t>
      </w:r>
    </w:p>
    <w:p w14:paraId="77965AFE">
      <w:pPr>
        <w:keepNext w:val="0"/>
        <w:keepLines w:val="0"/>
        <w:pageBreakBefore w:val="0"/>
        <w:overflowPunct/>
        <w:topLinePunct w:val="0"/>
        <w:bidi w:val="0"/>
        <w:adjustRightInd w:val="0"/>
        <w:snapToGrid w:val="0"/>
        <w:spacing w:line="360" w:lineRule="auto"/>
        <w:ind w:left="0" w:firstLine="480" w:firstLineChars="200"/>
        <w:rPr>
          <w:rFonts w:ascii="宋体" w:hAnsi="宋体"/>
          <w:sz w:val="24"/>
        </w:rPr>
      </w:pPr>
      <w:r>
        <w:rPr>
          <w:rFonts w:hint="eastAsia" w:ascii="宋体" w:hAnsi="宋体"/>
          <w:sz w:val="24"/>
        </w:rPr>
        <w:t>乙方应保证所提供的服务或其任何一部分均不会侵犯任何第三方的专利权、商标权或著作权。</w:t>
      </w:r>
    </w:p>
    <w:p w14:paraId="2784D584">
      <w:pPr>
        <w:keepNext w:val="0"/>
        <w:keepLines w:val="0"/>
        <w:pageBreakBefore w:val="0"/>
        <w:wordWrap w:val="0"/>
        <w:overflowPunct/>
        <w:topLinePunct w:val="0"/>
        <w:autoSpaceDE w:val="0"/>
        <w:autoSpaceDN w:val="0"/>
        <w:bidi w:val="0"/>
        <w:adjustRightInd w:val="0"/>
        <w:snapToGrid w:val="0"/>
        <w:spacing w:line="360" w:lineRule="auto"/>
        <w:ind w:left="0" w:firstLine="480" w:firstLineChars="200"/>
        <w:rPr>
          <w:rFonts w:ascii="宋体" w:hAnsi="宋体"/>
          <w:b/>
          <w:sz w:val="24"/>
        </w:rPr>
      </w:pPr>
      <w:r>
        <w:rPr>
          <w:rFonts w:hint="eastAsia" w:ascii="宋体" w:hAnsi="宋体"/>
          <w:b/>
          <w:sz w:val="24"/>
        </w:rPr>
        <w:t>第七条、无产权瑕疵条款</w:t>
      </w:r>
    </w:p>
    <w:p w14:paraId="5E58909B">
      <w:pPr>
        <w:keepNext w:val="0"/>
        <w:keepLines w:val="0"/>
        <w:pageBreakBefore w:val="0"/>
        <w:overflowPunct/>
        <w:topLinePunct w:val="0"/>
        <w:bidi w:val="0"/>
        <w:adjustRightInd w:val="0"/>
        <w:snapToGrid w:val="0"/>
        <w:spacing w:line="360" w:lineRule="auto"/>
        <w:ind w:left="0" w:firstLine="480" w:firstLineChars="200"/>
        <w:rPr>
          <w:rFonts w:ascii="宋体" w:hAnsi="宋体"/>
          <w:sz w:val="24"/>
        </w:rPr>
      </w:pPr>
      <w:r>
        <w:rPr>
          <w:rFonts w:hint="eastAsia" w:ascii="宋体" w:hAnsi="宋体"/>
          <w:sz w:val="24"/>
        </w:rPr>
        <w:t>乙方保证所提供的服务的所有权完全属于乙方且无任何抵押、查封等产权瑕疵。如有产权瑕疵的，视为乙方违约。乙方应负担由此而产生的一切损失。</w:t>
      </w:r>
    </w:p>
    <w:p w14:paraId="514DBF6B">
      <w:pPr>
        <w:keepNext w:val="0"/>
        <w:keepLines w:val="0"/>
        <w:pageBreakBefore w:val="0"/>
        <w:wordWrap w:val="0"/>
        <w:overflowPunct/>
        <w:topLinePunct w:val="0"/>
        <w:autoSpaceDE w:val="0"/>
        <w:autoSpaceDN w:val="0"/>
        <w:bidi w:val="0"/>
        <w:adjustRightInd w:val="0"/>
        <w:snapToGrid w:val="0"/>
        <w:spacing w:line="360" w:lineRule="auto"/>
        <w:ind w:left="0" w:firstLine="480" w:firstLineChars="200"/>
        <w:rPr>
          <w:rFonts w:ascii="宋体" w:hAnsi="宋体"/>
          <w:b/>
          <w:sz w:val="24"/>
        </w:rPr>
      </w:pPr>
      <w:r>
        <w:rPr>
          <w:rFonts w:hint="eastAsia" w:ascii="宋体" w:hAnsi="宋体"/>
          <w:b/>
          <w:sz w:val="24"/>
        </w:rPr>
        <w:t>第</w:t>
      </w:r>
      <w:r>
        <w:rPr>
          <w:rFonts w:hint="eastAsia" w:ascii="宋体" w:hAnsi="宋体" w:eastAsia="宋体"/>
          <w:b/>
          <w:sz w:val="24"/>
          <w:lang w:eastAsia="zh-CN"/>
        </w:rPr>
        <w:t>八</w:t>
      </w:r>
      <w:r>
        <w:rPr>
          <w:rFonts w:hint="eastAsia" w:ascii="宋体" w:hAnsi="宋体"/>
          <w:b/>
          <w:sz w:val="24"/>
        </w:rPr>
        <w:t>条、甲方的权利和义务</w:t>
      </w:r>
    </w:p>
    <w:p w14:paraId="062C0FC8">
      <w:pPr>
        <w:keepNext w:val="0"/>
        <w:keepLines w:val="0"/>
        <w:pageBreakBefore w:val="0"/>
        <w:overflowPunct/>
        <w:topLinePunct w:val="0"/>
        <w:bidi w:val="0"/>
        <w:adjustRightInd w:val="0"/>
        <w:snapToGrid w:val="0"/>
        <w:spacing w:line="360" w:lineRule="auto"/>
        <w:ind w:left="0" w:firstLine="480" w:firstLineChars="200"/>
        <w:rPr>
          <w:rFonts w:ascii="宋体" w:hAnsi="宋体"/>
          <w:bCs/>
          <w:sz w:val="24"/>
        </w:rPr>
      </w:pPr>
      <w:r>
        <w:rPr>
          <w:rFonts w:ascii="宋体" w:hAnsi="宋体"/>
          <w:bCs/>
          <w:sz w:val="24"/>
        </w:rPr>
        <w:t>1</w:t>
      </w:r>
      <w:r>
        <w:rPr>
          <w:rFonts w:hint="eastAsia" w:ascii="宋体" w:hAnsi="宋体" w:eastAsia="宋体"/>
          <w:bCs/>
          <w:sz w:val="24"/>
          <w:lang w:eastAsia="zh-CN"/>
        </w:rPr>
        <w:t>.</w:t>
      </w:r>
      <w:r>
        <w:rPr>
          <w:rFonts w:hint="eastAsia" w:ascii="宋体" w:hAnsi="宋体"/>
          <w:bCs/>
          <w:sz w:val="24"/>
        </w:rPr>
        <w:t>甲方有权对合同规定范围内乙方的服务行为进行监督和检查，拥有监管权。有权定期核对乙方提供服务所配备的人员数量。对甲方认为不合理的部分有权下达整改通知书，并要求乙方限期整改。</w:t>
      </w:r>
    </w:p>
    <w:p w14:paraId="1947E7EB">
      <w:pPr>
        <w:keepNext w:val="0"/>
        <w:keepLines w:val="0"/>
        <w:pageBreakBefore w:val="0"/>
        <w:overflowPunct/>
        <w:topLinePunct w:val="0"/>
        <w:bidi w:val="0"/>
        <w:adjustRightInd w:val="0"/>
        <w:snapToGrid w:val="0"/>
        <w:spacing w:line="360" w:lineRule="auto"/>
        <w:ind w:left="0" w:firstLine="480" w:firstLineChars="200"/>
        <w:rPr>
          <w:rFonts w:ascii="宋体" w:hAnsi="宋体"/>
          <w:bCs/>
          <w:sz w:val="24"/>
        </w:rPr>
      </w:pPr>
      <w:r>
        <w:rPr>
          <w:rFonts w:ascii="宋体" w:hAnsi="宋体"/>
          <w:bCs/>
          <w:sz w:val="24"/>
        </w:rPr>
        <w:t>2</w:t>
      </w:r>
      <w:r>
        <w:rPr>
          <w:rFonts w:hint="eastAsia" w:ascii="宋体" w:hAnsi="宋体" w:eastAsia="宋体"/>
          <w:bCs/>
          <w:sz w:val="24"/>
          <w:lang w:eastAsia="zh-CN"/>
        </w:rPr>
        <w:t>.</w:t>
      </w:r>
      <w:r>
        <w:rPr>
          <w:rFonts w:hint="eastAsia" w:ascii="宋体" w:hAnsi="宋体"/>
          <w:bCs/>
          <w:sz w:val="24"/>
        </w:rPr>
        <w:t>甲方有权依据双方签订的考评办法对乙方提供的服务进行定期考评。当考评结果未达到标准时，有权依据考评办法约定的数额扣除履约保证金。</w:t>
      </w:r>
    </w:p>
    <w:p w14:paraId="1FFA2105">
      <w:pPr>
        <w:keepNext w:val="0"/>
        <w:keepLines w:val="0"/>
        <w:pageBreakBefore w:val="0"/>
        <w:overflowPunct/>
        <w:topLinePunct w:val="0"/>
        <w:bidi w:val="0"/>
        <w:adjustRightInd w:val="0"/>
        <w:snapToGrid w:val="0"/>
        <w:spacing w:line="360" w:lineRule="auto"/>
        <w:ind w:left="0" w:firstLine="480" w:firstLineChars="200"/>
        <w:rPr>
          <w:rFonts w:ascii="宋体" w:hAnsi="宋体"/>
          <w:bCs/>
          <w:sz w:val="24"/>
        </w:rPr>
      </w:pPr>
      <w:r>
        <w:rPr>
          <w:rFonts w:ascii="宋体" w:hAnsi="宋体"/>
          <w:bCs/>
          <w:sz w:val="24"/>
        </w:rPr>
        <w:t>3</w:t>
      </w:r>
      <w:r>
        <w:rPr>
          <w:rFonts w:hint="eastAsia" w:ascii="宋体" w:hAnsi="宋体" w:eastAsia="宋体"/>
          <w:bCs/>
          <w:sz w:val="24"/>
          <w:lang w:eastAsia="zh-CN"/>
        </w:rPr>
        <w:t>.</w:t>
      </w:r>
      <w:r>
        <w:rPr>
          <w:rFonts w:hint="eastAsia" w:ascii="宋体" w:hAnsi="宋体"/>
          <w:bCs/>
          <w:sz w:val="24"/>
        </w:rPr>
        <w:t>负责检查监督乙方管理工作的实施及制度的执行情况。</w:t>
      </w:r>
    </w:p>
    <w:p w14:paraId="38B78CBD">
      <w:pPr>
        <w:keepNext w:val="0"/>
        <w:keepLines w:val="0"/>
        <w:pageBreakBefore w:val="0"/>
        <w:overflowPunct/>
        <w:topLinePunct w:val="0"/>
        <w:bidi w:val="0"/>
        <w:adjustRightInd w:val="0"/>
        <w:snapToGrid w:val="0"/>
        <w:spacing w:line="360" w:lineRule="auto"/>
        <w:ind w:left="0" w:firstLine="480" w:firstLineChars="200"/>
        <w:rPr>
          <w:rFonts w:ascii="宋体" w:hAnsi="宋体"/>
          <w:bCs/>
          <w:sz w:val="24"/>
        </w:rPr>
      </w:pPr>
      <w:r>
        <w:rPr>
          <w:rFonts w:ascii="宋体" w:hAnsi="宋体"/>
          <w:bCs/>
          <w:sz w:val="24"/>
        </w:rPr>
        <w:t>4</w:t>
      </w:r>
      <w:r>
        <w:rPr>
          <w:rFonts w:hint="eastAsia" w:ascii="宋体" w:hAnsi="宋体" w:eastAsia="宋体"/>
          <w:bCs/>
          <w:sz w:val="24"/>
          <w:lang w:eastAsia="zh-CN"/>
        </w:rPr>
        <w:t>.</w:t>
      </w:r>
      <w:r>
        <w:rPr>
          <w:rFonts w:hint="eastAsia" w:ascii="宋体" w:hAnsi="宋体"/>
          <w:bCs/>
          <w:sz w:val="24"/>
        </w:rPr>
        <w:t>根据本合同规定，按时向乙方支付应付服务费用。</w:t>
      </w:r>
    </w:p>
    <w:p w14:paraId="0D4C1162">
      <w:pPr>
        <w:keepNext w:val="0"/>
        <w:keepLines w:val="0"/>
        <w:pageBreakBefore w:val="0"/>
        <w:overflowPunct/>
        <w:topLinePunct w:val="0"/>
        <w:bidi w:val="0"/>
        <w:adjustRightInd w:val="0"/>
        <w:snapToGrid w:val="0"/>
        <w:spacing w:line="360" w:lineRule="auto"/>
        <w:ind w:left="0" w:firstLine="480" w:firstLineChars="200"/>
        <w:rPr>
          <w:rFonts w:ascii="宋体" w:hAnsi="宋体"/>
          <w:bCs/>
          <w:sz w:val="24"/>
        </w:rPr>
      </w:pPr>
      <w:r>
        <w:rPr>
          <w:rFonts w:ascii="宋体" w:hAnsi="宋体"/>
          <w:bCs/>
          <w:sz w:val="24"/>
        </w:rPr>
        <w:t>5</w:t>
      </w:r>
      <w:r>
        <w:rPr>
          <w:rFonts w:hint="eastAsia" w:ascii="宋体" w:hAnsi="宋体" w:eastAsia="宋体"/>
          <w:bCs/>
          <w:sz w:val="24"/>
          <w:lang w:eastAsia="zh-CN"/>
        </w:rPr>
        <w:t>.</w:t>
      </w:r>
      <w:r>
        <w:rPr>
          <w:rFonts w:hint="eastAsia" w:ascii="宋体" w:hAnsi="宋体"/>
          <w:bCs/>
          <w:sz w:val="24"/>
        </w:rPr>
        <w:t>国家法律、法规所规定由甲方承担的其它责任。</w:t>
      </w:r>
    </w:p>
    <w:p w14:paraId="0434FCF0">
      <w:pPr>
        <w:keepNext w:val="0"/>
        <w:keepLines w:val="0"/>
        <w:pageBreakBefore w:val="0"/>
        <w:wordWrap w:val="0"/>
        <w:overflowPunct/>
        <w:topLinePunct w:val="0"/>
        <w:autoSpaceDE w:val="0"/>
        <w:autoSpaceDN w:val="0"/>
        <w:bidi w:val="0"/>
        <w:adjustRightInd w:val="0"/>
        <w:snapToGrid w:val="0"/>
        <w:spacing w:line="360" w:lineRule="auto"/>
        <w:ind w:left="0" w:firstLine="480" w:firstLineChars="200"/>
        <w:rPr>
          <w:rFonts w:ascii="宋体" w:hAnsi="宋体"/>
          <w:b/>
          <w:sz w:val="24"/>
        </w:rPr>
      </w:pPr>
      <w:r>
        <w:rPr>
          <w:rFonts w:hint="eastAsia" w:ascii="宋体" w:hAnsi="宋体"/>
          <w:b/>
          <w:sz w:val="24"/>
        </w:rPr>
        <w:t>第</w:t>
      </w:r>
      <w:r>
        <w:rPr>
          <w:rFonts w:hint="eastAsia" w:ascii="宋体" w:hAnsi="宋体" w:eastAsia="宋体"/>
          <w:b/>
          <w:sz w:val="24"/>
          <w:lang w:eastAsia="zh-CN"/>
        </w:rPr>
        <w:t>九</w:t>
      </w:r>
      <w:r>
        <w:rPr>
          <w:rFonts w:hint="eastAsia" w:ascii="宋体" w:hAnsi="宋体"/>
          <w:b/>
          <w:sz w:val="24"/>
        </w:rPr>
        <w:t>条、乙方的权利和义务</w:t>
      </w:r>
      <w:r>
        <w:rPr>
          <w:rFonts w:ascii="宋体" w:hAnsi="宋体"/>
          <w:b/>
          <w:sz w:val="24"/>
        </w:rPr>
        <w:t xml:space="preserve"> </w:t>
      </w:r>
    </w:p>
    <w:p w14:paraId="4CAA67A1">
      <w:pPr>
        <w:keepNext w:val="0"/>
        <w:keepLines w:val="0"/>
        <w:pageBreakBefore w:val="0"/>
        <w:overflowPunct/>
        <w:topLinePunct w:val="0"/>
        <w:bidi w:val="0"/>
        <w:adjustRightInd w:val="0"/>
        <w:snapToGrid w:val="0"/>
        <w:spacing w:line="360" w:lineRule="auto"/>
        <w:ind w:left="0" w:firstLine="480" w:firstLineChars="200"/>
        <w:rPr>
          <w:rFonts w:ascii="宋体" w:hAnsi="宋体"/>
          <w:bCs/>
          <w:sz w:val="24"/>
        </w:rPr>
      </w:pPr>
      <w:r>
        <w:rPr>
          <w:rFonts w:ascii="宋体" w:hAnsi="宋体"/>
          <w:bCs/>
          <w:sz w:val="24"/>
        </w:rPr>
        <w:t>1</w:t>
      </w:r>
      <w:r>
        <w:rPr>
          <w:rFonts w:hint="eastAsia" w:ascii="宋体" w:hAnsi="宋体" w:eastAsia="宋体"/>
          <w:bCs/>
          <w:sz w:val="24"/>
          <w:lang w:eastAsia="zh-CN"/>
        </w:rPr>
        <w:t>.</w:t>
      </w:r>
      <w:r>
        <w:rPr>
          <w:rFonts w:hint="eastAsia" w:ascii="宋体" w:hAnsi="宋体"/>
          <w:bCs/>
          <w:sz w:val="24"/>
        </w:rPr>
        <w:t>对本合同规定的委托服务范围内的项目享有管理权及服务义务。</w:t>
      </w:r>
    </w:p>
    <w:p w14:paraId="0B7A9913">
      <w:pPr>
        <w:keepNext w:val="0"/>
        <w:keepLines w:val="0"/>
        <w:pageBreakBefore w:val="0"/>
        <w:overflowPunct/>
        <w:topLinePunct w:val="0"/>
        <w:bidi w:val="0"/>
        <w:adjustRightInd w:val="0"/>
        <w:snapToGrid w:val="0"/>
        <w:spacing w:line="360" w:lineRule="auto"/>
        <w:ind w:left="0" w:firstLine="480" w:firstLineChars="200"/>
        <w:rPr>
          <w:rFonts w:ascii="宋体" w:hAnsi="宋体"/>
          <w:bCs/>
          <w:sz w:val="24"/>
        </w:rPr>
      </w:pPr>
      <w:r>
        <w:rPr>
          <w:rFonts w:ascii="宋体" w:hAnsi="宋体"/>
          <w:bCs/>
          <w:sz w:val="24"/>
        </w:rPr>
        <w:t>2</w:t>
      </w:r>
      <w:r>
        <w:rPr>
          <w:rFonts w:hint="eastAsia" w:ascii="宋体" w:hAnsi="宋体" w:eastAsia="宋体"/>
          <w:bCs/>
          <w:sz w:val="24"/>
          <w:lang w:eastAsia="zh-CN"/>
        </w:rPr>
        <w:t>.</w:t>
      </w:r>
      <w:r>
        <w:rPr>
          <w:rFonts w:hint="eastAsia" w:ascii="宋体" w:hAnsi="宋体"/>
          <w:bCs/>
          <w:sz w:val="24"/>
        </w:rPr>
        <w:t>根据本合同的规定向甲方收取相关服务费用，并有权在本项目管理范围内管理及合理使用。</w:t>
      </w:r>
    </w:p>
    <w:p w14:paraId="2CCFF1A4">
      <w:pPr>
        <w:keepNext w:val="0"/>
        <w:keepLines w:val="0"/>
        <w:pageBreakBefore w:val="0"/>
        <w:overflowPunct/>
        <w:topLinePunct w:val="0"/>
        <w:bidi w:val="0"/>
        <w:adjustRightInd w:val="0"/>
        <w:snapToGrid w:val="0"/>
        <w:spacing w:line="360" w:lineRule="auto"/>
        <w:ind w:left="0" w:firstLine="480" w:firstLineChars="200"/>
        <w:rPr>
          <w:rFonts w:ascii="宋体" w:hAnsi="宋体"/>
          <w:sz w:val="24"/>
        </w:rPr>
      </w:pPr>
      <w:r>
        <w:rPr>
          <w:rFonts w:ascii="宋体" w:hAnsi="宋体"/>
          <w:sz w:val="24"/>
        </w:rPr>
        <w:t>3</w:t>
      </w:r>
      <w:r>
        <w:rPr>
          <w:rFonts w:hint="eastAsia" w:ascii="宋体" w:hAnsi="宋体" w:eastAsia="宋体"/>
          <w:sz w:val="24"/>
          <w:lang w:eastAsia="zh-CN"/>
        </w:rPr>
        <w:t>.</w:t>
      </w:r>
      <w:r>
        <w:rPr>
          <w:rFonts w:hint="eastAsia" w:ascii="宋体" w:hAnsi="宋体"/>
          <w:sz w:val="24"/>
        </w:rPr>
        <w:t>及时向甲方通告本项目服务范围内有关服务的重大事项，及时配合处理投诉。</w:t>
      </w:r>
    </w:p>
    <w:p w14:paraId="5DB7A6E4">
      <w:pPr>
        <w:keepNext w:val="0"/>
        <w:keepLines w:val="0"/>
        <w:pageBreakBefore w:val="0"/>
        <w:overflowPunct/>
        <w:topLinePunct w:val="0"/>
        <w:bidi w:val="0"/>
        <w:adjustRightInd w:val="0"/>
        <w:snapToGrid w:val="0"/>
        <w:spacing w:line="360" w:lineRule="auto"/>
        <w:ind w:left="0" w:firstLine="480" w:firstLineChars="200"/>
        <w:rPr>
          <w:rFonts w:ascii="宋体" w:hAnsi="宋体"/>
          <w:bCs/>
          <w:sz w:val="24"/>
        </w:rPr>
      </w:pPr>
      <w:r>
        <w:rPr>
          <w:rFonts w:ascii="宋体" w:hAnsi="宋体"/>
          <w:sz w:val="24"/>
        </w:rPr>
        <w:t>4</w:t>
      </w:r>
      <w:r>
        <w:rPr>
          <w:rFonts w:hint="eastAsia" w:ascii="宋体" w:hAnsi="宋体" w:eastAsia="宋体"/>
          <w:sz w:val="24"/>
          <w:lang w:eastAsia="zh-CN"/>
        </w:rPr>
        <w:t>.</w:t>
      </w:r>
      <w:r>
        <w:rPr>
          <w:rFonts w:hint="eastAsia" w:ascii="宋体" w:hAnsi="宋体"/>
          <w:bCs/>
          <w:sz w:val="24"/>
        </w:rPr>
        <w:t>接受项目行业管理部门及政府有关部门的指导，接受甲方的监督。</w:t>
      </w:r>
    </w:p>
    <w:p w14:paraId="75CAD8E9">
      <w:pPr>
        <w:keepNext w:val="0"/>
        <w:keepLines w:val="0"/>
        <w:pageBreakBefore w:val="0"/>
        <w:overflowPunct/>
        <w:topLinePunct w:val="0"/>
        <w:bidi w:val="0"/>
        <w:adjustRightInd w:val="0"/>
        <w:snapToGrid w:val="0"/>
        <w:spacing w:line="360" w:lineRule="auto"/>
        <w:ind w:left="0" w:firstLine="480" w:firstLineChars="200"/>
        <w:rPr>
          <w:rFonts w:ascii="宋体" w:hAnsi="宋体"/>
          <w:bCs/>
          <w:sz w:val="24"/>
        </w:rPr>
      </w:pPr>
      <w:r>
        <w:rPr>
          <w:rFonts w:ascii="宋体" w:hAnsi="宋体"/>
          <w:bCs/>
          <w:sz w:val="24"/>
        </w:rPr>
        <w:t>5</w:t>
      </w:r>
      <w:r>
        <w:rPr>
          <w:rFonts w:hint="eastAsia" w:ascii="宋体" w:hAnsi="宋体" w:eastAsia="宋体"/>
          <w:bCs/>
          <w:sz w:val="24"/>
          <w:lang w:eastAsia="zh-CN"/>
        </w:rPr>
        <w:t>.</w:t>
      </w:r>
      <w:r>
        <w:rPr>
          <w:rFonts w:hint="eastAsia" w:ascii="宋体" w:hAnsi="宋体"/>
          <w:bCs/>
          <w:sz w:val="24"/>
        </w:rPr>
        <w:t>国家法律、法规所规定由乙方承担的其它责任。</w:t>
      </w:r>
    </w:p>
    <w:p w14:paraId="01C3E0EB">
      <w:pPr>
        <w:keepNext w:val="0"/>
        <w:keepLines w:val="0"/>
        <w:pageBreakBefore w:val="0"/>
        <w:wordWrap w:val="0"/>
        <w:overflowPunct/>
        <w:topLinePunct w:val="0"/>
        <w:autoSpaceDE w:val="0"/>
        <w:autoSpaceDN w:val="0"/>
        <w:bidi w:val="0"/>
        <w:adjustRightInd w:val="0"/>
        <w:snapToGrid w:val="0"/>
        <w:spacing w:line="360" w:lineRule="auto"/>
        <w:ind w:left="0" w:firstLine="480" w:firstLineChars="200"/>
        <w:rPr>
          <w:rFonts w:ascii="宋体" w:hAnsi="宋体"/>
          <w:b/>
          <w:sz w:val="24"/>
        </w:rPr>
      </w:pPr>
      <w:r>
        <w:rPr>
          <w:rFonts w:hint="eastAsia" w:ascii="宋体" w:hAnsi="宋体"/>
          <w:b/>
          <w:sz w:val="24"/>
        </w:rPr>
        <w:t>第十条、违约责任</w:t>
      </w:r>
    </w:p>
    <w:p w14:paraId="70F26B53">
      <w:pPr>
        <w:keepNext w:val="0"/>
        <w:keepLines w:val="0"/>
        <w:pageBreakBefore w:val="0"/>
        <w:overflowPunct/>
        <w:topLinePunct w:val="0"/>
        <w:bidi w:val="0"/>
        <w:adjustRightInd w:val="0"/>
        <w:snapToGrid w:val="0"/>
        <w:spacing w:line="360" w:lineRule="auto"/>
        <w:ind w:left="0" w:firstLine="480" w:firstLineChars="200"/>
        <w:rPr>
          <w:rFonts w:ascii="宋体" w:hAnsi="宋体"/>
          <w:bCs/>
          <w:sz w:val="24"/>
        </w:rPr>
      </w:pPr>
      <w:r>
        <w:rPr>
          <w:rFonts w:ascii="宋体" w:hAnsi="宋体"/>
          <w:bCs/>
          <w:sz w:val="24"/>
        </w:rPr>
        <w:t>1</w:t>
      </w:r>
      <w:r>
        <w:rPr>
          <w:rFonts w:hint="eastAsia" w:ascii="宋体" w:hAnsi="宋体" w:eastAsia="宋体"/>
          <w:bCs/>
          <w:sz w:val="24"/>
          <w:lang w:eastAsia="zh-CN"/>
        </w:rPr>
        <w:t>.</w:t>
      </w:r>
      <w:r>
        <w:rPr>
          <w:rFonts w:hint="eastAsia" w:ascii="宋体" w:hAnsi="宋体"/>
          <w:bCs/>
          <w:sz w:val="24"/>
        </w:rPr>
        <w:t>甲乙双方必须遵守本合同并执行合同中的各项规定，保证本合同的正常履行。</w:t>
      </w:r>
    </w:p>
    <w:p w14:paraId="1B83561F">
      <w:pPr>
        <w:keepNext w:val="0"/>
        <w:keepLines w:val="0"/>
        <w:pageBreakBefore w:val="0"/>
        <w:overflowPunct/>
        <w:topLinePunct w:val="0"/>
        <w:bidi w:val="0"/>
        <w:adjustRightInd w:val="0"/>
        <w:snapToGrid w:val="0"/>
        <w:spacing w:line="360" w:lineRule="auto"/>
        <w:ind w:left="0" w:firstLine="480" w:firstLineChars="200"/>
        <w:rPr>
          <w:rFonts w:ascii="宋体" w:hAnsi="宋体"/>
          <w:bCs/>
          <w:sz w:val="24"/>
        </w:rPr>
      </w:pPr>
      <w:r>
        <w:rPr>
          <w:rFonts w:ascii="宋体" w:hAnsi="宋体"/>
          <w:bCs/>
          <w:sz w:val="24"/>
        </w:rPr>
        <w:t>2</w:t>
      </w:r>
      <w:r>
        <w:rPr>
          <w:rFonts w:hint="eastAsia" w:ascii="宋体" w:hAnsi="宋体" w:eastAsia="宋体"/>
          <w:bCs/>
          <w:sz w:val="24"/>
          <w:lang w:eastAsia="zh-CN"/>
        </w:rPr>
        <w:t>.</w:t>
      </w:r>
      <w:r>
        <w:rPr>
          <w:rFonts w:hint="eastAsia" w:ascii="宋体" w:hAnsi="宋体"/>
          <w:bCs/>
          <w:sz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6F88C579">
      <w:pPr>
        <w:keepNext w:val="0"/>
        <w:keepLines w:val="0"/>
        <w:pageBreakBefore w:val="0"/>
        <w:wordWrap w:val="0"/>
        <w:overflowPunct/>
        <w:topLinePunct w:val="0"/>
        <w:autoSpaceDE w:val="0"/>
        <w:autoSpaceDN w:val="0"/>
        <w:bidi w:val="0"/>
        <w:adjustRightInd w:val="0"/>
        <w:snapToGrid w:val="0"/>
        <w:spacing w:line="360" w:lineRule="auto"/>
        <w:ind w:left="0" w:firstLine="480" w:firstLineChars="200"/>
        <w:rPr>
          <w:rFonts w:ascii="宋体" w:hAnsi="宋体"/>
          <w:b/>
          <w:sz w:val="24"/>
        </w:rPr>
      </w:pPr>
      <w:r>
        <w:rPr>
          <w:rFonts w:hint="eastAsia" w:ascii="宋体" w:hAnsi="宋体"/>
          <w:b/>
          <w:sz w:val="24"/>
        </w:rPr>
        <w:t>第十</w:t>
      </w:r>
      <w:r>
        <w:rPr>
          <w:rFonts w:hint="eastAsia" w:ascii="宋体" w:hAnsi="宋体" w:eastAsia="宋体"/>
          <w:b/>
          <w:sz w:val="24"/>
          <w:lang w:eastAsia="zh-CN"/>
        </w:rPr>
        <w:t>一</w:t>
      </w:r>
      <w:r>
        <w:rPr>
          <w:rFonts w:hint="eastAsia" w:ascii="宋体" w:hAnsi="宋体"/>
          <w:b/>
          <w:sz w:val="24"/>
        </w:rPr>
        <w:t>条、不可抗力事件处理</w:t>
      </w:r>
    </w:p>
    <w:p w14:paraId="354EF3CF">
      <w:pPr>
        <w:keepNext w:val="0"/>
        <w:keepLines w:val="0"/>
        <w:pageBreakBefore w:val="0"/>
        <w:overflowPunct/>
        <w:topLinePunct w:val="0"/>
        <w:bidi w:val="0"/>
        <w:adjustRightInd w:val="0"/>
        <w:snapToGrid w:val="0"/>
        <w:spacing w:line="360" w:lineRule="auto"/>
        <w:ind w:left="0" w:firstLine="480" w:firstLineChars="200"/>
        <w:rPr>
          <w:rFonts w:ascii="宋体" w:hAnsi="宋体"/>
          <w:sz w:val="24"/>
        </w:rPr>
      </w:pPr>
      <w:r>
        <w:rPr>
          <w:rFonts w:ascii="宋体" w:hAnsi="宋体"/>
          <w:sz w:val="24"/>
        </w:rPr>
        <w:t>1</w:t>
      </w:r>
      <w:r>
        <w:rPr>
          <w:rFonts w:hint="eastAsia" w:ascii="宋体" w:hAnsi="宋体" w:eastAsia="宋体"/>
          <w:sz w:val="24"/>
          <w:lang w:eastAsia="zh-CN"/>
        </w:rPr>
        <w:t>.</w:t>
      </w:r>
      <w:r>
        <w:rPr>
          <w:rFonts w:hint="eastAsia" w:ascii="宋体" w:hAnsi="宋体"/>
          <w:sz w:val="24"/>
        </w:rPr>
        <w:t>在合同有效期内，任何一方因不可抗力事件导致不能履行合同，则合同履行期可延长，其延长期与不可抗力影响期相同。</w:t>
      </w:r>
    </w:p>
    <w:p w14:paraId="29080476">
      <w:pPr>
        <w:keepNext w:val="0"/>
        <w:keepLines w:val="0"/>
        <w:pageBreakBefore w:val="0"/>
        <w:overflowPunct/>
        <w:topLinePunct w:val="0"/>
        <w:bidi w:val="0"/>
        <w:adjustRightInd w:val="0"/>
        <w:snapToGrid w:val="0"/>
        <w:spacing w:line="360" w:lineRule="auto"/>
        <w:ind w:left="0" w:firstLine="480" w:firstLineChars="200"/>
        <w:rPr>
          <w:rFonts w:ascii="宋体" w:hAnsi="宋体"/>
          <w:sz w:val="24"/>
        </w:rPr>
      </w:pPr>
      <w:r>
        <w:rPr>
          <w:rFonts w:ascii="宋体" w:hAnsi="宋体"/>
          <w:sz w:val="24"/>
        </w:rPr>
        <w:t>2</w:t>
      </w:r>
      <w:r>
        <w:rPr>
          <w:rFonts w:hint="eastAsia" w:ascii="宋体" w:hAnsi="宋体" w:eastAsia="宋体"/>
          <w:sz w:val="24"/>
          <w:lang w:eastAsia="zh-CN"/>
        </w:rPr>
        <w:t>.</w:t>
      </w:r>
      <w:r>
        <w:rPr>
          <w:rFonts w:hint="eastAsia" w:ascii="宋体" w:hAnsi="宋体"/>
          <w:sz w:val="24"/>
        </w:rPr>
        <w:t>不可抗力事件发生后，应立即通知对方，并寄送有关权威机构出具的证明。</w:t>
      </w:r>
    </w:p>
    <w:p w14:paraId="5762DCE9">
      <w:pPr>
        <w:keepNext w:val="0"/>
        <w:keepLines w:val="0"/>
        <w:pageBreakBefore w:val="0"/>
        <w:overflowPunct/>
        <w:topLinePunct w:val="0"/>
        <w:bidi w:val="0"/>
        <w:adjustRightInd w:val="0"/>
        <w:snapToGrid w:val="0"/>
        <w:spacing w:line="360" w:lineRule="auto"/>
        <w:ind w:left="0" w:firstLine="480" w:firstLineChars="200"/>
        <w:rPr>
          <w:rFonts w:ascii="宋体" w:hAnsi="宋体"/>
          <w:sz w:val="24"/>
        </w:rPr>
      </w:pPr>
      <w:r>
        <w:rPr>
          <w:rFonts w:ascii="宋体" w:hAnsi="宋体"/>
          <w:sz w:val="24"/>
        </w:rPr>
        <w:t>3</w:t>
      </w:r>
      <w:r>
        <w:rPr>
          <w:rFonts w:hint="eastAsia" w:ascii="宋体" w:hAnsi="宋体" w:eastAsia="宋体"/>
          <w:sz w:val="24"/>
          <w:lang w:eastAsia="zh-CN"/>
        </w:rPr>
        <w:t>.</w:t>
      </w:r>
      <w:r>
        <w:rPr>
          <w:rFonts w:hint="eastAsia" w:ascii="宋体" w:hAnsi="宋体"/>
          <w:sz w:val="24"/>
        </w:rPr>
        <w:t>不可抗力事件延续</w:t>
      </w:r>
      <w:r>
        <w:rPr>
          <w:rFonts w:hint="eastAsia" w:ascii="宋体" w:hAnsi="宋体" w:eastAsia="宋体"/>
          <w:sz w:val="24"/>
          <w:u w:val="single"/>
          <w:lang w:val="en-US" w:eastAsia="zh-CN"/>
        </w:rPr>
        <w:t xml:space="preserve">   </w:t>
      </w:r>
      <w:r>
        <w:rPr>
          <w:rFonts w:hint="eastAsia" w:ascii="宋体" w:hAnsi="宋体"/>
          <w:sz w:val="24"/>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1AE38C5C">
      <w:pPr>
        <w:keepNext w:val="0"/>
        <w:keepLines w:val="0"/>
        <w:pageBreakBefore w:val="0"/>
        <w:wordWrap w:val="0"/>
        <w:overflowPunct/>
        <w:topLinePunct w:val="0"/>
        <w:autoSpaceDE w:val="0"/>
        <w:autoSpaceDN w:val="0"/>
        <w:bidi w:val="0"/>
        <w:adjustRightInd w:val="0"/>
        <w:snapToGrid w:val="0"/>
        <w:spacing w:line="360" w:lineRule="auto"/>
        <w:ind w:left="0" w:firstLine="480" w:firstLineChars="200"/>
        <w:rPr>
          <w:rFonts w:ascii="宋体" w:hAnsi="宋体"/>
          <w:b/>
          <w:sz w:val="24"/>
        </w:rPr>
      </w:pPr>
      <w:bookmarkStart w:id="18" w:name="_Toc225670756"/>
      <w:bookmarkStart w:id="19" w:name="_Toc247334846"/>
      <w:bookmarkStart w:id="20" w:name="_Toc251768867"/>
      <w:bookmarkStart w:id="21" w:name="_Toc211911353"/>
      <w:bookmarkStart w:id="22" w:name="_Toc211854454"/>
      <w:bookmarkStart w:id="23" w:name="_Toc286993792"/>
      <w:bookmarkStart w:id="24" w:name="_Toc238984980"/>
      <w:bookmarkStart w:id="25" w:name="_Toc225244857"/>
      <w:bookmarkStart w:id="26" w:name="_Toc237145411"/>
      <w:bookmarkStart w:id="27" w:name="_Toc185395254"/>
      <w:bookmarkStart w:id="28" w:name="_Toc212019599"/>
      <w:bookmarkStart w:id="29" w:name="_Toc239568423"/>
      <w:bookmarkStart w:id="30" w:name="_Toc225654649"/>
      <w:bookmarkStart w:id="31" w:name="_Toc239233919"/>
      <w:bookmarkStart w:id="32" w:name="_Toc232492933"/>
      <w:bookmarkStart w:id="33" w:name="_Toc241833908"/>
      <w:r>
        <w:rPr>
          <w:rFonts w:hint="eastAsia" w:ascii="宋体" w:hAnsi="宋体"/>
          <w:b/>
          <w:sz w:val="24"/>
        </w:rPr>
        <w:t>第十</w:t>
      </w:r>
      <w:r>
        <w:rPr>
          <w:rFonts w:hint="eastAsia" w:ascii="宋体" w:hAnsi="宋体" w:eastAsia="宋体"/>
          <w:b/>
          <w:sz w:val="24"/>
          <w:lang w:eastAsia="zh-CN"/>
        </w:rPr>
        <w:t>二</w:t>
      </w:r>
      <w:r>
        <w:rPr>
          <w:rFonts w:hint="eastAsia" w:ascii="宋体" w:hAnsi="宋体"/>
          <w:b/>
          <w:sz w:val="24"/>
        </w:rPr>
        <w:t>条、解决合同纠纷的方式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1C833AE2">
      <w:pPr>
        <w:keepNext w:val="0"/>
        <w:keepLines w:val="0"/>
        <w:pageBreakBefore w:val="0"/>
        <w:overflowPunct/>
        <w:topLinePunct w:val="0"/>
        <w:bidi w:val="0"/>
        <w:adjustRightInd w:val="0"/>
        <w:snapToGrid w:val="0"/>
        <w:spacing w:line="360" w:lineRule="auto"/>
        <w:ind w:left="0" w:firstLine="480" w:firstLineChars="200"/>
        <w:rPr>
          <w:rFonts w:ascii="宋体" w:hAnsi="宋体"/>
          <w:sz w:val="24"/>
        </w:rPr>
      </w:pPr>
      <w:r>
        <w:rPr>
          <w:rFonts w:ascii="宋体" w:hAnsi="宋体"/>
          <w:sz w:val="24"/>
        </w:rPr>
        <w:t>1</w:t>
      </w:r>
      <w:r>
        <w:rPr>
          <w:rFonts w:hint="eastAsia" w:ascii="宋体" w:hAnsi="宋体" w:eastAsia="宋体"/>
          <w:sz w:val="24"/>
          <w:lang w:eastAsia="zh-CN"/>
        </w:rPr>
        <w:t>.</w:t>
      </w:r>
      <w:r>
        <w:rPr>
          <w:rFonts w:hint="eastAsia" w:ascii="宋体" w:hAnsi="宋体"/>
          <w:sz w:val="24"/>
        </w:rPr>
        <w:t>在执行本合同中发生的或与本合同有关的争端，双方应通过友好协商解决，经协商在</w:t>
      </w:r>
      <w:r>
        <w:rPr>
          <w:rFonts w:hint="eastAsia" w:ascii="宋体" w:hAnsi="宋体" w:eastAsia="宋体"/>
          <w:sz w:val="24"/>
          <w:u w:val="single"/>
          <w:lang w:val="en-US" w:eastAsia="zh-CN"/>
        </w:rPr>
        <w:t xml:space="preserve">   </w:t>
      </w:r>
      <w:r>
        <w:rPr>
          <w:rFonts w:hint="eastAsia" w:ascii="宋体" w:hAnsi="宋体"/>
          <w:sz w:val="24"/>
        </w:rPr>
        <w:t>天内不能达成协议时，应提交仲裁委员会仲裁。</w:t>
      </w:r>
    </w:p>
    <w:p w14:paraId="1578A861">
      <w:pPr>
        <w:keepNext w:val="0"/>
        <w:keepLines w:val="0"/>
        <w:pageBreakBefore w:val="0"/>
        <w:overflowPunct/>
        <w:topLinePunct w:val="0"/>
        <w:bidi w:val="0"/>
        <w:adjustRightInd w:val="0"/>
        <w:snapToGrid w:val="0"/>
        <w:spacing w:line="360" w:lineRule="auto"/>
        <w:ind w:left="0" w:firstLine="480" w:firstLineChars="200"/>
        <w:rPr>
          <w:rFonts w:ascii="宋体" w:hAnsi="宋体"/>
          <w:sz w:val="24"/>
        </w:rPr>
      </w:pPr>
      <w:r>
        <w:rPr>
          <w:rFonts w:ascii="宋体" w:hAnsi="宋体"/>
          <w:sz w:val="24"/>
        </w:rPr>
        <w:t>2</w:t>
      </w:r>
      <w:r>
        <w:rPr>
          <w:rFonts w:hint="eastAsia" w:ascii="宋体" w:hAnsi="宋体" w:eastAsia="宋体"/>
          <w:sz w:val="24"/>
          <w:lang w:eastAsia="zh-CN"/>
        </w:rPr>
        <w:t>.</w:t>
      </w:r>
      <w:r>
        <w:rPr>
          <w:rFonts w:hint="eastAsia" w:ascii="宋体" w:hAnsi="宋体"/>
          <w:sz w:val="24"/>
        </w:rPr>
        <w:t>仲裁裁决应为最终决定，并对双方具有约束力。</w:t>
      </w:r>
    </w:p>
    <w:p w14:paraId="14AA1CFD">
      <w:pPr>
        <w:keepNext w:val="0"/>
        <w:keepLines w:val="0"/>
        <w:pageBreakBefore w:val="0"/>
        <w:overflowPunct/>
        <w:topLinePunct w:val="0"/>
        <w:bidi w:val="0"/>
        <w:adjustRightInd w:val="0"/>
        <w:snapToGrid w:val="0"/>
        <w:spacing w:line="360" w:lineRule="auto"/>
        <w:ind w:left="0" w:firstLine="480" w:firstLineChars="200"/>
        <w:rPr>
          <w:rFonts w:ascii="宋体" w:hAnsi="宋体"/>
          <w:sz w:val="24"/>
        </w:rPr>
      </w:pPr>
      <w:r>
        <w:rPr>
          <w:rFonts w:ascii="宋体" w:hAnsi="宋体"/>
          <w:sz w:val="24"/>
        </w:rPr>
        <w:t>3</w:t>
      </w:r>
      <w:r>
        <w:rPr>
          <w:rFonts w:hint="eastAsia" w:ascii="宋体" w:hAnsi="宋体" w:eastAsia="宋体"/>
          <w:sz w:val="24"/>
          <w:lang w:eastAsia="zh-CN"/>
        </w:rPr>
        <w:t>.</w:t>
      </w:r>
      <w:r>
        <w:rPr>
          <w:rFonts w:hint="eastAsia" w:ascii="宋体" w:hAnsi="宋体"/>
          <w:sz w:val="24"/>
        </w:rPr>
        <w:t>除另有裁决外，仲裁费应由败诉方负担。</w:t>
      </w:r>
      <w:r>
        <w:rPr>
          <w:rFonts w:ascii="宋体" w:hAnsi="宋体"/>
          <w:sz w:val="24"/>
        </w:rPr>
        <w:t xml:space="preserve"> </w:t>
      </w:r>
    </w:p>
    <w:p w14:paraId="7B71C75B">
      <w:pPr>
        <w:keepNext w:val="0"/>
        <w:keepLines w:val="0"/>
        <w:pageBreakBefore w:val="0"/>
        <w:overflowPunct/>
        <w:topLinePunct w:val="0"/>
        <w:bidi w:val="0"/>
        <w:adjustRightInd w:val="0"/>
        <w:snapToGrid w:val="0"/>
        <w:spacing w:line="360" w:lineRule="auto"/>
        <w:ind w:left="0" w:firstLine="480" w:firstLineChars="200"/>
        <w:rPr>
          <w:rFonts w:ascii="宋体" w:hAnsi="宋体"/>
          <w:sz w:val="24"/>
        </w:rPr>
      </w:pPr>
      <w:r>
        <w:rPr>
          <w:rFonts w:ascii="宋体" w:hAnsi="宋体"/>
          <w:sz w:val="24"/>
        </w:rPr>
        <w:t>4</w:t>
      </w:r>
      <w:r>
        <w:rPr>
          <w:rFonts w:hint="eastAsia" w:ascii="宋体" w:hAnsi="宋体" w:eastAsia="宋体"/>
          <w:sz w:val="24"/>
          <w:lang w:eastAsia="zh-CN"/>
        </w:rPr>
        <w:t>.</w:t>
      </w:r>
      <w:r>
        <w:rPr>
          <w:rFonts w:hint="eastAsia" w:ascii="宋体" w:hAnsi="宋体"/>
          <w:sz w:val="24"/>
        </w:rPr>
        <w:t>在仲裁期间，除正在进行仲裁部分外，合同其他部分继续执行。</w:t>
      </w:r>
      <w:r>
        <w:rPr>
          <w:rFonts w:ascii="宋体" w:hAnsi="宋体"/>
          <w:sz w:val="24"/>
        </w:rPr>
        <w:t xml:space="preserve">  </w:t>
      </w:r>
    </w:p>
    <w:p w14:paraId="47792FC9">
      <w:pPr>
        <w:keepNext w:val="0"/>
        <w:keepLines w:val="0"/>
        <w:pageBreakBefore w:val="0"/>
        <w:wordWrap w:val="0"/>
        <w:overflowPunct/>
        <w:topLinePunct w:val="0"/>
        <w:autoSpaceDE w:val="0"/>
        <w:autoSpaceDN w:val="0"/>
        <w:bidi w:val="0"/>
        <w:adjustRightInd w:val="0"/>
        <w:snapToGrid w:val="0"/>
        <w:spacing w:line="360" w:lineRule="auto"/>
        <w:ind w:left="0" w:firstLine="480" w:firstLineChars="200"/>
        <w:rPr>
          <w:rFonts w:ascii="宋体" w:hAnsi="宋体"/>
          <w:b/>
          <w:sz w:val="24"/>
        </w:rPr>
      </w:pPr>
      <w:bookmarkStart w:id="34" w:name="_Toc282696231"/>
      <w:bookmarkStart w:id="35" w:name="_Toc185395255"/>
      <w:bookmarkStart w:id="36" w:name="_Toc239233920"/>
      <w:bookmarkStart w:id="37" w:name="_Toc225670757"/>
      <w:bookmarkStart w:id="38" w:name="_Toc237145412"/>
      <w:bookmarkStart w:id="39" w:name="_Toc225244858"/>
      <w:bookmarkStart w:id="40" w:name="_Toc239568424"/>
      <w:bookmarkStart w:id="41" w:name="_Toc286993793"/>
      <w:bookmarkStart w:id="42" w:name="_Toc232492934"/>
      <w:bookmarkStart w:id="43" w:name="_Toc238984981"/>
      <w:bookmarkStart w:id="44" w:name="_Toc211911354"/>
      <w:bookmarkStart w:id="45" w:name="_Toc225654650"/>
      <w:bookmarkStart w:id="46" w:name="_Toc283019219"/>
      <w:bookmarkStart w:id="47" w:name="_Toc212019600"/>
      <w:bookmarkStart w:id="48" w:name="_Toc241833909"/>
      <w:bookmarkStart w:id="49" w:name="_Toc247334847"/>
      <w:bookmarkStart w:id="50" w:name="_Toc251768868"/>
      <w:bookmarkStart w:id="51" w:name="_Toc211854455"/>
      <w:r>
        <w:rPr>
          <w:rFonts w:hint="eastAsia" w:ascii="宋体" w:hAnsi="宋体"/>
          <w:b/>
          <w:sz w:val="24"/>
        </w:rPr>
        <w:t>第十</w:t>
      </w:r>
      <w:r>
        <w:rPr>
          <w:rFonts w:hint="eastAsia" w:ascii="宋体" w:hAnsi="宋体" w:eastAsia="宋体"/>
          <w:b/>
          <w:sz w:val="24"/>
          <w:lang w:eastAsia="zh-CN"/>
        </w:rPr>
        <w:t>三</w:t>
      </w:r>
      <w:r>
        <w:rPr>
          <w:rFonts w:hint="eastAsia" w:ascii="宋体" w:hAnsi="宋体"/>
          <w:b/>
          <w:sz w:val="24"/>
        </w:rPr>
        <w:t>条、合同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b/>
          <w:sz w:val="24"/>
        </w:rPr>
        <w:t>生效及其他</w:t>
      </w:r>
    </w:p>
    <w:p w14:paraId="0639691C">
      <w:pPr>
        <w:keepNext w:val="0"/>
        <w:keepLines w:val="0"/>
        <w:pageBreakBefore w:val="0"/>
        <w:overflowPunct/>
        <w:topLinePunct w:val="0"/>
        <w:bidi w:val="0"/>
        <w:adjustRightInd w:val="0"/>
        <w:snapToGrid w:val="0"/>
        <w:spacing w:line="360" w:lineRule="auto"/>
        <w:ind w:left="0" w:firstLine="480" w:firstLineChars="200"/>
        <w:rPr>
          <w:rFonts w:ascii="宋体" w:hAnsi="宋体"/>
          <w:sz w:val="24"/>
        </w:rPr>
      </w:pPr>
      <w:r>
        <w:rPr>
          <w:rFonts w:ascii="宋体" w:hAnsi="宋体"/>
          <w:sz w:val="24"/>
        </w:rPr>
        <w:t>1</w:t>
      </w:r>
      <w:r>
        <w:rPr>
          <w:rFonts w:hint="eastAsia" w:ascii="宋体" w:hAnsi="宋体" w:eastAsia="宋体"/>
          <w:sz w:val="24"/>
          <w:lang w:eastAsia="zh-CN"/>
        </w:rPr>
        <w:t>.</w:t>
      </w:r>
      <w:r>
        <w:rPr>
          <w:rFonts w:hint="eastAsia" w:ascii="宋体" w:hAnsi="宋体"/>
          <w:sz w:val="24"/>
        </w:rPr>
        <w:t>合同经双方法定代表人签字</w:t>
      </w:r>
      <w:r>
        <w:rPr>
          <w:rFonts w:hint="eastAsia" w:ascii="宋体" w:hAnsi="宋体" w:eastAsia="宋体"/>
          <w:sz w:val="24"/>
          <w:lang w:eastAsia="zh-CN"/>
        </w:rPr>
        <w:t>或盖章，</w:t>
      </w:r>
      <w:r>
        <w:rPr>
          <w:rFonts w:hint="eastAsia" w:ascii="宋体" w:hAnsi="宋体"/>
          <w:sz w:val="24"/>
        </w:rPr>
        <w:t>并加盖公章</w:t>
      </w:r>
      <w:r>
        <w:rPr>
          <w:rFonts w:hint="eastAsia" w:ascii="宋体" w:hAnsi="宋体" w:eastAsia="宋体"/>
          <w:sz w:val="24"/>
          <w:lang w:eastAsia="zh-CN"/>
        </w:rPr>
        <w:t>之日</w:t>
      </w:r>
      <w:r>
        <w:rPr>
          <w:rFonts w:hint="eastAsia" w:ascii="宋体" w:hAnsi="宋体"/>
          <w:sz w:val="24"/>
        </w:rPr>
        <w:t>生效。</w:t>
      </w:r>
    </w:p>
    <w:p w14:paraId="1681E997">
      <w:pPr>
        <w:keepNext w:val="0"/>
        <w:keepLines w:val="0"/>
        <w:pageBreakBefore w:val="0"/>
        <w:overflowPunct/>
        <w:topLinePunct w:val="0"/>
        <w:bidi w:val="0"/>
        <w:adjustRightInd w:val="0"/>
        <w:snapToGrid w:val="0"/>
        <w:spacing w:line="360" w:lineRule="auto"/>
        <w:ind w:left="0" w:firstLine="480" w:firstLineChars="200"/>
        <w:rPr>
          <w:rFonts w:ascii="宋体" w:hAnsi="宋体"/>
          <w:sz w:val="24"/>
        </w:rPr>
      </w:pPr>
      <w:r>
        <w:rPr>
          <w:rFonts w:ascii="宋体" w:hAnsi="宋体"/>
          <w:sz w:val="24"/>
        </w:rPr>
        <w:t>2</w:t>
      </w:r>
      <w:r>
        <w:rPr>
          <w:rFonts w:hint="eastAsia" w:ascii="宋体" w:hAnsi="宋体" w:eastAsia="宋体"/>
          <w:sz w:val="24"/>
          <w:lang w:eastAsia="zh-CN"/>
        </w:rPr>
        <w:t>.</w:t>
      </w:r>
      <w:r>
        <w:rPr>
          <w:rFonts w:hint="eastAsia" w:ascii="宋体" w:hAnsi="宋体"/>
          <w:sz w:val="24"/>
        </w:rPr>
        <w:t>合同执行中涉及采购资金和采购内容修改或补充的，须经政府采购监管部门审批，并签书面补充协议报政府采购监督管理部门备案，方可作为主合同不可分割的一部分。</w:t>
      </w:r>
    </w:p>
    <w:p w14:paraId="658D7CDE">
      <w:pPr>
        <w:keepNext w:val="0"/>
        <w:keepLines w:val="0"/>
        <w:pageBreakBefore w:val="0"/>
        <w:overflowPunct/>
        <w:topLinePunct w:val="0"/>
        <w:bidi w:val="0"/>
        <w:adjustRightInd w:val="0"/>
        <w:snapToGrid w:val="0"/>
        <w:spacing w:line="360" w:lineRule="auto"/>
        <w:ind w:left="0" w:firstLine="480" w:firstLineChars="200"/>
        <w:rPr>
          <w:rFonts w:ascii="宋体" w:hAnsi="宋体"/>
          <w:sz w:val="24"/>
        </w:rPr>
      </w:pPr>
      <w:r>
        <w:rPr>
          <w:rFonts w:ascii="宋体" w:hAnsi="宋体"/>
          <w:sz w:val="24"/>
        </w:rPr>
        <w:t>3</w:t>
      </w:r>
      <w:r>
        <w:rPr>
          <w:rFonts w:hint="eastAsia" w:ascii="宋体" w:hAnsi="宋体" w:eastAsia="宋体"/>
          <w:sz w:val="24"/>
          <w:lang w:eastAsia="zh-CN"/>
        </w:rPr>
        <w:t>.</w:t>
      </w:r>
      <w:r>
        <w:rPr>
          <w:rFonts w:hint="eastAsia" w:ascii="宋体" w:hAnsi="宋体"/>
          <w:sz w:val="24"/>
        </w:rPr>
        <w:t>本合同一式</w:t>
      </w:r>
      <w:r>
        <w:rPr>
          <w:rFonts w:hint="eastAsia" w:ascii="宋体" w:hAnsi="宋体" w:eastAsia="宋体"/>
          <w:sz w:val="24"/>
          <w:u w:val="single"/>
          <w:lang w:val="en-US" w:eastAsia="zh-CN"/>
        </w:rPr>
        <w:t xml:space="preserve">   </w:t>
      </w:r>
      <w:r>
        <w:rPr>
          <w:rFonts w:hint="eastAsia" w:ascii="宋体" w:hAnsi="宋体"/>
          <w:sz w:val="24"/>
        </w:rPr>
        <w:t>份，甲方</w:t>
      </w:r>
      <w:r>
        <w:rPr>
          <w:rFonts w:hint="eastAsia" w:ascii="宋体" w:hAnsi="宋体" w:eastAsia="宋体"/>
          <w:sz w:val="24"/>
          <w:u w:val="single"/>
          <w:lang w:val="en-US" w:eastAsia="zh-CN"/>
        </w:rPr>
        <w:t xml:space="preserve">   </w:t>
      </w:r>
      <w:r>
        <w:rPr>
          <w:rFonts w:hint="eastAsia" w:ascii="宋体" w:hAnsi="宋体"/>
          <w:sz w:val="24"/>
        </w:rPr>
        <w:t>份，乙方</w:t>
      </w:r>
      <w:r>
        <w:rPr>
          <w:rFonts w:hint="eastAsia" w:ascii="宋体" w:hAnsi="宋体" w:eastAsia="宋体"/>
          <w:sz w:val="24"/>
          <w:u w:val="single"/>
          <w:lang w:val="en-US" w:eastAsia="zh-CN"/>
        </w:rPr>
        <w:t xml:space="preserve">   </w:t>
      </w:r>
      <w:r>
        <w:rPr>
          <w:rFonts w:hint="eastAsia" w:ascii="宋体" w:hAnsi="宋体"/>
          <w:sz w:val="24"/>
        </w:rPr>
        <w:t>份，具有同等法律效力。</w:t>
      </w:r>
    </w:p>
    <w:p w14:paraId="2E1A9D95">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cs="宋体"/>
          <w:sz w:val="24"/>
          <w:highlight w:val="none"/>
        </w:rPr>
      </w:pPr>
    </w:p>
    <w:p w14:paraId="009B030B">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cs="宋体"/>
          <w:sz w:val="24"/>
          <w:highlight w:val="none"/>
        </w:rPr>
      </w:pPr>
      <w:r>
        <w:rPr>
          <w:rFonts w:hint="eastAsia" w:ascii="宋体" w:hAnsi="宋体" w:cs="宋体"/>
          <w:sz w:val="24"/>
          <w:highlight w:val="none"/>
        </w:rPr>
        <w:t xml:space="preserve">甲    方                          </w:t>
      </w:r>
      <w:r>
        <w:rPr>
          <w:rFonts w:hint="eastAsia" w:ascii="宋体" w:hAnsi="宋体" w:eastAsia="宋体" w:cs="宋体"/>
          <w:sz w:val="24"/>
          <w:highlight w:val="none"/>
          <w:lang w:val="en-US" w:eastAsia="zh-CN"/>
        </w:rPr>
        <w:t xml:space="preserve"> </w:t>
      </w:r>
      <w:r>
        <w:rPr>
          <w:rFonts w:hint="eastAsia" w:ascii="宋体" w:hAnsi="宋体" w:cs="宋体"/>
          <w:sz w:val="24"/>
          <w:highlight w:val="none"/>
        </w:rPr>
        <w:t xml:space="preserve"> 乙    方</w:t>
      </w:r>
    </w:p>
    <w:p w14:paraId="22B50DF8">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cs="宋体"/>
          <w:sz w:val="24"/>
          <w:highlight w:val="none"/>
        </w:rPr>
      </w:pPr>
      <w:r>
        <w:rPr>
          <w:rFonts w:hint="eastAsia" w:ascii="宋体" w:hAnsi="宋体" w:cs="宋体"/>
          <w:sz w:val="24"/>
          <w:highlight w:val="none"/>
        </w:rPr>
        <w:t>单位名称：</w:t>
      </w:r>
      <w:r>
        <w:rPr>
          <w:rFonts w:hint="eastAsia" w:ascii="宋体" w:hAnsi="宋体" w:eastAsia="宋体" w:cs="宋体"/>
          <w:sz w:val="24"/>
          <w:highlight w:val="none"/>
          <w:lang w:eastAsia="zh-CN"/>
        </w:rPr>
        <w:t>汉中市机关事务服务中心</w:t>
      </w:r>
      <w:r>
        <w:rPr>
          <w:rFonts w:hint="eastAsia" w:ascii="宋体" w:hAnsi="宋体" w:cs="宋体"/>
          <w:sz w:val="24"/>
          <w:highlight w:val="none"/>
        </w:rPr>
        <w:t xml:space="preserve">  单位名称：</w:t>
      </w:r>
      <w:r>
        <w:rPr>
          <w:rFonts w:hint="eastAsia" w:ascii="宋体" w:hAnsi="宋体" w:eastAsia="宋体" w:cs="宋体"/>
          <w:sz w:val="24"/>
          <w:highlight w:val="none"/>
          <w:u w:val="single"/>
          <w:lang w:val="en-US" w:eastAsia="zh-CN"/>
        </w:rPr>
        <w:t xml:space="preserve">                     </w:t>
      </w:r>
      <w:r>
        <w:rPr>
          <w:rFonts w:hint="eastAsia" w:ascii="宋体" w:hAnsi="宋体" w:cs="宋体"/>
          <w:sz w:val="24"/>
          <w:highlight w:val="none"/>
        </w:rPr>
        <w:t xml:space="preserve"> </w:t>
      </w:r>
    </w:p>
    <w:p w14:paraId="1482536D">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cs="宋体"/>
          <w:sz w:val="24"/>
          <w:highlight w:val="none"/>
        </w:rPr>
      </w:pPr>
      <w:r>
        <w:rPr>
          <w:rFonts w:hint="eastAsia" w:ascii="宋体" w:hAnsi="宋体" w:cs="宋体"/>
          <w:sz w:val="24"/>
          <w:highlight w:val="none"/>
        </w:rPr>
        <w:t>地   址：</w:t>
      </w:r>
      <w:r>
        <w:rPr>
          <w:rFonts w:hint="eastAsia" w:ascii="宋体" w:hAnsi="宋体" w:eastAsia="宋体" w:cs="宋体"/>
          <w:sz w:val="24"/>
          <w:highlight w:val="none"/>
          <w:u w:val="single"/>
          <w:lang w:val="en-US" w:eastAsia="zh-CN"/>
        </w:rPr>
        <w:t xml:space="preserve">                   </w:t>
      </w:r>
      <w:r>
        <w:rPr>
          <w:rFonts w:hint="eastAsia" w:ascii="宋体" w:hAnsi="宋体" w:cs="宋体"/>
          <w:sz w:val="24"/>
          <w:highlight w:val="none"/>
        </w:rPr>
        <w:t xml:space="preserve">      </w:t>
      </w:r>
      <w:r>
        <w:rPr>
          <w:rFonts w:hint="eastAsia" w:ascii="宋体" w:hAnsi="宋体" w:eastAsia="宋体" w:cs="宋体"/>
          <w:sz w:val="24"/>
          <w:highlight w:val="none"/>
          <w:lang w:val="en-US" w:eastAsia="zh-CN"/>
        </w:rPr>
        <w:t xml:space="preserve"> </w:t>
      </w:r>
      <w:r>
        <w:rPr>
          <w:rFonts w:hint="eastAsia" w:ascii="宋体" w:hAnsi="宋体" w:cs="宋体"/>
          <w:sz w:val="24"/>
          <w:highlight w:val="none"/>
        </w:rPr>
        <w:t xml:space="preserve"> 地    址：</w:t>
      </w:r>
      <w:r>
        <w:rPr>
          <w:rFonts w:hint="eastAsia" w:ascii="宋体" w:hAnsi="宋体" w:eastAsia="宋体" w:cs="宋体"/>
          <w:sz w:val="24"/>
          <w:highlight w:val="none"/>
          <w:u w:val="single"/>
          <w:lang w:val="en-US" w:eastAsia="zh-CN"/>
        </w:rPr>
        <w:t xml:space="preserve">                     </w:t>
      </w:r>
    </w:p>
    <w:p w14:paraId="2B4BDD5F">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cs="宋体"/>
          <w:sz w:val="24"/>
          <w:highlight w:val="none"/>
        </w:rPr>
      </w:pPr>
      <w:r>
        <w:rPr>
          <w:rFonts w:hint="eastAsia" w:ascii="宋体" w:hAnsi="宋体" w:cs="宋体"/>
          <w:sz w:val="24"/>
          <w:highlight w:val="none"/>
          <w:lang w:eastAsia="zh-CN"/>
        </w:rPr>
        <w:t>法定代表人</w:t>
      </w:r>
      <w:r>
        <w:rPr>
          <w:rFonts w:hint="eastAsia" w:ascii="宋体" w:hAnsi="宋体" w:cs="宋体"/>
          <w:sz w:val="24"/>
          <w:highlight w:val="none"/>
        </w:rPr>
        <w:t>：</w:t>
      </w:r>
      <w:r>
        <w:rPr>
          <w:rFonts w:hint="eastAsia" w:ascii="宋体" w:hAnsi="宋体" w:eastAsia="宋体" w:cs="宋体"/>
          <w:sz w:val="24"/>
          <w:highlight w:val="none"/>
          <w:u w:val="single"/>
          <w:lang w:val="en-US" w:eastAsia="zh-CN"/>
        </w:rPr>
        <w:t xml:space="preserve">               </w:t>
      </w:r>
      <w:r>
        <w:rPr>
          <w:rFonts w:hint="eastAsia" w:ascii="宋体" w:hAnsi="宋体" w:cs="宋体"/>
          <w:sz w:val="24"/>
          <w:highlight w:val="none"/>
        </w:rPr>
        <w:t xml:space="preserve">         </w:t>
      </w:r>
      <w:r>
        <w:rPr>
          <w:rFonts w:hint="eastAsia" w:ascii="宋体" w:hAnsi="宋体" w:cs="宋体"/>
          <w:sz w:val="24"/>
          <w:highlight w:val="none"/>
          <w:lang w:eastAsia="zh-CN"/>
        </w:rPr>
        <w:t>法定代表人</w:t>
      </w:r>
      <w:r>
        <w:rPr>
          <w:rFonts w:hint="eastAsia" w:ascii="宋体" w:hAnsi="宋体" w:cs="宋体"/>
          <w:sz w:val="24"/>
          <w:highlight w:val="none"/>
        </w:rPr>
        <w:t>：</w:t>
      </w:r>
      <w:r>
        <w:rPr>
          <w:rFonts w:hint="eastAsia" w:ascii="宋体" w:hAnsi="宋体" w:eastAsia="宋体" w:cs="宋体"/>
          <w:sz w:val="24"/>
          <w:highlight w:val="none"/>
          <w:u w:val="single"/>
          <w:lang w:val="en-US" w:eastAsia="zh-CN"/>
        </w:rPr>
        <w:t xml:space="preserve">                   </w:t>
      </w:r>
    </w:p>
    <w:p w14:paraId="32937EA4">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cs="宋体" w:eastAsiaTheme="minorEastAsia"/>
          <w:sz w:val="24"/>
          <w:highlight w:val="none"/>
          <w:lang w:eastAsia="zh-CN"/>
        </w:rPr>
      </w:pPr>
      <w:r>
        <w:rPr>
          <w:rFonts w:hint="eastAsia" w:ascii="宋体" w:hAnsi="宋体" w:cs="宋体"/>
          <w:sz w:val="24"/>
          <w:highlight w:val="none"/>
          <w:lang w:eastAsia="zh-CN"/>
        </w:rPr>
        <w:t>联系人：</w:t>
      </w:r>
      <w:r>
        <w:rPr>
          <w:rFonts w:hint="eastAsia" w:ascii="宋体" w:hAnsi="宋体" w:eastAsia="宋体" w:cs="宋体"/>
          <w:sz w:val="24"/>
          <w:highlight w:val="none"/>
          <w:u w:val="single"/>
          <w:lang w:val="en-US" w:eastAsia="zh-CN"/>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lang w:eastAsia="zh-CN"/>
        </w:rPr>
        <w:t>联系人：</w:t>
      </w:r>
      <w:r>
        <w:rPr>
          <w:rFonts w:hint="eastAsia" w:ascii="宋体" w:hAnsi="宋体" w:eastAsia="宋体" w:cs="宋体"/>
          <w:sz w:val="24"/>
          <w:highlight w:val="none"/>
          <w:u w:val="single"/>
          <w:lang w:val="en-US" w:eastAsia="zh-CN"/>
        </w:rPr>
        <w:t xml:space="preserve">                       </w:t>
      </w:r>
    </w:p>
    <w:p w14:paraId="2BEAC29F">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cs="宋体"/>
          <w:sz w:val="24"/>
          <w:highlight w:val="none"/>
        </w:rPr>
      </w:pPr>
      <w:r>
        <w:rPr>
          <w:rFonts w:hint="eastAsia" w:ascii="宋体" w:hAnsi="宋体" w:cs="宋体"/>
          <w:sz w:val="24"/>
          <w:highlight w:val="none"/>
        </w:rPr>
        <w:t>联系电话：</w:t>
      </w:r>
      <w:r>
        <w:rPr>
          <w:rFonts w:hint="eastAsia" w:ascii="宋体" w:hAnsi="宋体" w:eastAsia="宋体" w:cs="宋体"/>
          <w:sz w:val="24"/>
          <w:highlight w:val="none"/>
          <w:u w:val="single"/>
          <w:lang w:val="en-US" w:eastAsia="zh-CN"/>
        </w:rPr>
        <w:t xml:space="preserve">                 </w:t>
      </w:r>
      <w:r>
        <w:rPr>
          <w:rFonts w:hint="eastAsia" w:ascii="宋体" w:hAnsi="宋体" w:cs="宋体"/>
          <w:sz w:val="24"/>
          <w:highlight w:val="none"/>
        </w:rPr>
        <w:t xml:space="preserve">         联系电话：</w:t>
      </w:r>
      <w:r>
        <w:rPr>
          <w:rFonts w:hint="eastAsia" w:ascii="宋体" w:hAnsi="宋体" w:eastAsia="宋体" w:cs="宋体"/>
          <w:sz w:val="24"/>
          <w:highlight w:val="none"/>
          <w:u w:val="single"/>
          <w:lang w:val="en-US" w:eastAsia="zh-CN"/>
        </w:rPr>
        <w:t xml:space="preserve">                     </w:t>
      </w:r>
    </w:p>
    <w:p w14:paraId="0FB81FEB">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cs="宋体"/>
          <w:sz w:val="24"/>
          <w:highlight w:val="none"/>
        </w:rPr>
      </w:pPr>
      <w:r>
        <w:rPr>
          <w:rFonts w:hint="eastAsia" w:ascii="宋体" w:hAnsi="宋体" w:cs="宋体"/>
          <w:sz w:val="24"/>
          <w:highlight w:val="none"/>
        </w:rPr>
        <w:t>开 户 行：</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en-US" w:eastAsia="zh-CN"/>
        </w:rPr>
        <w:t xml:space="preserve"> </w:t>
      </w:r>
      <w:r>
        <w:rPr>
          <w:rFonts w:hint="eastAsia" w:ascii="宋体" w:hAnsi="宋体" w:cs="宋体"/>
          <w:sz w:val="24"/>
          <w:highlight w:val="none"/>
        </w:rPr>
        <w:t xml:space="preserve">        开 户 行：</w:t>
      </w:r>
      <w:r>
        <w:rPr>
          <w:rFonts w:hint="eastAsia" w:ascii="宋体" w:hAnsi="宋体" w:eastAsia="宋体" w:cs="宋体"/>
          <w:sz w:val="24"/>
          <w:highlight w:val="none"/>
          <w:u w:val="single"/>
          <w:lang w:val="en-US" w:eastAsia="zh-CN"/>
        </w:rPr>
        <w:t xml:space="preserve">                     </w:t>
      </w:r>
    </w:p>
    <w:p w14:paraId="4D6C0B5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cs="宋体"/>
          <w:sz w:val="24"/>
          <w:highlight w:val="none"/>
        </w:rPr>
      </w:pPr>
      <w:r>
        <w:rPr>
          <w:rFonts w:hint="eastAsia" w:ascii="宋体" w:hAnsi="宋体" w:cs="宋体"/>
          <w:sz w:val="24"/>
          <w:highlight w:val="none"/>
        </w:rPr>
        <w:t>账    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en-US" w:eastAsia="zh-CN"/>
        </w:rPr>
        <w:t xml:space="preserve"> </w:t>
      </w:r>
      <w:r>
        <w:rPr>
          <w:rFonts w:hint="eastAsia" w:ascii="宋体" w:hAnsi="宋体" w:cs="宋体"/>
          <w:sz w:val="24"/>
          <w:highlight w:val="none"/>
        </w:rPr>
        <w:t xml:space="preserve">        账    号：</w:t>
      </w:r>
      <w:r>
        <w:rPr>
          <w:rFonts w:hint="eastAsia" w:ascii="宋体" w:hAnsi="宋体" w:eastAsia="宋体" w:cs="宋体"/>
          <w:sz w:val="24"/>
          <w:highlight w:val="none"/>
          <w:u w:val="single"/>
          <w:lang w:val="en-US" w:eastAsia="zh-CN"/>
        </w:rPr>
        <w:t xml:space="preserve">                     </w:t>
      </w:r>
    </w:p>
    <w:p w14:paraId="3F2079C6">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cs="宋体"/>
          <w:b/>
          <w:bCs/>
          <w:sz w:val="24"/>
          <w:highlight w:val="none"/>
        </w:rPr>
      </w:pPr>
      <w:r>
        <w:rPr>
          <w:rFonts w:hint="eastAsia" w:ascii="宋体" w:hAnsi="宋体" w:cs="宋体"/>
          <w:sz w:val="24"/>
          <w:highlight w:val="none"/>
        </w:rPr>
        <w:t>纳税人识别号：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en-US" w:eastAsia="zh-CN"/>
        </w:rPr>
        <w:t xml:space="preserve"> </w:t>
      </w:r>
      <w:r>
        <w:rPr>
          <w:rFonts w:hint="eastAsia" w:ascii="宋体" w:hAnsi="宋体" w:cs="宋体"/>
          <w:sz w:val="24"/>
          <w:highlight w:val="none"/>
        </w:rPr>
        <w:t xml:space="preserve">    纳税人识别号：</w:t>
      </w:r>
      <w:r>
        <w:rPr>
          <w:rFonts w:hint="eastAsia" w:ascii="宋体" w:hAnsi="宋体" w:eastAsia="宋体" w:cs="宋体"/>
          <w:sz w:val="24"/>
          <w:highlight w:val="none"/>
          <w:u w:val="single"/>
          <w:lang w:val="en-US" w:eastAsia="zh-CN"/>
        </w:rPr>
        <w:t xml:space="preserve">                 </w:t>
      </w:r>
    </w:p>
    <w:p w14:paraId="1A0806BC">
      <w:pPr>
        <w:keepNext w:val="0"/>
        <w:keepLines w:val="0"/>
        <w:pageBreakBefore w:val="0"/>
        <w:overflowPunct/>
        <w:topLinePunct w:val="0"/>
        <w:bidi w:val="0"/>
        <w:adjustRightInd w:val="0"/>
        <w:snapToGrid w:val="0"/>
        <w:spacing w:line="360" w:lineRule="auto"/>
        <w:ind w:left="0" w:firstLine="480" w:firstLineChars="200"/>
        <w:jc w:val="both"/>
        <w:rPr>
          <w:rFonts w:hint="eastAsia" w:ascii="宋体" w:hAnsi="宋体" w:cs="宋体"/>
          <w:sz w:val="24"/>
          <w:highlight w:val="none"/>
        </w:rPr>
      </w:pPr>
      <w:r>
        <w:rPr>
          <w:rFonts w:hint="eastAsia" w:ascii="宋体" w:hAnsi="宋体" w:cs="宋体"/>
          <w:bCs/>
          <w:sz w:val="24"/>
          <w:highlight w:val="none"/>
        </w:rPr>
        <w:t>签订日期：</w:t>
      </w:r>
      <w:r>
        <w:rPr>
          <w:rFonts w:hint="eastAsia" w:ascii="宋体" w:hAnsi="宋体" w:eastAsia="宋体" w:cs="宋体"/>
          <w:sz w:val="24"/>
          <w:highlight w:val="none"/>
          <w:u w:val="single"/>
          <w:lang w:val="en-US" w:eastAsia="zh-CN"/>
        </w:rPr>
        <w:t xml:space="preserve">      </w:t>
      </w:r>
      <w:r>
        <w:rPr>
          <w:rFonts w:hint="eastAsia" w:ascii="宋体" w:hAnsi="宋体" w:cs="宋体"/>
          <w:sz w:val="24"/>
          <w:highlight w:val="none"/>
        </w:rPr>
        <w:t>年</w:t>
      </w:r>
      <w:r>
        <w:rPr>
          <w:rFonts w:hint="eastAsia" w:ascii="宋体" w:hAnsi="宋体" w:eastAsia="宋体" w:cs="宋体"/>
          <w:sz w:val="24"/>
          <w:highlight w:val="none"/>
          <w:u w:val="single"/>
          <w:lang w:val="en-US" w:eastAsia="zh-CN"/>
        </w:rPr>
        <w:t xml:space="preserve">      </w:t>
      </w:r>
      <w:r>
        <w:rPr>
          <w:rFonts w:hint="eastAsia" w:ascii="宋体" w:hAnsi="宋体" w:cs="宋体"/>
          <w:sz w:val="24"/>
          <w:highlight w:val="none"/>
        </w:rPr>
        <w:t>月</w:t>
      </w:r>
      <w:r>
        <w:rPr>
          <w:rFonts w:hint="eastAsia" w:ascii="宋体" w:hAnsi="宋体" w:eastAsia="宋体" w:cs="宋体"/>
          <w:sz w:val="24"/>
          <w:highlight w:val="none"/>
          <w:u w:val="single"/>
          <w:lang w:val="en-US" w:eastAsia="zh-CN"/>
        </w:rPr>
        <w:t xml:space="preserve">      </w:t>
      </w:r>
      <w:r>
        <w:rPr>
          <w:rFonts w:hint="eastAsia" w:ascii="宋体" w:hAnsi="宋体" w:cs="宋体"/>
          <w:sz w:val="24"/>
          <w:highlight w:val="none"/>
        </w:rPr>
        <w:t>日</w:t>
      </w:r>
    </w:p>
    <w:p w14:paraId="1F40C0B2">
      <w:pPr>
        <w:keepNext w:val="0"/>
        <w:keepLines w:val="0"/>
        <w:pageBreakBefore w:val="0"/>
        <w:overflowPunct/>
        <w:topLinePunct w:val="0"/>
        <w:bidi w:val="0"/>
        <w:adjustRightInd w:val="0"/>
        <w:snapToGrid w:val="0"/>
        <w:spacing w:line="360" w:lineRule="auto"/>
        <w:ind w:left="0" w:firstLine="480" w:firstLineChars="200"/>
        <w:rPr>
          <w:rFonts w:hint="eastAsia" w:ascii="宋体" w:hAnsi="宋体"/>
          <w:bCs/>
          <w:sz w:val="24"/>
        </w:rPr>
      </w:pPr>
      <w:r>
        <w:rPr>
          <w:rFonts w:hint="eastAsia" w:ascii="宋体" w:hAnsi="宋体" w:cs="宋体"/>
          <w:sz w:val="24"/>
          <w:highlight w:val="none"/>
        </w:rPr>
        <w:t>签订地点：</w:t>
      </w:r>
      <w:r>
        <w:rPr>
          <w:rFonts w:hint="eastAsia" w:ascii="宋体" w:hAnsi="宋体" w:eastAsia="宋体" w:cs="宋体"/>
          <w:sz w:val="24"/>
          <w:highlight w:val="none"/>
          <w:lang w:val="en-US" w:eastAsia="zh-CN"/>
        </w:rPr>
        <w:t>汉中</w:t>
      </w:r>
      <w:r>
        <w:rPr>
          <w:rFonts w:hint="eastAsia" w:ascii="宋体" w:hAnsi="宋体" w:cs="宋体"/>
          <w:sz w:val="24"/>
          <w:highlight w:val="none"/>
        </w:rPr>
        <w:t>市</w:t>
      </w:r>
      <w:r>
        <w:rPr>
          <w:rFonts w:hint="eastAsia" w:ascii="宋体" w:hAnsi="宋体"/>
          <w:bCs/>
          <w:sz w:val="24"/>
        </w:rPr>
        <w:tab/>
      </w:r>
    </w:p>
    <w:p w14:paraId="660E9B3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outlineLvl w:val="0"/>
        <w:rPr>
          <w:rFonts w:hint="eastAsia" w:ascii="宋体" w:hAnsi="宋体" w:eastAsia="宋体" w:cs="宋体"/>
          <w:sz w:val="24"/>
          <w:szCs w:val="24"/>
        </w:rPr>
        <w:sectPr>
          <w:pgSz w:w="11900" w:h="16840"/>
          <w:pgMar w:top="1440" w:right="1800" w:bottom="1440" w:left="1800" w:header="794" w:footer="850" w:gutter="0"/>
          <w:pgNumType w:fmt="decimal"/>
          <w:cols w:space="720" w:num="1"/>
        </w:sectPr>
      </w:pPr>
    </w:p>
    <w:p w14:paraId="0BE96C0C">
      <w:pPr>
        <w:pStyle w:val="8"/>
        <w:spacing w:line="400" w:lineRule="exact"/>
        <w:ind w:firstLine="0" w:firstLineChars="0"/>
        <w:jc w:val="left"/>
        <w:rPr>
          <w:rFonts w:hint="eastAsia" w:ascii="华文仿宋" w:hAnsi="华文仿宋" w:cs="华文仿宋"/>
          <w:b/>
          <w:bCs/>
          <w:sz w:val="28"/>
          <w:szCs w:val="28"/>
        </w:rPr>
      </w:pPr>
      <w:r>
        <w:rPr>
          <w:rFonts w:hint="eastAsia" w:ascii="华文仿宋" w:hAnsi="华文仿宋" w:cs="华文仿宋"/>
          <w:b/>
          <w:bCs/>
          <w:sz w:val="28"/>
          <w:szCs w:val="28"/>
        </w:rPr>
        <w:t>附表1</w:t>
      </w:r>
      <w:r>
        <w:rPr>
          <w:rFonts w:hint="eastAsia" w:ascii="华文仿宋" w:hAnsi="华文仿宋" w:cs="华文仿宋"/>
          <w:b/>
          <w:bCs/>
          <w:sz w:val="28"/>
          <w:szCs w:val="28"/>
          <w:lang w:val="en-US" w:eastAsia="zh-CN"/>
        </w:rPr>
        <w:t xml:space="preserve">  </w:t>
      </w:r>
      <w:r>
        <w:rPr>
          <w:rFonts w:hint="eastAsia" w:ascii="华文仿宋" w:hAnsi="华文仿宋" w:cs="华文仿宋"/>
          <w:b/>
          <w:bCs/>
          <w:sz w:val="28"/>
          <w:szCs w:val="28"/>
          <w:lang w:eastAsia="zh-CN"/>
        </w:rPr>
        <w:t>汉中市机关事务服务中心</w:t>
      </w:r>
      <w:r>
        <w:rPr>
          <w:rFonts w:hint="eastAsia" w:ascii="华文仿宋" w:hAnsi="华文仿宋" w:cs="华文仿宋"/>
          <w:b/>
          <w:bCs/>
          <w:sz w:val="28"/>
          <w:szCs w:val="28"/>
          <w:lang w:val="en-US" w:eastAsia="zh-CN"/>
        </w:rPr>
        <w:t>职工餐厅劳务外包</w:t>
      </w:r>
      <w:r>
        <w:rPr>
          <w:rFonts w:hint="eastAsia" w:ascii="华文仿宋" w:hAnsi="华文仿宋" w:cs="华文仿宋"/>
          <w:b/>
          <w:bCs/>
          <w:sz w:val="28"/>
          <w:szCs w:val="28"/>
        </w:rPr>
        <w:t>服务项目考核表</w:t>
      </w:r>
    </w:p>
    <w:p w14:paraId="50487408">
      <w:pPr>
        <w:pStyle w:val="8"/>
        <w:spacing w:line="400" w:lineRule="exact"/>
        <w:ind w:firstLine="0" w:firstLineChars="0"/>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公司名称：                                           考核时间：</w:t>
      </w:r>
    </w:p>
    <w:tbl>
      <w:tblPr>
        <w:tblStyle w:val="11"/>
        <w:tblW w:w="8938" w:type="dxa"/>
        <w:tblInd w:w="-1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8"/>
        <w:gridCol w:w="2088"/>
        <w:gridCol w:w="1272"/>
        <w:gridCol w:w="816"/>
        <w:gridCol w:w="857"/>
        <w:gridCol w:w="3147"/>
      </w:tblGrid>
      <w:tr w14:paraId="206E1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24" w:hRule="atLeast"/>
        </w:trPr>
        <w:tc>
          <w:tcPr>
            <w:tcW w:w="758" w:type="dxa"/>
            <w:vAlign w:val="center"/>
          </w:tcPr>
          <w:p w14:paraId="7BA1E361">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asciiTheme="minorEastAsia" w:hAnsiTheme="minorEastAsia" w:eastAsiaTheme="minorEastAsia"/>
                <w:b/>
                <w:sz w:val="21"/>
                <w:szCs w:val="21"/>
              </w:rPr>
            </w:pPr>
            <w:r>
              <w:rPr>
                <w:rFonts w:hint="eastAsia" w:asciiTheme="minorEastAsia" w:hAnsiTheme="minorEastAsia" w:eastAsiaTheme="minorEastAsia"/>
                <w:b/>
                <w:sz w:val="21"/>
                <w:szCs w:val="21"/>
              </w:rPr>
              <w:t>序列</w:t>
            </w:r>
          </w:p>
        </w:tc>
        <w:tc>
          <w:tcPr>
            <w:tcW w:w="3360" w:type="dxa"/>
            <w:gridSpan w:val="2"/>
            <w:vAlign w:val="center"/>
          </w:tcPr>
          <w:p w14:paraId="3828A2D2">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asciiTheme="minorEastAsia" w:hAnsiTheme="minorEastAsia" w:eastAsiaTheme="minorEastAsia"/>
                <w:b/>
                <w:sz w:val="21"/>
                <w:szCs w:val="21"/>
              </w:rPr>
            </w:pPr>
            <w:r>
              <w:rPr>
                <w:rFonts w:hint="eastAsia" w:asciiTheme="minorEastAsia" w:hAnsiTheme="minorEastAsia" w:eastAsiaTheme="minorEastAsia"/>
                <w:b/>
                <w:sz w:val="21"/>
                <w:szCs w:val="21"/>
              </w:rPr>
              <w:t>考评内容</w:t>
            </w:r>
          </w:p>
        </w:tc>
        <w:tc>
          <w:tcPr>
            <w:tcW w:w="816" w:type="dxa"/>
            <w:vAlign w:val="center"/>
          </w:tcPr>
          <w:p w14:paraId="2DCB21FF">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asciiTheme="minorEastAsia" w:hAnsiTheme="minorEastAsia" w:eastAsiaTheme="minorEastAsia"/>
                <w:b/>
                <w:sz w:val="21"/>
                <w:szCs w:val="21"/>
              </w:rPr>
            </w:pPr>
            <w:r>
              <w:rPr>
                <w:rFonts w:hint="eastAsia" w:asciiTheme="minorEastAsia" w:hAnsiTheme="minorEastAsia" w:eastAsiaTheme="minorEastAsia"/>
                <w:b/>
                <w:sz w:val="21"/>
                <w:szCs w:val="21"/>
              </w:rPr>
              <w:t>分值</w:t>
            </w:r>
          </w:p>
        </w:tc>
        <w:tc>
          <w:tcPr>
            <w:tcW w:w="857" w:type="dxa"/>
            <w:vAlign w:val="center"/>
          </w:tcPr>
          <w:p w14:paraId="2718691B">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asciiTheme="minorEastAsia" w:hAnsiTheme="minorEastAsia" w:eastAsiaTheme="minorEastAsia"/>
                <w:b/>
                <w:sz w:val="21"/>
                <w:szCs w:val="21"/>
              </w:rPr>
            </w:pPr>
            <w:r>
              <w:rPr>
                <w:rFonts w:hint="eastAsia" w:asciiTheme="minorEastAsia" w:hAnsiTheme="minorEastAsia" w:eastAsiaTheme="minorEastAsia"/>
                <w:b/>
                <w:sz w:val="21"/>
                <w:szCs w:val="21"/>
              </w:rPr>
              <w:t>扣分</w:t>
            </w:r>
          </w:p>
        </w:tc>
        <w:tc>
          <w:tcPr>
            <w:tcW w:w="3147" w:type="dxa"/>
            <w:vAlign w:val="center"/>
          </w:tcPr>
          <w:p w14:paraId="5CE6F674">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asciiTheme="minorEastAsia" w:hAnsiTheme="minorEastAsia" w:eastAsiaTheme="minorEastAsia"/>
                <w:b/>
                <w:sz w:val="21"/>
                <w:szCs w:val="21"/>
              </w:rPr>
            </w:pPr>
            <w:r>
              <w:rPr>
                <w:rFonts w:hint="eastAsia" w:asciiTheme="minorEastAsia" w:hAnsiTheme="minorEastAsia" w:eastAsiaTheme="minorEastAsia"/>
                <w:b/>
                <w:sz w:val="21"/>
                <w:szCs w:val="21"/>
              </w:rPr>
              <w:t>扣分说明</w:t>
            </w:r>
          </w:p>
        </w:tc>
      </w:tr>
      <w:tr w14:paraId="1D08C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trPr>
        <w:tc>
          <w:tcPr>
            <w:tcW w:w="758" w:type="dxa"/>
            <w:vAlign w:val="center"/>
          </w:tcPr>
          <w:p w14:paraId="38B361AE">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1</w:t>
            </w:r>
          </w:p>
        </w:tc>
        <w:tc>
          <w:tcPr>
            <w:tcW w:w="3360" w:type="dxa"/>
            <w:gridSpan w:val="2"/>
            <w:vAlign w:val="center"/>
          </w:tcPr>
          <w:p w14:paraId="0BD1DF42">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人员出勤到岗率</w:t>
            </w:r>
          </w:p>
        </w:tc>
        <w:tc>
          <w:tcPr>
            <w:tcW w:w="816" w:type="dxa"/>
            <w:vAlign w:val="center"/>
          </w:tcPr>
          <w:p w14:paraId="01B86114">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10</w:t>
            </w:r>
          </w:p>
        </w:tc>
        <w:tc>
          <w:tcPr>
            <w:tcW w:w="857" w:type="dxa"/>
            <w:vAlign w:val="center"/>
          </w:tcPr>
          <w:p w14:paraId="712D0853">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eastAsia" w:ascii="仿宋" w:hAnsi="仿宋" w:eastAsia="仿宋" w:cs="仿宋"/>
                <w:kern w:val="2"/>
                <w:sz w:val="21"/>
                <w:szCs w:val="21"/>
                <w:lang w:val="en-US" w:eastAsia="zh-CN" w:bidi="ar-SA"/>
              </w:rPr>
            </w:pPr>
          </w:p>
        </w:tc>
        <w:tc>
          <w:tcPr>
            <w:tcW w:w="3147" w:type="dxa"/>
            <w:vAlign w:val="center"/>
          </w:tcPr>
          <w:p w14:paraId="45826159">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按照合同人数每少1人扣1分</w:t>
            </w:r>
          </w:p>
        </w:tc>
      </w:tr>
      <w:tr w14:paraId="4F670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758" w:type="dxa"/>
            <w:vAlign w:val="center"/>
          </w:tcPr>
          <w:p w14:paraId="7CB66661">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2</w:t>
            </w:r>
          </w:p>
        </w:tc>
        <w:tc>
          <w:tcPr>
            <w:tcW w:w="3360" w:type="dxa"/>
            <w:gridSpan w:val="2"/>
            <w:vAlign w:val="center"/>
          </w:tcPr>
          <w:p w14:paraId="06DF8924">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饭菜质量、品种</w:t>
            </w:r>
          </w:p>
        </w:tc>
        <w:tc>
          <w:tcPr>
            <w:tcW w:w="816" w:type="dxa"/>
            <w:vAlign w:val="center"/>
          </w:tcPr>
          <w:p w14:paraId="58D0AAB0">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20</w:t>
            </w:r>
          </w:p>
        </w:tc>
        <w:tc>
          <w:tcPr>
            <w:tcW w:w="857" w:type="dxa"/>
            <w:vAlign w:val="center"/>
          </w:tcPr>
          <w:p w14:paraId="66468AC1">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eastAsia" w:ascii="仿宋" w:hAnsi="仿宋" w:eastAsia="仿宋" w:cs="仿宋"/>
                <w:kern w:val="2"/>
                <w:sz w:val="21"/>
                <w:szCs w:val="21"/>
                <w:lang w:val="en-US" w:eastAsia="zh-CN" w:bidi="ar-SA"/>
              </w:rPr>
            </w:pPr>
          </w:p>
        </w:tc>
        <w:tc>
          <w:tcPr>
            <w:tcW w:w="3147" w:type="dxa"/>
            <w:vAlign w:val="center"/>
          </w:tcPr>
          <w:p w14:paraId="5E9623A3">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因饭菜质量造成的投诉，1次扣2分</w:t>
            </w:r>
          </w:p>
        </w:tc>
      </w:tr>
      <w:tr w14:paraId="7960E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trPr>
        <w:tc>
          <w:tcPr>
            <w:tcW w:w="758" w:type="dxa"/>
            <w:vAlign w:val="center"/>
          </w:tcPr>
          <w:p w14:paraId="20D0BD78">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3</w:t>
            </w:r>
          </w:p>
        </w:tc>
        <w:tc>
          <w:tcPr>
            <w:tcW w:w="3360" w:type="dxa"/>
            <w:gridSpan w:val="2"/>
            <w:vAlign w:val="center"/>
          </w:tcPr>
          <w:p w14:paraId="0725ADA4">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食品安全及留样</w:t>
            </w:r>
          </w:p>
        </w:tc>
        <w:tc>
          <w:tcPr>
            <w:tcW w:w="816" w:type="dxa"/>
            <w:vAlign w:val="center"/>
          </w:tcPr>
          <w:p w14:paraId="33A203CA">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20</w:t>
            </w:r>
          </w:p>
        </w:tc>
        <w:tc>
          <w:tcPr>
            <w:tcW w:w="857" w:type="dxa"/>
            <w:vAlign w:val="center"/>
          </w:tcPr>
          <w:p w14:paraId="628B5FF7">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eastAsia" w:ascii="仿宋" w:hAnsi="仿宋" w:eastAsia="仿宋" w:cs="仿宋"/>
                <w:kern w:val="2"/>
                <w:sz w:val="21"/>
                <w:szCs w:val="21"/>
                <w:lang w:val="en-US" w:eastAsia="zh-CN" w:bidi="ar-SA"/>
              </w:rPr>
            </w:pPr>
          </w:p>
        </w:tc>
        <w:tc>
          <w:tcPr>
            <w:tcW w:w="3147" w:type="dxa"/>
            <w:vAlign w:val="center"/>
          </w:tcPr>
          <w:p w14:paraId="5317DCE9">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留样不规范，1次扣2分</w:t>
            </w:r>
          </w:p>
        </w:tc>
      </w:tr>
      <w:tr w14:paraId="23C86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trPr>
        <w:tc>
          <w:tcPr>
            <w:tcW w:w="758" w:type="dxa"/>
            <w:vAlign w:val="center"/>
          </w:tcPr>
          <w:p w14:paraId="61D0FB59">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4</w:t>
            </w:r>
          </w:p>
        </w:tc>
        <w:tc>
          <w:tcPr>
            <w:tcW w:w="3360" w:type="dxa"/>
            <w:gridSpan w:val="2"/>
            <w:vAlign w:val="center"/>
          </w:tcPr>
          <w:p w14:paraId="28E1D91A">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食材领用、清洗及存放</w:t>
            </w:r>
          </w:p>
        </w:tc>
        <w:tc>
          <w:tcPr>
            <w:tcW w:w="816" w:type="dxa"/>
            <w:vAlign w:val="center"/>
          </w:tcPr>
          <w:p w14:paraId="20C30BAA">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10</w:t>
            </w:r>
          </w:p>
        </w:tc>
        <w:tc>
          <w:tcPr>
            <w:tcW w:w="857" w:type="dxa"/>
            <w:vAlign w:val="center"/>
          </w:tcPr>
          <w:p w14:paraId="78D2B20D">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eastAsia" w:ascii="仿宋" w:hAnsi="仿宋" w:eastAsia="仿宋" w:cs="仿宋"/>
                <w:kern w:val="2"/>
                <w:sz w:val="21"/>
                <w:szCs w:val="21"/>
                <w:lang w:val="en-US" w:eastAsia="zh-CN" w:bidi="ar-SA"/>
              </w:rPr>
            </w:pPr>
          </w:p>
        </w:tc>
        <w:tc>
          <w:tcPr>
            <w:tcW w:w="3147" w:type="dxa"/>
            <w:vAlign w:val="center"/>
          </w:tcPr>
          <w:p w14:paraId="0706CB79">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食材浪费，1次扣2分</w:t>
            </w:r>
          </w:p>
        </w:tc>
      </w:tr>
      <w:tr w14:paraId="58721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trPr>
        <w:tc>
          <w:tcPr>
            <w:tcW w:w="758" w:type="dxa"/>
            <w:vAlign w:val="center"/>
          </w:tcPr>
          <w:p w14:paraId="17CE3D2C">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5</w:t>
            </w:r>
          </w:p>
        </w:tc>
        <w:tc>
          <w:tcPr>
            <w:tcW w:w="3360" w:type="dxa"/>
            <w:gridSpan w:val="2"/>
            <w:vAlign w:val="center"/>
          </w:tcPr>
          <w:p w14:paraId="6C557513">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餐厅环境、厨具清洗、垃圾分类等卫生保洁情况</w:t>
            </w:r>
          </w:p>
        </w:tc>
        <w:tc>
          <w:tcPr>
            <w:tcW w:w="816" w:type="dxa"/>
            <w:vAlign w:val="center"/>
          </w:tcPr>
          <w:p w14:paraId="4B4C8B3A">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10</w:t>
            </w:r>
          </w:p>
        </w:tc>
        <w:tc>
          <w:tcPr>
            <w:tcW w:w="857" w:type="dxa"/>
            <w:vAlign w:val="center"/>
          </w:tcPr>
          <w:p w14:paraId="0FA00A28">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eastAsia" w:ascii="仿宋" w:hAnsi="仿宋" w:eastAsia="仿宋" w:cs="仿宋"/>
                <w:kern w:val="2"/>
                <w:sz w:val="21"/>
                <w:szCs w:val="21"/>
                <w:lang w:val="en-US" w:eastAsia="zh-CN" w:bidi="ar-SA"/>
              </w:rPr>
            </w:pPr>
          </w:p>
        </w:tc>
        <w:tc>
          <w:tcPr>
            <w:tcW w:w="3147" w:type="dxa"/>
            <w:vAlign w:val="center"/>
          </w:tcPr>
          <w:p w14:paraId="32279F0D">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卫生情况日常检查抽查中发现1次不达标项目扣1分</w:t>
            </w:r>
          </w:p>
        </w:tc>
      </w:tr>
      <w:tr w14:paraId="54082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trPr>
        <w:tc>
          <w:tcPr>
            <w:tcW w:w="758" w:type="dxa"/>
            <w:vAlign w:val="center"/>
          </w:tcPr>
          <w:p w14:paraId="2D49A8C8">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6</w:t>
            </w:r>
          </w:p>
        </w:tc>
        <w:tc>
          <w:tcPr>
            <w:tcW w:w="3360" w:type="dxa"/>
            <w:gridSpan w:val="2"/>
            <w:vAlign w:val="center"/>
          </w:tcPr>
          <w:p w14:paraId="60339CD7">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eastAsia" w:ascii="仿宋" w:hAnsi="仿宋" w:eastAsia="仿宋" w:cs="仿宋"/>
                <w:b/>
                <w:bCs/>
                <w:kern w:val="2"/>
                <w:sz w:val="21"/>
                <w:szCs w:val="21"/>
                <w:lang w:val="en-US" w:eastAsia="zh-CN" w:bidi="ar-SA"/>
              </w:rPr>
            </w:pPr>
            <w:r>
              <w:rPr>
                <w:rFonts w:hint="eastAsia" w:ascii="仿宋" w:hAnsi="仿宋" w:eastAsia="仿宋" w:cs="仿宋"/>
                <w:kern w:val="2"/>
                <w:sz w:val="21"/>
                <w:szCs w:val="21"/>
                <w:lang w:val="en-US" w:eastAsia="zh-CN" w:bidi="ar-SA"/>
              </w:rPr>
              <w:t>工作人员服务情况</w:t>
            </w:r>
          </w:p>
        </w:tc>
        <w:tc>
          <w:tcPr>
            <w:tcW w:w="816" w:type="dxa"/>
            <w:vAlign w:val="center"/>
          </w:tcPr>
          <w:p w14:paraId="13412D4F">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10</w:t>
            </w:r>
          </w:p>
        </w:tc>
        <w:tc>
          <w:tcPr>
            <w:tcW w:w="857" w:type="dxa"/>
            <w:vAlign w:val="center"/>
          </w:tcPr>
          <w:p w14:paraId="33C069DD">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eastAsia" w:ascii="仿宋" w:hAnsi="仿宋" w:eastAsia="仿宋" w:cs="仿宋"/>
                <w:kern w:val="2"/>
                <w:sz w:val="21"/>
                <w:szCs w:val="21"/>
                <w:lang w:val="en-US" w:eastAsia="zh-CN" w:bidi="ar-SA"/>
              </w:rPr>
            </w:pPr>
          </w:p>
        </w:tc>
        <w:tc>
          <w:tcPr>
            <w:tcW w:w="3147" w:type="dxa"/>
            <w:vAlign w:val="center"/>
          </w:tcPr>
          <w:p w14:paraId="727AA1AC">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服务需热情周到，对于服务问题及投诉整改不及时1次扣1分</w:t>
            </w:r>
          </w:p>
        </w:tc>
      </w:tr>
      <w:tr w14:paraId="61622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trPr>
        <w:tc>
          <w:tcPr>
            <w:tcW w:w="758" w:type="dxa"/>
            <w:vAlign w:val="center"/>
          </w:tcPr>
          <w:p w14:paraId="25717D1D">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7</w:t>
            </w:r>
          </w:p>
        </w:tc>
        <w:tc>
          <w:tcPr>
            <w:tcW w:w="3360" w:type="dxa"/>
            <w:gridSpan w:val="2"/>
            <w:vAlign w:val="center"/>
          </w:tcPr>
          <w:p w14:paraId="07B47BBC">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餐厅独立账务体系的管理与核算</w:t>
            </w:r>
          </w:p>
        </w:tc>
        <w:tc>
          <w:tcPr>
            <w:tcW w:w="816" w:type="dxa"/>
            <w:vAlign w:val="center"/>
          </w:tcPr>
          <w:p w14:paraId="6367E2C4">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10</w:t>
            </w:r>
          </w:p>
        </w:tc>
        <w:tc>
          <w:tcPr>
            <w:tcW w:w="857" w:type="dxa"/>
            <w:vAlign w:val="center"/>
          </w:tcPr>
          <w:p w14:paraId="445116CE">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eastAsia" w:ascii="仿宋" w:hAnsi="仿宋" w:eastAsia="仿宋" w:cs="仿宋"/>
                <w:kern w:val="2"/>
                <w:sz w:val="21"/>
                <w:szCs w:val="21"/>
                <w:lang w:val="en-US" w:eastAsia="zh-CN" w:bidi="ar-SA"/>
              </w:rPr>
            </w:pPr>
          </w:p>
        </w:tc>
        <w:tc>
          <w:tcPr>
            <w:tcW w:w="3147" w:type="dxa"/>
            <w:vAlign w:val="center"/>
          </w:tcPr>
          <w:p w14:paraId="6ED440F7">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财务凭证不规范，未做到账目清晰，1次扣2分</w:t>
            </w:r>
          </w:p>
        </w:tc>
      </w:tr>
      <w:tr w14:paraId="6ECF2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trPr>
        <w:tc>
          <w:tcPr>
            <w:tcW w:w="758" w:type="dxa"/>
            <w:vAlign w:val="center"/>
          </w:tcPr>
          <w:p w14:paraId="304F90D8">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8</w:t>
            </w:r>
          </w:p>
        </w:tc>
        <w:tc>
          <w:tcPr>
            <w:tcW w:w="3360" w:type="dxa"/>
            <w:gridSpan w:val="2"/>
            <w:vAlign w:val="center"/>
          </w:tcPr>
          <w:p w14:paraId="4C25A5B8">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员工业务培训</w:t>
            </w:r>
          </w:p>
        </w:tc>
        <w:tc>
          <w:tcPr>
            <w:tcW w:w="816" w:type="dxa"/>
            <w:vAlign w:val="center"/>
          </w:tcPr>
          <w:p w14:paraId="19554271">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10</w:t>
            </w:r>
          </w:p>
        </w:tc>
        <w:tc>
          <w:tcPr>
            <w:tcW w:w="857" w:type="dxa"/>
            <w:vAlign w:val="center"/>
          </w:tcPr>
          <w:p w14:paraId="18FED007">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eastAsia" w:ascii="仿宋" w:hAnsi="仿宋" w:eastAsia="仿宋" w:cs="仿宋"/>
                <w:kern w:val="2"/>
                <w:sz w:val="21"/>
                <w:szCs w:val="21"/>
                <w:lang w:val="en-US" w:eastAsia="zh-CN" w:bidi="ar-SA"/>
              </w:rPr>
            </w:pPr>
          </w:p>
        </w:tc>
        <w:tc>
          <w:tcPr>
            <w:tcW w:w="3147" w:type="dxa"/>
            <w:vAlign w:val="center"/>
          </w:tcPr>
          <w:p w14:paraId="1F34BA0B">
            <w:pPr>
              <w:pStyle w:val="9"/>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eastAsia" w:ascii="仿宋" w:hAnsi="仿宋" w:eastAsia="仿宋" w:cs="仿宋"/>
                <w:kern w:val="2"/>
                <w:sz w:val="21"/>
                <w:szCs w:val="21"/>
                <w:lang w:val="en-US" w:eastAsia="zh-CN" w:bidi="ar-SA"/>
              </w:rPr>
            </w:pPr>
          </w:p>
        </w:tc>
      </w:tr>
      <w:tr w14:paraId="1FDF2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trPr>
        <w:tc>
          <w:tcPr>
            <w:tcW w:w="2846" w:type="dxa"/>
            <w:gridSpan w:val="2"/>
            <w:vAlign w:val="center"/>
          </w:tcPr>
          <w:p w14:paraId="6419F778">
            <w:pPr>
              <w:pStyle w:val="9"/>
              <w:widowControl w:val="0"/>
              <w:spacing w:line="360" w:lineRule="auto"/>
              <w:ind w:left="0" w:leftChars="0" w:firstLine="0" w:firstLineChars="0"/>
              <w:jc w:val="center"/>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综合考评得分</w:t>
            </w:r>
          </w:p>
        </w:tc>
        <w:tc>
          <w:tcPr>
            <w:tcW w:w="6092" w:type="dxa"/>
            <w:gridSpan w:val="4"/>
            <w:vAlign w:val="center"/>
          </w:tcPr>
          <w:p w14:paraId="47610FED">
            <w:pPr>
              <w:pStyle w:val="9"/>
              <w:widowControl w:val="0"/>
              <w:spacing w:line="360" w:lineRule="auto"/>
              <w:ind w:left="0" w:leftChars="0" w:firstLine="0" w:firstLineChars="0"/>
              <w:jc w:val="center"/>
              <w:rPr>
                <w:rFonts w:hint="eastAsia" w:ascii="仿宋" w:hAnsi="仿宋" w:eastAsia="仿宋" w:cs="仿宋"/>
                <w:kern w:val="2"/>
                <w:sz w:val="21"/>
                <w:szCs w:val="21"/>
                <w:lang w:val="en-US" w:eastAsia="zh-CN" w:bidi="ar-SA"/>
              </w:rPr>
            </w:pPr>
          </w:p>
        </w:tc>
      </w:tr>
      <w:tr w14:paraId="44979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2846" w:type="dxa"/>
            <w:gridSpan w:val="2"/>
            <w:vAlign w:val="center"/>
          </w:tcPr>
          <w:p w14:paraId="61C24AE7">
            <w:pPr>
              <w:pStyle w:val="9"/>
              <w:widowControl w:val="0"/>
              <w:spacing w:line="360" w:lineRule="auto"/>
              <w:ind w:left="0" w:leftChars="0" w:firstLine="0" w:firstLineChars="0"/>
              <w:jc w:val="center"/>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考核评价等级</w:t>
            </w:r>
          </w:p>
        </w:tc>
        <w:tc>
          <w:tcPr>
            <w:tcW w:w="6092" w:type="dxa"/>
            <w:gridSpan w:val="4"/>
            <w:vAlign w:val="center"/>
          </w:tcPr>
          <w:p w14:paraId="486E1B75">
            <w:pPr>
              <w:pStyle w:val="9"/>
              <w:widowControl w:val="0"/>
              <w:spacing w:line="360" w:lineRule="auto"/>
              <w:ind w:left="0" w:leftChars="0" w:firstLine="0" w:firstLineChars="0"/>
              <w:jc w:val="left"/>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sym w:font="Wingdings" w:char="00A8"/>
            </w:r>
            <w:r>
              <w:rPr>
                <w:rFonts w:hint="eastAsia" w:ascii="仿宋" w:hAnsi="仿宋" w:eastAsia="仿宋" w:cs="仿宋"/>
                <w:kern w:val="2"/>
                <w:sz w:val="21"/>
                <w:szCs w:val="21"/>
                <w:lang w:val="en-US" w:eastAsia="zh-CN" w:bidi="ar-SA"/>
              </w:rPr>
              <w:t xml:space="preserve">优秀           </w:t>
            </w:r>
            <w:r>
              <w:rPr>
                <w:rFonts w:hint="eastAsia" w:ascii="仿宋" w:hAnsi="仿宋" w:eastAsia="仿宋" w:cs="仿宋"/>
                <w:kern w:val="2"/>
                <w:sz w:val="21"/>
                <w:szCs w:val="21"/>
                <w:lang w:val="en-US" w:eastAsia="zh-CN" w:bidi="ar-SA"/>
              </w:rPr>
              <w:sym w:font="Wingdings" w:char="00A8"/>
            </w:r>
            <w:r>
              <w:rPr>
                <w:rFonts w:hint="eastAsia" w:ascii="仿宋" w:hAnsi="仿宋" w:eastAsia="仿宋" w:cs="仿宋"/>
                <w:kern w:val="2"/>
                <w:sz w:val="21"/>
                <w:szCs w:val="21"/>
                <w:lang w:val="en-US" w:eastAsia="zh-CN" w:bidi="ar-SA"/>
              </w:rPr>
              <w:t xml:space="preserve">合格          </w:t>
            </w:r>
            <w:r>
              <w:rPr>
                <w:rFonts w:hint="eastAsia" w:ascii="仿宋" w:hAnsi="仿宋" w:eastAsia="仿宋" w:cs="仿宋"/>
                <w:kern w:val="2"/>
                <w:sz w:val="21"/>
                <w:szCs w:val="21"/>
                <w:lang w:val="en-US" w:eastAsia="zh-CN" w:bidi="ar-SA"/>
              </w:rPr>
              <w:sym w:font="Wingdings" w:char="00A8"/>
            </w:r>
            <w:r>
              <w:rPr>
                <w:rFonts w:hint="eastAsia" w:ascii="仿宋" w:hAnsi="仿宋" w:eastAsia="仿宋" w:cs="仿宋"/>
                <w:kern w:val="2"/>
                <w:sz w:val="21"/>
                <w:szCs w:val="21"/>
                <w:lang w:val="en-US" w:eastAsia="zh-CN" w:bidi="ar-SA"/>
              </w:rPr>
              <w:t>不合格</w:t>
            </w:r>
          </w:p>
        </w:tc>
      </w:tr>
      <w:tr w14:paraId="298B5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4" w:hRule="atLeast"/>
        </w:trPr>
        <w:tc>
          <w:tcPr>
            <w:tcW w:w="8938" w:type="dxa"/>
            <w:gridSpan w:val="6"/>
          </w:tcPr>
          <w:p w14:paraId="1B0C5675">
            <w:pPr>
              <w:widowControl w:val="0"/>
              <w:spacing w:line="360" w:lineRule="auto"/>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说明：1、考评分为优秀、合格、不合格三个等级。</w:t>
            </w:r>
          </w:p>
          <w:p w14:paraId="0DAD8088">
            <w:pPr>
              <w:widowControl w:val="0"/>
              <w:spacing w:line="360" w:lineRule="auto"/>
              <w:ind w:firstLine="630" w:firstLineChars="300"/>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2、等级界限：优秀为90（含）以上；合格为80（含）-90分；不合格为80分以下。</w:t>
            </w:r>
          </w:p>
          <w:p w14:paraId="4B6CB89D">
            <w:pPr>
              <w:widowControl w:val="0"/>
              <w:spacing w:line="360" w:lineRule="auto"/>
              <w:ind w:firstLine="630" w:firstLineChars="300"/>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3、发生重大食品安全事故，对计量院声誉造成重大影响，按照不合格级计算。</w:t>
            </w:r>
          </w:p>
          <w:p w14:paraId="32B1E3EE">
            <w:pPr>
              <w:widowControl w:val="0"/>
              <w:spacing w:line="360" w:lineRule="auto"/>
              <w:ind w:firstLine="630" w:firstLineChars="300"/>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4、考核为优秀，全额支付本月约定支付的劳务费用；考核为合格，对甲方提出的问题乙方组织及时整改按期整改完成后全额支付本月约定支付的劳务费用，如乙方未按期及时整改的支付本月约定支付的80%劳务费用；考核为不合格，支付本月约定支付的50%劳务费用；累计三个月考核不合格甲方有权解除合同。</w:t>
            </w:r>
            <w:bookmarkStart w:id="52" w:name="_GoBack"/>
            <w:bookmarkEnd w:id="52"/>
          </w:p>
        </w:tc>
      </w:tr>
    </w:tbl>
    <w:p w14:paraId="317F7EEE">
      <w:r>
        <w:rPr>
          <w:rFonts w:hint="eastAsia" w:cs="仿宋" w:asciiTheme="minorEastAsia" w:hAnsiTheme="minorEastAsia"/>
          <w:sz w:val="24"/>
          <w:lang w:val="en-US" w:eastAsia="zh-CN"/>
        </w:rPr>
        <w:t>考核人员签字：</w:t>
      </w:r>
      <w:r>
        <w:rPr>
          <w:rFonts w:hint="eastAsia" w:cs="仿宋" w:asciiTheme="minorEastAsia" w:hAnsiTheme="minorEastAsia" w:eastAsiaTheme="minorEastAsia"/>
          <w:sz w:val="24"/>
        </w:rPr>
        <w:t xml:space="preserve">                   </w:t>
      </w:r>
      <w:r>
        <w:rPr>
          <w:rFonts w:hint="eastAsia" w:cs="仿宋" w:asciiTheme="minorEastAsia" w:hAnsiTheme="minorEastAsia"/>
          <w:sz w:val="24"/>
          <w:lang w:val="en-US" w:eastAsia="zh-CN"/>
        </w:rPr>
        <w:t xml:space="preserve">           </w:t>
      </w:r>
      <w:r>
        <w:rPr>
          <w:rFonts w:hint="eastAsia" w:cs="仿宋" w:asciiTheme="minorEastAsia" w:hAnsiTheme="minorEastAsia" w:eastAsiaTheme="minorEastAsia"/>
          <w:sz w:val="24"/>
        </w:rPr>
        <w:t xml:space="preserve"> 考核</w:t>
      </w:r>
      <w:r>
        <w:rPr>
          <w:rFonts w:hint="eastAsia" w:cs="仿宋" w:asciiTheme="minorEastAsia" w:hAnsiTheme="minorEastAsia"/>
          <w:sz w:val="24"/>
          <w:lang w:val="en-US" w:eastAsia="zh-CN"/>
        </w:rPr>
        <w:t>部门负责人签字</w:t>
      </w:r>
      <w:r>
        <w:rPr>
          <w:rFonts w:hint="eastAsia" w:cs="仿宋" w:asciiTheme="minorEastAsia" w:hAnsiTheme="minorEastAsia" w:eastAsiaTheme="minorEastAsia"/>
          <w:sz w:val="24"/>
        </w:rPr>
        <w:t>：</w:t>
      </w: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auto"/>
    <w:pitch w:val="default"/>
    <w:sig w:usb0="00000203" w:usb1="288F0000" w:usb2="00000006" w:usb3="00000000" w:csb0="00040001" w:csb1="00000000"/>
  </w:font>
  <w:font w:name="华文仿宋">
    <w:altName w:val="仿宋"/>
    <w:panose1 w:val="02010600040101010101"/>
    <w:charset w:val="86"/>
    <w:family w:val="roman"/>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 w:name="KSOF0B79BE30">
    <w:panose1 w:val="02010600040101010101"/>
    <w:charset w:val="86"/>
    <w:family w:val="auto"/>
    <w:pitch w:val="default"/>
    <w:sig w:usb0="00000001" w:usb1="00000000" w:usb2="00000000"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80E973">
    <w:pPr>
      <w:spacing w:line="173" w:lineRule="auto"/>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DB8BB1">
                          <w:pPr>
                            <w:pStyle w:val="7"/>
                          </w:pPr>
                          <w:r>
                            <w:t xml:space="preserve">第 </w:t>
                          </w:r>
                          <w:r>
                            <w:fldChar w:fldCharType="begin"/>
                          </w:r>
                          <w:r>
                            <w:instrText xml:space="preserve"> PAGE  \* MERGEFORMAT </w:instrText>
                          </w:r>
                          <w:r>
                            <w:fldChar w:fldCharType="separate"/>
                          </w:r>
                          <w:r>
                            <w:t>21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4DB8BB1">
                    <w:pPr>
                      <w:pStyle w:val="7"/>
                    </w:pPr>
                    <w:r>
                      <w:t xml:space="preserve">第 </w:t>
                    </w:r>
                    <w:r>
                      <w:fldChar w:fldCharType="begin"/>
                    </w:r>
                    <w:r>
                      <w:instrText xml:space="preserve"> PAGE  \* MERGEFORMAT </w:instrText>
                    </w:r>
                    <w:r>
                      <w:fldChar w:fldCharType="separate"/>
                    </w:r>
                    <w:r>
                      <w:t>21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kZmI0M2JhYzVlYWM0ZDFkY2NiMDIxYTlhODgzYTQifQ=="/>
  </w:docVars>
  <w:rsids>
    <w:rsidRoot w:val="1EAC3C3C"/>
    <w:rsid w:val="0D527C6C"/>
    <w:rsid w:val="1EAC3C3C"/>
    <w:rsid w:val="3A005CBD"/>
    <w:rsid w:val="3EB219FB"/>
    <w:rsid w:val="4D3F31E2"/>
    <w:rsid w:val="582D74EB"/>
    <w:rsid w:val="64D14B8A"/>
    <w:rsid w:val="6E485811"/>
    <w:rsid w:val="71D328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3"/>
    <w:link w:val="14"/>
    <w:qFormat/>
    <w:uiPriority w:val="0"/>
    <w:pPr>
      <w:keepNext/>
      <w:keepLines/>
      <w:adjustRightInd w:val="0"/>
      <w:snapToGrid w:val="0"/>
      <w:spacing w:before="340" w:after="330" w:line="240" w:lineRule="auto"/>
      <w:jc w:val="center"/>
      <w:outlineLvl w:val="0"/>
    </w:pPr>
    <w:rPr>
      <w:rFonts w:asciiTheme="minorAscii" w:hAnsiTheme="minorAscii"/>
      <w:b/>
      <w:bCs/>
      <w:kern w:val="44"/>
      <w:sz w:val="44"/>
      <w:szCs w:val="44"/>
    </w:rPr>
  </w:style>
  <w:style w:type="paragraph" w:styleId="3">
    <w:name w:val="heading 2"/>
    <w:basedOn w:val="1"/>
    <w:next w:val="1"/>
    <w:link w:val="13"/>
    <w:semiHidden/>
    <w:unhideWhenUsed/>
    <w:qFormat/>
    <w:uiPriority w:val="0"/>
    <w:pPr>
      <w:keepNext/>
      <w:keepLines/>
      <w:spacing w:before="140" w:after="140" w:line="416" w:lineRule="auto"/>
      <w:jc w:val="left"/>
      <w:outlineLvl w:val="1"/>
    </w:pPr>
    <w:rPr>
      <w:rFonts w:ascii="Arial" w:hAnsi="Arial" w:eastAsia="宋体" w:cs="Times New Roman"/>
      <w:b/>
      <w:bCs/>
      <w:sz w:val="24"/>
      <w:szCs w:val="32"/>
    </w:rPr>
  </w:style>
  <w:style w:type="character" w:default="1" w:styleId="12">
    <w:name w:val="Default Paragraph Font"/>
    <w:semiHidden/>
    <w:unhideWhenUsed/>
    <w:qFormat/>
    <w:uiPriority w:val="1"/>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w:basedOn w:val="1"/>
    <w:semiHidden/>
    <w:qFormat/>
    <w:uiPriority w:val="0"/>
    <w:rPr>
      <w:rFonts w:ascii="Arial" w:hAnsi="Arial" w:eastAsia="Arial" w:cs="Arial"/>
      <w:sz w:val="21"/>
      <w:szCs w:val="21"/>
      <w:lang w:val="en-US" w:eastAsia="en-US" w:bidi="ar-SA"/>
    </w:rPr>
  </w:style>
  <w:style w:type="paragraph" w:styleId="5">
    <w:name w:val="Body Text Indent"/>
    <w:basedOn w:val="1"/>
    <w:qFormat/>
    <w:uiPriority w:val="0"/>
    <w:pPr>
      <w:ind w:firstLine="552"/>
    </w:pPr>
    <w:rPr>
      <w:rFonts w:ascii="宋体"/>
      <w:sz w:val="28"/>
    </w:rPr>
  </w:style>
  <w:style w:type="paragraph" w:styleId="6">
    <w:name w:val="Block Text"/>
    <w:basedOn w:val="1"/>
    <w:unhideWhenUsed/>
    <w:qFormat/>
    <w:uiPriority w:val="99"/>
    <w:pPr>
      <w:spacing w:after="120"/>
      <w:ind w:left="1440" w:leftChars="700" w:right="1440" w:rightChars="700"/>
    </w:pPr>
  </w:style>
  <w:style w:type="paragraph" w:styleId="7">
    <w:name w:val="footer"/>
    <w:basedOn w:val="1"/>
    <w:qFormat/>
    <w:uiPriority w:val="0"/>
    <w:pPr>
      <w:tabs>
        <w:tab w:val="center" w:pos="4153"/>
        <w:tab w:val="right" w:pos="8306"/>
      </w:tabs>
      <w:snapToGrid w:val="0"/>
      <w:jc w:val="left"/>
    </w:pPr>
    <w:rPr>
      <w:sz w:val="18"/>
    </w:rPr>
  </w:style>
  <w:style w:type="paragraph" w:styleId="8">
    <w:name w:val="Body Text First Indent"/>
    <w:basedOn w:val="4"/>
    <w:next w:val="9"/>
    <w:qFormat/>
    <w:uiPriority w:val="99"/>
    <w:pPr>
      <w:adjustRightInd/>
      <w:snapToGrid/>
      <w:spacing w:after="200"/>
      <w:ind w:firstLine="420" w:firstLineChars="100"/>
      <w:jc w:val="both"/>
    </w:pPr>
    <w:rPr>
      <w:rFonts w:ascii="Times New Roman" w:hAnsi="Times New Roman" w:eastAsia="华文仿宋"/>
      <w:kern w:val="2"/>
      <w:sz w:val="18"/>
      <w:szCs w:val="18"/>
    </w:rPr>
  </w:style>
  <w:style w:type="paragraph" w:styleId="9">
    <w:name w:val="Body Text First Indent 2"/>
    <w:basedOn w:val="5"/>
    <w:qFormat/>
    <w:uiPriority w:val="0"/>
    <w:pPr>
      <w:ind w:firstLine="420" w:firstLineChars="200"/>
    </w:pPr>
    <w:rPr>
      <w:rFonts w:ascii="Times New Roman" w:hAnsi="Times New Roman" w:cs="Times New Roman"/>
      <w:szCs w:val="20"/>
    </w:rPr>
  </w:style>
  <w:style w:type="table" w:styleId="11">
    <w:name w:val="Table Grid"/>
    <w:basedOn w:val="10"/>
    <w:qFormat/>
    <w:uiPriority w:val="59"/>
    <w:pPr>
      <w:widowControl w:val="0"/>
      <w:spacing w:line="360" w:lineRule="auto"/>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标题 2 Char"/>
    <w:link w:val="3"/>
    <w:qFormat/>
    <w:uiPriority w:val="0"/>
    <w:rPr>
      <w:rFonts w:ascii="Arial" w:hAnsi="Arial" w:eastAsia="宋体" w:cs="Times New Roman"/>
      <w:b/>
      <w:bCs/>
      <w:sz w:val="24"/>
      <w:szCs w:val="32"/>
    </w:rPr>
  </w:style>
  <w:style w:type="character" w:customStyle="1" w:styleId="14">
    <w:name w:val="标题 1 Char"/>
    <w:basedOn w:val="12"/>
    <w:link w:val="2"/>
    <w:qFormat/>
    <w:uiPriority w:val="99"/>
    <w:rPr>
      <w:rFonts w:asciiTheme="minorAscii" w:hAnsiTheme="minorAscii" w:eastAsiaTheme="minorEastAsia" w:cstheme="minorBidi"/>
      <w:b/>
      <w:bCs/>
      <w:kern w:val="44"/>
      <w:sz w:val="44"/>
      <w:szCs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1818</Words>
  <Characters>1850</Characters>
  <Lines>0</Lines>
  <Paragraphs>0</Paragraphs>
  <TotalTime>3</TotalTime>
  <ScaleCrop>false</ScaleCrop>
  <LinksUpToDate>false</LinksUpToDate>
  <CharactersWithSpaces>2688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2024-10-21T11:18:00Z</dcterms:created>
  <dc:creator>开瑞</dc:creator>
  <cp:lastModifiedBy>古井</cp:lastModifiedBy>
  <dcterms:modified xsi:type="dcterms:W3CDTF">2025-12-18T02:09:18Z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33E8072688C74848B6EEBC7CCD95B979_13</vt:lpwstr>
  </property>
  <property fmtid="{D5CDD505-2E9C-101B-9397-08002B2CF9AE}" pid="4" name="KSOTemplateDocerSaveRecord">
    <vt:lpwstr>eyJoZGlkIjoiZGZiM2FmYWJmOTdkZTNjMzgyZjU3ZWE1M2NiYjcxMTIiLCJ1c2VySWQiOiI2MzQwMjU1NDcifQ==</vt:lpwstr>
  </property>
</Properties>
</file>