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版本号：JQZBX2025-12-1720251218001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镇巴县兴隆镇硫铁矿历史遗留废渣微生物法治理（试点）项目监理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JQZBX2025-12-17</w:t>
      </w:r>
      <w:r>
        <w:br/>
      </w:r>
      <w:r>
        <w:br/>
      </w:r>
      <w:r>
        <w:br/>
      </w:r>
    </w:p>
    <w:p>
      <w:pPr>
        <w:pStyle w:val="null3"/>
        <w:jc w:val="center"/>
        <w:outlineLvl w:val="2"/>
      </w:pPr>
      <w:r>
        <w:rPr>
          <w:rFonts w:ascii="仿宋_GB2312" w:hAnsi="仿宋_GB2312" w:cs="仿宋_GB2312" w:eastAsia="仿宋_GB2312"/>
          <w:sz w:val="28"/>
          <w:b/>
        </w:rPr>
        <w:t>汉中市生态环境局镇巴分局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汉中市生态环境局镇巴分局</w:t>
      </w:r>
      <w:r>
        <w:rPr>
          <w:rFonts w:ascii="仿宋_GB2312" w:hAnsi="仿宋_GB2312" w:cs="仿宋_GB2312" w:eastAsia="仿宋_GB2312"/>
        </w:rPr>
        <w:t>委托，拟对</w:t>
      </w:r>
      <w:r>
        <w:rPr>
          <w:rFonts w:ascii="仿宋_GB2312" w:hAnsi="仿宋_GB2312" w:cs="仿宋_GB2312" w:eastAsia="仿宋_GB2312"/>
        </w:rPr>
        <w:t>镇巴县兴隆镇硫铁矿历史遗留废渣微生物法治理（试点）项目监理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JQZBX2025-12-17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镇巴县兴隆镇硫铁矿历史遗留废渣微生物法治理（试点）项目监理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规模：1、喷淋微生物菌液23014.32m3，微生物治理35234㎡。总治理硫铁矿矿渣82555.71m3；2.新建拦渣坝17.8m、挡土墙468.45m、截洪沟1862.01m、坡面排水沟1493.16m、箱涵159.39m、临时道路500m、高陡边坡防护25866㎡。3.处理废水，4943m3，复垦土地1084.25㎡。 具体包括施工全过程及保修阶段的全部监理服务工作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采购包1（镇巴县兴隆镇硫铁矿历史遗留废渣微生物法治理（试点）项目监理）：属于专门面向中小企业采购。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 复印件(法定代表人直接参加投标只须提供法定代表人身份证复印件)</w:t>
      </w:r>
    </w:p>
    <w:p>
      <w:pPr>
        <w:pStyle w:val="null3"/>
      </w:pPr>
      <w:r>
        <w:rPr>
          <w:rFonts w:ascii="仿宋_GB2312" w:hAnsi="仿宋_GB2312" w:cs="仿宋_GB2312" w:eastAsia="仿宋_GB2312"/>
        </w:rPr>
        <w:t>4、供应商资质要求：供应商须具备建设行政主管部门颁发的工程监理综合资质或市政公用工程监理乙级及以上资质</w:t>
      </w:r>
    </w:p>
    <w:p>
      <w:pPr>
        <w:pStyle w:val="null3"/>
      </w:pPr>
      <w:r>
        <w:rPr>
          <w:rFonts w:ascii="仿宋_GB2312" w:hAnsi="仿宋_GB2312" w:cs="仿宋_GB2312" w:eastAsia="仿宋_GB2312"/>
        </w:rPr>
        <w:t>5、拟派项目负责人要求：供应商拟派项目负责人须具备相关专业注册监理工程师执业资格，且未担任其他在监工程项目并无不良记录</w:t>
      </w:r>
    </w:p>
    <w:p>
      <w:pPr>
        <w:pStyle w:val="null3"/>
      </w:pPr>
      <w:r>
        <w:rPr>
          <w:rFonts w:ascii="仿宋_GB2312" w:hAnsi="仿宋_GB2312" w:cs="仿宋_GB2312" w:eastAsia="仿宋_GB2312"/>
        </w:rPr>
        <w:t>6、投标保证金：保证金缴纳凭证（截图加盖公章）和采购代理机构开具的收款收据</w:t>
      </w:r>
    </w:p>
    <w:p>
      <w:pPr>
        <w:pStyle w:val="null3"/>
      </w:pPr>
      <w:r>
        <w:rPr>
          <w:rFonts w:ascii="仿宋_GB2312" w:hAnsi="仿宋_GB2312" w:cs="仿宋_GB2312" w:eastAsia="仿宋_GB2312"/>
        </w:rPr>
        <w:t>7、关联关系：本项目不接受联合体投标，单位负责人为同一人或者存在控股、管理关系的不同单位不得同时参加需提供书面声明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汉中市生态环境局镇巴分局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13909167799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汉中市汉台区财富立方写字楼 7 号 14 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陈西洋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13992608388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开户名称：泾清项目管理有限公司汉台分公司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银行账号：103688816695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[2002]1980号）和国家发展和改革委员会办公厅颁发的《关于招标代理服务收费有关问题的通知》（发改办价格[2003]857号）的有关规定标准收取。 招标代理服务费公布方式：代理服务费金额将在成交结果公告中明确，成交单位在领取成交通知书前，须向采购代理机构一次性支付招标代理服务费。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汉中市生态环境局镇巴分局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汉中市生态环境局镇巴分局</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汉中市生态环境局镇巴分局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联系人：陈西洋</w:t>
      </w:r>
    </w:p>
    <w:p>
      <w:pPr>
        <w:pStyle w:val="null3"/>
      </w:pPr>
      <w:r>
        <w:rPr>
          <w:rFonts w:ascii="仿宋_GB2312" w:hAnsi="仿宋_GB2312" w:cs="仿宋_GB2312" w:eastAsia="仿宋_GB2312"/>
        </w:rPr>
        <w:t>联系电话：13992608388</w:t>
      </w:r>
    </w:p>
    <w:p>
      <w:pPr>
        <w:pStyle w:val="null3"/>
      </w:pPr>
      <w:r>
        <w:rPr>
          <w:rFonts w:ascii="仿宋_GB2312" w:hAnsi="仿宋_GB2312" w:cs="仿宋_GB2312" w:eastAsia="仿宋_GB2312"/>
        </w:rPr>
        <w:t>地址：汉中市汉台区财富立方写字楼 7 号 14 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镇巴县兴隆镇硫铁矿历史遗留废渣微生物法治理（试点）项目施工图纸范围内所有内容的实施、交工、缺陷责任期范围内全过程的监理工作。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镇巴县兴隆镇硫铁矿历史遗留废渣微生物法治理（试点）项目监理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标的名称：镇巴县兴隆镇硫铁矿历史遗留废渣微生物法治理（试点）项目监理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2"/>
            </w:pPr>
            <w:r>
              <w:rPr>
                <w:rFonts w:ascii="仿宋_GB2312" w:hAnsi="仿宋_GB2312" w:cs="仿宋_GB2312" w:eastAsia="仿宋_GB2312"/>
                <w:sz w:val="21"/>
                <w:b/>
                <w:color w:val="333333"/>
                <w:shd w:fill="FFFFFF" w:val="clear"/>
              </w:rPr>
              <w:t>一、项目概况：1、喷淋微生物菌液23014.32m3，微生物治理35234㎡。总治理硫铁矿矿渣82555.71m3；2.新建拦渣坝17.8m、挡土墙468.45m、截洪沟1862.01m、坡面排水沟1493.16m、箱涵159.39m、临时道路500m、高陡边坡防护25866㎡。3.处理废水，4943m3，复垦土地1084.25㎡。</w:t>
            </w:r>
          </w:p>
          <w:p>
            <w:pPr>
              <w:pStyle w:val="null3"/>
            </w:pPr>
            <w:r>
              <w:rPr>
                <w:rFonts w:ascii="仿宋_GB2312" w:hAnsi="仿宋_GB2312" w:cs="仿宋_GB2312" w:eastAsia="仿宋_GB2312"/>
                <w:sz w:val="21"/>
                <w:color w:val="333333"/>
                <w:shd w:fill="FFFFFF" w:val="clear"/>
              </w:rPr>
              <w:t>二、采购内容：镇巴县</w:t>
            </w:r>
            <w:r>
              <w:rPr>
                <w:rFonts w:ascii="仿宋_GB2312" w:hAnsi="仿宋_GB2312" w:cs="仿宋_GB2312" w:eastAsia="仿宋_GB2312"/>
                <w:sz w:val="21"/>
                <w:color w:val="333333"/>
                <w:shd w:fill="FFFFFF" w:val="clear"/>
              </w:rPr>
              <w:t>兴隆镇硫铁矿历史遗留废渣微生物法治理（试点）项目施工图纸范围内所有内容的实施、交工、缺陷责任期范围内全过程的监理工作</w:t>
            </w:r>
            <w:r>
              <w:rPr>
                <w:rFonts w:ascii="仿宋_GB2312" w:hAnsi="仿宋_GB2312" w:cs="仿宋_GB2312" w:eastAsia="仿宋_GB2312"/>
                <w:sz w:val="21"/>
                <w:color w:val="333333"/>
                <w:shd w:fill="FFFFFF" w:val="clear"/>
              </w:rPr>
              <w:t>。</w:t>
            </w:r>
          </w:p>
          <w:p>
            <w:pPr>
              <w:pStyle w:val="null3"/>
            </w:pPr>
            <w:r>
              <w:rPr>
                <w:rFonts w:ascii="仿宋_GB2312" w:hAnsi="仿宋_GB2312" w:cs="仿宋_GB2312" w:eastAsia="仿宋_GB2312"/>
              </w:rPr>
              <w:t>三、</w:t>
            </w:r>
            <w:r>
              <w:rPr>
                <w:rFonts w:ascii="仿宋_GB2312" w:hAnsi="仿宋_GB2312" w:cs="仿宋_GB2312" w:eastAsia="仿宋_GB2312"/>
                <w:sz w:val="21"/>
              </w:rPr>
              <w:t>商务及其他</w:t>
            </w:r>
            <w:r>
              <w:rPr>
                <w:rFonts w:ascii="仿宋_GB2312" w:hAnsi="仿宋_GB2312" w:cs="仿宋_GB2312" w:eastAsia="仿宋_GB2312"/>
                <w:sz w:val="21"/>
              </w:rPr>
              <w:t>质量要求：（1）工程质量达到国家现行《施工质量验收规范》合格标准。</w:t>
            </w:r>
            <w:r>
              <w:rPr>
                <w:rFonts w:ascii="仿宋_GB2312" w:hAnsi="仿宋_GB2312" w:cs="仿宋_GB2312" w:eastAsia="仿宋_GB2312"/>
                <w:sz w:val="21"/>
              </w:rPr>
              <w:t>（2）服务期：施工全过程及保修阶段的全部监理服务工作。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未担任其他在监工程项目并无不良记录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从施工工程开工之日起至工程验收、保修期满。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镇巴县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工程开工后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中标单位需向招标代理公司提供纸质版投标文件2份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 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供应商须具备建设行政主管部门颁发的工程监理综合资质或市政公用工程监理乙级及以上资质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供应商拟派项目负责人须具备相关专业注册监理工程师执业资格，且未担任其他在监工程项目并无不良记录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保证金缴纳凭证（截图加盖公章）和采购代理机构开具的收款收据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本项目不接受联合体投标，单位负责人为同一人或者存在控股、管理关系的不同单位不得同时参加需提供书面声明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供应商提供近三年( 2022 年1 月1日-至今)已完成业绩，提供1 个业绩得 2 .5分，最多得5分，未提供不得分(注： 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延期服务承诺</w:t>
            </w:r>
          </w:p>
        </w:tc>
        <w:tc>
          <w:tcPr>
            <w:tcW w:type="dxa" w:w="2492"/>
          </w:tcPr>
          <w:p>
            <w:pPr>
              <w:pStyle w:val="null3"/>
            </w:pPr>
            <w:r>
              <w:rPr>
                <w:rFonts w:ascii="仿宋_GB2312" w:hAnsi="仿宋_GB2312" w:cs="仿宋_GB2312" w:eastAsia="仿宋_GB2312"/>
              </w:rPr>
              <w:t>1、承诺工期延期15%（含15%）以内，延期增加费为零的加6分；2、承诺工期延期10%（含10%） 以内，延期增加费为零的加4分；3、承诺工期延期5%（含5%）以内，延期增加费为零的加2分；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监理工作目标及监理 依据</w:t>
            </w:r>
          </w:p>
        </w:tc>
        <w:tc>
          <w:tcPr>
            <w:tcW w:type="dxa" w:w="2492"/>
          </w:tcPr>
          <w:p>
            <w:pPr>
              <w:pStyle w:val="null3"/>
            </w:pPr>
            <w:r>
              <w:rPr>
                <w:rFonts w:ascii="仿宋_GB2312" w:hAnsi="仿宋_GB2312" w:cs="仿宋_GB2312" w:eastAsia="仿宋_GB2312"/>
              </w:rPr>
              <w:t>目标明确，依据全面、合理得5-6分；目标及依据较为合理得3-4分；目标及依据一般得0-2分。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监理工作实施方案</w:t>
            </w:r>
          </w:p>
        </w:tc>
        <w:tc>
          <w:tcPr>
            <w:tcW w:type="dxa" w:w="2492"/>
          </w:tcPr>
          <w:p>
            <w:pPr>
              <w:pStyle w:val="null3"/>
            </w:pPr>
            <w:r>
              <w:rPr>
                <w:rFonts w:ascii="仿宋_GB2312" w:hAnsi="仿宋_GB2312" w:cs="仿宋_GB2312" w:eastAsia="仿宋_GB2312"/>
              </w:rPr>
              <w:t>方案详细、科学、合理、全面得7-9分； 方案较为详细、科学、合理、全面得4-6分；实施方案一般得0-3分。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组织协调措施</w:t>
            </w:r>
          </w:p>
        </w:tc>
        <w:tc>
          <w:tcPr>
            <w:tcW w:type="dxa" w:w="2492"/>
          </w:tcPr>
          <w:p>
            <w:pPr>
              <w:pStyle w:val="null3"/>
            </w:pPr>
            <w:r>
              <w:rPr>
                <w:rFonts w:ascii="仿宋_GB2312" w:hAnsi="仿宋_GB2312" w:cs="仿宋_GB2312" w:eastAsia="仿宋_GB2312"/>
              </w:rPr>
              <w:t>措施科学、合理、可行得7-9分；基本合理可行的得4-6分；合理性和可行性较差的得0-3分。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监理人员配置情况</w:t>
            </w:r>
          </w:p>
        </w:tc>
        <w:tc>
          <w:tcPr>
            <w:tcW w:type="dxa" w:w="2492"/>
          </w:tcPr>
          <w:p>
            <w:pPr>
              <w:pStyle w:val="null3"/>
            </w:pPr>
            <w:r>
              <w:rPr>
                <w:rFonts w:ascii="仿宋_GB2312" w:hAnsi="仿宋_GB2312" w:cs="仿宋_GB2312" w:eastAsia="仿宋_GB2312"/>
              </w:rPr>
              <w:t>人员配置满足竞争性磋商文件要求得基本分4分，每增加一名专业监理工程师增加1分，此项满分6分。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拟投入仪器、检测设备</w:t>
            </w:r>
          </w:p>
        </w:tc>
        <w:tc>
          <w:tcPr>
            <w:tcW w:type="dxa" w:w="2492"/>
          </w:tcPr>
          <w:p>
            <w:pPr>
              <w:pStyle w:val="null3"/>
            </w:pPr>
            <w:r>
              <w:rPr>
                <w:rFonts w:ascii="仿宋_GB2312" w:hAnsi="仿宋_GB2312" w:cs="仿宋_GB2312" w:eastAsia="仿宋_GB2312"/>
              </w:rPr>
              <w:t>仪器设备配置齐全、合理、满足要求得5-6分； 配置基本满足要求得3-4分；仪器设备配置一般得0-2分。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措施科学、合理、可行的得5-6分；基本合理可行的得3-4分；合理性和可行性较差的得0-2分。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合同方面协调管理措施</w:t>
            </w:r>
          </w:p>
        </w:tc>
        <w:tc>
          <w:tcPr>
            <w:tcW w:type="dxa" w:w="2492"/>
          </w:tcPr>
          <w:p>
            <w:pPr>
              <w:pStyle w:val="null3"/>
            </w:pPr>
            <w:r>
              <w:rPr>
                <w:rFonts w:ascii="仿宋_GB2312" w:hAnsi="仿宋_GB2312" w:cs="仿宋_GB2312" w:eastAsia="仿宋_GB2312"/>
              </w:rPr>
              <w:t>协调措施科学、合理、全面得5-6分；协调措施较为科学、合理得3-4分；协调措施一般得0-2分。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信息方面协调管理措施</w:t>
            </w:r>
          </w:p>
        </w:tc>
        <w:tc>
          <w:tcPr>
            <w:tcW w:type="dxa" w:w="2492"/>
          </w:tcPr>
          <w:p>
            <w:pPr>
              <w:pStyle w:val="null3"/>
            </w:pPr>
            <w:r>
              <w:rPr>
                <w:rFonts w:ascii="仿宋_GB2312" w:hAnsi="仿宋_GB2312" w:cs="仿宋_GB2312" w:eastAsia="仿宋_GB2312"/>
              </w:rPr>
              <w:t>协调措施科学、合理、全面得5-6分；协调措施较为科学、合理得3-4分；协调措施一般得0-2分。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重点部位及关键工序 的控制方法</w:t>
            </w:r>
          </w:p>
        </w:tc>
        <w:tc>
          <w:tcPr>
            <w:tcW w:type="dxa" w:w="2492"/>
          </w:tcPr>
          <w:p>
            <w:pPr>
              <w:pStyle w:val="null3"/>
            </w:pPr>
            <w:r>
              <w:rPr>
                <w:rFonts w:ascii="仿宋_GB2312" w:hAnsi="仿宋_GB2312" w:cs="仿宋_GB2312" w:eastAsia="仿宋_GB2312"/>
              </w:rPr>
              <w:t>方法科学、合理、全面得7-9分；方法较为科学、合理得4-6分；方法一般得0-3分。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措施科学、合理、全面得5-6分；措施较为科学、合理得3-4分；措施一般得0-2分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满足磋商文件要求的有效最终报价且磋商价格最低的磋商报价为磋商基准价，其价格分为满分。其他供应商的价格分统一按照下列公式计算： 磋商报价得分=（磋商基准价／磋商报价)×20计算分数时四舍五入取小数点后两位）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