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版本号：JXRZ-HC-2025-16120251218001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市级机关绿化服务政府采购项目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JXRZ-HC-2025-161</w:t>
      </w:r>
      <w:r>
        <w:br/>
      </w:r>
      <w:r>
        <w:br/>
      </w:r>
      <w:r>
        <w:br/>
      </w:r>
    </w:p>
    <w:p>
      <w:pPr>
        <w:pStyle w:val="null3"/>
        <w:jc w:val="center"/>
        <w:outlineLvl w:val="2"/>
      </w:pPr>
      <w:r>
        <w:rPr>
          <w:rFonts w:ascii="仿宋_GB2312" w:hAnsi="仿宋_GB2312" w:cs="仿宋_GB2312" w:eastAsia="仿宋_GB2312"/>
          <w:sz w:val="28"/>
          <w:b/>
        </w:rPr>
        <w:t>汉中市机关事务服务中心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汉中市机关事务服务中心</w:t>
      </w:r>
      <w:r>
        <w:rPr>
          <w:rFonts w:ascii="仿宋_GB2312" w:hAnsi="仿宋_GB2312" w:cs="仿宋_GB2312" w:eastAsia="仿宋_GB2312"/>
        </w:rPr>
        <w:t>委托，拟对</w:t>
      </w:r>
      <w:r>
        <w:rPr>
          <w:rFonts w:ascii="仿宋_GB2312" w:hAnsi="仿宋_GB2312" w:cs="仿宋_GB2312" w:eastAsia="仿宋_GB2312"/>
        </w:rPr>
        <w:t>市级机关绿化服务政府采购项目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市级机关绿化服务政府采购项目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包括但不限于服务区域内的树木（含已记录在案的古树）、灌木、花卉、草坪等绿化植物的 种植、修剪、病虫害防治、灌溉、施肥、涂白、杂草清除，以及绿化设施（如花坛、花架、灌溉设备等）的维护和保养等。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采购包1（市级机关绿化服务政府采购项目）：属于专门面向中小企业采购。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2、响应文件签署人身份证明：法定代表人或单位负责人授权书及被授权人身份证（法定代表人或单位负责人直接参加磋商除外，但须出示法定代表人或单位负责人身份证及营业执照复印件）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陕西省汉中市汉台区民主街市政府机关院内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2626153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陕西省汉中市汉台区陕西省汉中市汉台区汉中路街道办事处民主街明珠小区54号楼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15309166370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 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 号）和国家发展改革委员会办公厅颁发的《关于招标代理服务收费有关问题的通知》（发改办价格[2003]857 号）的有关规定执行。成交供应商在领取成交通知书前，向采购代理机构一次性支付招标代理服务费。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汉中市机关事务服务中心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联系电话：15309166370</w:t>
      </w:r>
    </w:p>
    <w:p>
      <w:pPr>
        <w:pStyle w:val="null3"/>
      </w:pPr>
      <w:r>
        <w:rPr>
          <w:rFonts w:ascii="仿宋_GB2312" w:hAnsi="仿宋_GB2312" w:cs="仿宋_GB2312" w:eastAsia="仿宋_GB2312"/>
        </w:rPr>
        <w:t>地址：汉中市汉台区天汉文化产业园 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包括但不限于服务区域内的树木（含已记录在案的古树）、灌木、花卉、草坪等绿化植物的 种植、修剪、病虫害防治、灌溉、施肥、涂白、杂草清除，以及绿化设施（如花坛、花架、灌溉 设备等）的维护和保养等。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445,400.00</w:t>
      </w:r>
    </w:p>
    <w:p>
      <w:pPr>
        <w:pStyle w:val="null3"/>
      </w:pPr>
      <w:r>
        <w:rPr>
          <w:rFonts w:ascii="仿宋_GB2312" w:hAnsi="仿宋_GB2312" w:cs="仿宋_GB2312" w:eastAsia="仿宋_GB2312"/>
        </w:rPr>
        <w:t>采购包最高限价（元）: 445,400.00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1"/>
              <w:jc w:val="left"/>
            </w:pPr>
            <w:r>
              <w:rPr>
                <w:rFonts w:ascii="仿宋_GB2312" w:hAnsi="仿宋_GB2312" w:cs="仿宋_GB2312" w:eastAsia="仿宋_GB2312"/>
                <w:color w:val="000000"/>
              </w:rPr>
              <w:t xml:space="preserve">包括但不限于服务区域内的 </w:t>
            </w:r>
            <w:r>
              <w:rPr>
                <w:rFonts w:ascii="仿宋_GB2312" w:hAnsi="仿宋_GB2312" w:cs="仿宋_GB2312" w:eastAsia="仿宋_GB2312"/>
                <w:color w:val="000000"/>
              </w:rPr>
              <w:t xml:space="preserve">树木（含已记录在案的古树）、 </w:t>
            </w:r>
            <w:r>
              <w:rPr>
                <w:rFonts w:ascii="仿宋_GB2312" w:hAnsi="仿宋_GB2312" w:cs="仿宋_GB2312" w:eastAsia="仿宋_GB2312"/>
                <w:color w:val="000000"/>
              </w:rPr>
              <w:t xml:space="preserve">灌木、花卉、草坪等绿化植物 </w:t>
            </w:r>
            <w:r>
              <w:rPr>
                <w:rFonts w:ascii="仿宋_GB2312" w:hAnsi="仿宋_GB2312" w:cs="仿宋_GB2312" w:eastAsia="仿宋_GB2312"/>
                <w:color w:val="000000"/>
              </w:rPr>
              <w:t xml:space="preserve">的种植、修剪、病虫害防治、 </w:t>
            </w:r>
            <w:r>
              <w:rPr>
                <w:rFonts w:ascii="仿宋_GB2312" w:hAnsi="仿宋_GB2312" w:cs="仿宋_GB2312" w:eastAsia="仿宋_GB2312"/>
                <w:color w:val="000000"/>
              </w:rPr>
              <w:t xml:space="preserve">灌溉、施肥、涂白、杂草清除， </w:t>
            </w:r>
            <w:r>
              <w:rPr>
                <w:rFonts w:ascii="仿宋_GB2312" w:hAnsi="仿宋_GB2312" w:cs="仿宋_GB2312" w:eastAsia="仿宋_GB2312"/>
                <w:color w:val="000000"/>
              </w:rPr>
              <w:t xml:space="preserve">以及绿化设施（如花坛、花架、 </w:t>
            </w:r>
            <w:r>
              <w:rPr>
                <w:rFonts w:ascii="仿宋_GB2312" w:hAnsi="仿宋_GB2312" w:cs="仿宋_GB2312" w:eastAsia="仿宋_GB2312"/>
                <w:color w:val="000000"/>
              </w:rPr>
              <w:t>灌溉设备等）的维护和保养</w:t>
            </w:r>
            <w:r>
              <w:rPr>
                <w:rFonts w:ascii="仿宋_GB2312" w:hAnsi="仿宋_GB2312" w:cs="仿宋_GB2312" w:eastAsia="仿宋_GB2312"/>
                <w:color w:val="000000"/>
              </w:rPr>
              <w:t>等。</w:t>
            </w:r>
          </w:p>
          <w:p>
            <w:pPr>
              <w:pStyle w:val="null3"/>
              <w:ind w:firstLine="641"/>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1、供应商需配备专业的绿化服务团队，团队成员应具备相应的绿化专业知识和技能。其中，至少配备 1 名持有园林绿化相关专业中级及以上职称的技术负责人，负责项目的技术指导和质量把控；至少配备 2 名具有3年以上绿化养护经验的现场管理人员，负责日常工作的组织和协调；绿化作业人员数量应根据服务区域面积和工作任务需求合理配置，确保满足日常绿化服务工作的开展。 2、工作人员身体健康，无传染性疾病和妨碍从事绿化工作的其他疾病，持有效的健康证明。供应商需为工作人员购买足额的工伤保险和人身意外伤害保险，在服务期间如发生安全事故，一切责任和费用由供应商承担。 3.供应商应定期对工作人员进行专业技能培训和安全培训，提高工作人员的业务水平和安全 意识，培训记录需留存备查。</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1、供应商需配备满足本项目绿化服务需求的各类设备，如草坪修剪机、树木修剪锯、灌 溉设备、打药机、运输车等。所有设备符合国家相关安全标准和环保要求。 2、供应商用于本项目的绿化物资，如肥料、农药、种子、苗木等，须符合国家相关质量标准和环保要求，且具有产品质量合格证明。其中，农药需选择低毒、低残留的环保型农药，严禁使用国家明令禁止的高毒、高残留农药；肥料应优先选择有机肥料，合理搭配无机肥料，确保绿化植物生长所需养分的均衡供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种植服务 1.供应商应根据服务区域的土壤条件、气候特点以及采购单位的要求，选择适宜的绿化 植物品种，并提供详细的种植方案，经采购单位审核同意后方可实施种植。 2.种植前，需对种植场地进行清理和平整，改良土壤，确保土壤疏松、肥沃、排水良好，符合绿化植物生长的要求。 3.种植过程中，应严格按照园林绿化种植规范进行操作，确保苗木种植的垂直度、深度 适宜，根系舒展，种植后及时浇足定根水，提高苗木的成活率。 4.苗木种植完成后，供应商需提供 12 个月的养护期，在养护期内确保苗木成活率达到 95%以上（特殊苗木除外，需在合同中明确约定）。若苗木在养护期内死亡，供应商需及时无偿补种相同品种、相同规格的苗木，并继续承担养护责任，直至养护期满。 养护服务 1.灌溉：根据绿化植物的生长需求和气候条件，合理安排灌溉时间和灌溉量，确保绿化 植物水分供应充足。雨季应及时做好排水工作，防止积水导致植物烂根。 2.施肥：根据绿化植物的生长阶段和土壤肥力状况，制定科学合理的施肥计划，适时适 量施肥，避免环境污染。 3.修剪：按照绿化植物的生长特性和景观要求，定期对树木、灌木、草坪等进行修剪。 树木修剪应保持树冠完整、树形美观，去除病枝、虫枝、枯枝、交叉枝、重叠枝等；灌木修剪应保持整齐一致，层次分明；草坪修剪应保持高度均匀，修剪后的草屑应及时清理。 4.病虫害防治：监测绿化植物病虫害，定期巡查，及时发现病虫害隐患，并采取有效的 防治措施。病虫害防治应坚持 “预防为主、综合防治”的原则，优先采用物理防治、生物防治等环保型防治方法，必要时采用化学防治方法，但需严格控制农药的使用剂量和使用次数，避免对环境和人体造成危害。做好病虫害防治记录，包括病虫害发生时间、地点、种类、防治方法、使用药剂名称及剂量等。 5.杂草清理：定期对服务区域内的绿地进行杂草清理，确保绿地内无明显杂草。清理后 的杂草应及时清运出场，不随意堆放。 6.绿化设施维护：定期对服务区域内的绿化设施进行检查和维护，如花坛、花架、灌溉 设备、围栏等。发现设施损坏或故障时，应及时进行维修或更换，确保绿化设施的完好和正常使用。保持绿化设施的清洁卫生，定期进行擦拭和清理。 应急服务 1.在遇到暴雨、大风、高温、严寒等极端天气以及病虫害疫情等突发事件时，供应商应 立即启动应急响应预案，组织专业人员和设备进行应急处理，采取有效的防护和救治措施，最大限度地减少突发事件对绿化植物和绿化设施造成的损失。 2.供应商应在接到采购单位应急服务通知后迅速到达现场开展工作，并及时向采购单位 汇报应急处理进展情况和结果。应急服务所需费用包含在合同总价中，采购单位不再额外支付。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市级机关办公区域内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本项目服务费用采用固定总价方式计算。服务费用包含供应商为完成本项目绿化服务所 需的一切费用，如人员工资、设备购置与租赁费用、物资采购费用、运输费用、培训费用、保险 费用、利润、税金等，采购单位不再额外支付任何其他费用。本项目费用每半年支付一次。若服务质量未达到约定标准，采购单位有权扣除相应比例的服务费用，具体扣除方式在合同中明确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本项目服务费用采用固定总价方式计算。服务费用包含供应商为完成本项目绿化服务所 需的一切费用，如人员工资、设备购置与租赁费用、物资采购费用、运输费用、培训费用、保险 费用、利润、税金等，采购单位不再额外支付任何其他费用。本项目费用每半年支付一次。若服务质量未达到约定标准，采购单位有权扣除相应比例的服务费用，具体扣除方式在合同中明确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1.供应商需在合同签订后 7 天内完成人员、设备的进场准备，正式开展绿化服务。 2.本项目为一年一签项目，采购人对绿化服务企业进行考评，考评合格后按年续签，总服务期限不超过三年。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法定代表人或单位负责人授权书及被授权人身份证（法定代表人或单位负责人直接参加磋商除外，但须出示法定代表人或单位负责人身份证及营业执照复印件）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服务承诺.docx 报价表 类似业绩一览表.docx 响应文件封面 残疾人福利性单位声明函 服务方案 标的清单 供应商资格证明文件.docx 其他材料.docx 拟投入设备及人员.docx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服务承诺.docx 报价表 类似业绩一览表.docx 响应文件封面 残疾人福利性单位声明函 服务方案 标的清单 供应商资格证明文件.docx 其他材料.docx 拟投入设备及人员.docx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 性报价，且报价不超过采购预算金额 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供应商近年（即2021年1月1日之后）拥有执行类似项目（以合同签订时间为准）的项目业绩，每个得2.5分，最高得5.0分。 备注：以合同协议书或中标（成交）通知书的复印件为准，如合同中无法体现合同签订时间、项目类型等评审因素的，须另提供业主单位证明等相关证明材料复印件。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1、承诺：上岗人员固定，不随意更换，若出现人员因事、病等不能工作的，及时调整其他人员补充，确保服务工作的正常进行，得3分，无承诺不得分。 2、承诺：储备可调度人员，调度人员能够保障临时性工作需要及处置突发事件，得2分，无承诺不得分。 3、承诺：接受采购人对服务的考核、监督及管理，并定期回访征询采购人对服务质量的满意度并加以改进，确保服务工作的优质高效得3分。无承诺不得分。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针对本项目提供总体服务方案，内容包含①服务目标；②服务理念；③重难点分析及解决措施；④项目进驻及筹备程序。 二、赋分标准 1、完整性：方案内容完整全面，对上述各项内容均有描述及说明，得4分；每缺1项内容，扣1分，扣完为止； 2、针对性：针对性强，得1分；针对性一般，得0.5分；缺乏针对性，得0分。 3、可实施性：可实施性强，得2分；可实施性一般，得1分；缺乏可实施性，得0分。 此项不提供不得分。 说明：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一、评审内容 投标人针对本项目提供拟投入人员配置，内容包含①人员配置；②拟派人员清单（包含姓名、年龄、工作经验等信息）、工作分工及岗位职责。 二、赋分标准 1、完整性：方案内容完整全面，对上述各项内容均有描述及说明，得4分；每缺1项内容，扣2分，扣完为止。 2、针对性：针对性强，得5分；针对性一般，得2.5分；缺乏针对性，得0分。 3、可实施性：可实施性强，得5分；可实施性一般，得2.5分；缺乏可实施性，得0分。 此项不提供不得分。 说明：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拟投入设备及人员.docx</w:t>
            </w:r>
          </w:p>
        </w:tc>
      </w:tr>
      <w:tr>
        <w:tc>
          <w:tcPr>
            <w:tcW w:type="dxa" w:w="831"/>
            <w:vMerge/>
          </w:tcP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一、评审内容 针对本项目提供绿化养护服务方案，内容包含①绿化管理、病床害防治和养护服务实施方案②提供《拟投入设备清单》（灌溉、冲洗、清扫、垃圾转运、喷药消杀、绿化修剪、草坪打孔等专业设备），提供相关证明材料。 二、赋分标准 1、完整性：方案内容完整全面，对上述各项内容均有描述及说明，得8 分；每缺 1 项内容，扣4分，扣完为止。 2、针对性：针对性强，得8分；针对性一般，得4分；缺乏针对性，得0分。 3、可实施性：可实施性强，得8分；可实施性一般，得4分；缺乏可实施性，得0分。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针对本项目特点提供应急预案，预案内容包含：①重大活动②上级检查③紧急事件④灾害性天气、干旱等的突击任务及临时性任务方案。 二、赋分标准： 1、完整性：方案内容完整全面，对上述内容均有描述及说明，得4分；每缺1项内容，扣1分，扣完为止。 2、针对性：针对性强，得3分；针对性一般，得1.5分；缺乏针对性，得0分。 3、可实施性：可实施性强，得3分；可实施性一般，得1.5分；缺乏可实施性，得0分。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的管理制度，内容包含①岗位职责：具有岗位工作标准、服务质量标准、作业流程及作业记录等；②内控制度：具有监督机制、自查制度等；③人员管理制度：具有员工日常管理办法、请销假制度、奖惩措施、激励机制、仪容仪表制度等。 二、赋分标准： 1、完整性：方案内容完整全面，对上述内容均有描述及说明，得3分；每缺1项内容，扣1分，扣完为止。 2、针对性：针对性强，得2分；针对性一般，得1分；缺乏针对性，得0分。 3、可实施性：可实施性强，得2分；可实施性一般，得1分；缺乏可实施性，得0分。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针对本项目制定的培训考核方案，内容包含①安全责任、业务操作等方面的培训方案；②针对不同的岗位及工作程序制定考核方案。 二、赋分标准 1、完整性：方案内容完整全面，对上述内容均有描述及说明，得3分；每缺1项内容，扣1.5分，扣完为止。 2、针对性：针对性强，得3分；针对性一般，得1.5分；缺乏针对性，得0分。 3、可实施性：可实施性强，得3分；可实施性一般，得1.5分；缺乏可实施性，得0分。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针对本项目制定的档案管理方案，方案内容包含①档案资料的收集及分类方案；②档案资料的移交、归档方案。 二、赋分标准 1、完整性：方案内容完整全面，对上述内容均有描述及说明，得2分；每缺1项内容，扣1分，扣完为止。 2、针对性：针对性强，得2分；针对性一般，得1分；缺乏针对性，得0分。 3、可实施性：可实施性强，得2分；可实施性一般，得1分；缺乏可实施性，得0分。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1、满足磋商文件要求且最后报价最低的供应商的价格为磋商基准价，其价格分为满分。其他供应商的价格分统一按照下列公式计算：磋商报价得分=（磋商基准价/最后磋商报价）×分值 2、本项目为专门面向中小企业采购的项目不进行价格扣除。 3、磋商小组认定供应商的报价低于成本价，供应商需在1个小时内提供详细的报价说明及证明材料，包括但不限于设备价格、施工费用、人员费用、计算过程以及项目实施过程中、项目运营过程中可能涉及的其他费用，最终是否采信由磋商小组确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详见附件：拟投入设备及人员.docx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