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版本号：FDZB-2025-050Z20251202001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2025年日常、季度变更调查及耕地资源质量分区分类监测工作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FDZB-2025-050Z</w:t>
      </w:r>
      <w:r>
        <w:br/>
      </w:r>
      <w:r>
        <w:br/>
      </w:r>
      <w:r>
        <w:br/>
      </w:r>
    </w:p>
    <w:p>
      <w:pPr>
        <w:pStyle w:val="null3"/>
        <w:jc w:val="center"/>
        <w:outlineLvl w:val="2"/>
      </w:pPr>
      <w:r>
        <w:rPr>
          <w:rFonts w:ascii="仿宋_GB2312" w:hAnsi="仿宋_GB2312" w:cs="仿宋_GB2312" w:eastAsia="仿宋_GB2312"/>
          <w:sz w:val="28"/>
          <w:b/>
        </w:rPr>
        <w:t>汉中市自然资源局汉台分局</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汉中市自然资源局汉台分局</w:t>
      </w:r>
      <w:r>
        <w:rPr>
          <w:rFonts w:ascii="仿宋_GB2312" w:hAnsi="仿宋_GB2312" w:cs="仿宋_GB2312" w:eastAsia="仿宋_GB2312"/>
        </w:rPr>
        <w:t>委托，拟对</w:t>
      </w:r>
      <w:r>
        <w:rPr>
          <w:rFonts w:ascii="仿宋_GB2312" w:hAnsi="仿宋_GB2312" w:cs="仿宋_GB2312" w:eastAsia="仿宋_GB2312"/>
        </w:rPr>
        <w:t>2025年日常、季度变更调查及耕地资源质量分区分类监测工作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FDZB-2025-050Z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2025年日常、季度变更调查及耕地资源质量分区分类监测工作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汉台区2025年日常、季度国土变更调査及耕地资源质量分区分类等工作，确保土地利用合理、保障资源和粮食安全，持续开展耕地“非粮化”“非农化”监测，保持国土调査数据现势性，按照相关技术规程和上级要求，提交年度国土变更调查数据库、文字报告、图件等成果，支撑自然资源“一张图”平台平稳运行,不断夯实“以图管地”工作基础。持续推进一査多用(变更成果直接应用于耕地保护考核，为耕地保护和利用,各类专项规划等)及日常变更工作机制,为全区土地及其他自然资源精细化管理提供数据基础和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2、资质证书：供应商须具有国家行政主管部门颁发的测绘乙级以上（含乙级）资质；</w:t>
      </w:r>
    </w:p>
    <w:p>
      <w:pPr>
        <w:pStyle w:val="null3"/>
      </w:pPr>
      <w:r>
        <w:rPr>
          <w:rFonts w:ascii="仿宋_GB2312" w:hAnsi="仿宋_GB2312" w:cs="仿宋_GB2312" w:eastAsia="仿宋_GB2312"/>
        </w:rPr>
        <w:t>3、项目负责人：项目负责人须具有高级（专业为测绘类或地理信息类）技术职称；</w:t>
      </w:r>
    </w:p>
    <w:p>
      <w:pPr>
        <w:pStyle w:val="null3"/>
      </w:pPr>
      <w:r>
        <w:rPr>
          <w:rFonts w:ascii="仿宋_GB2312" w:hAnsi="仿宋_GB2312" w:cs="仿宋_GB2312" w:eastAsia="仿宋_GB2312"/>
        </w:rPr>
        <w:t>4、法定代表人身份证明/法定代表人授权委托书：法定代表人直接参加磋商的，须提供法定代表人身份证明；法定代表人授权代表参加磋商的，须提供法定代表人授权委托书（附法定代表人、被授权委托人身份证复印件（被授权委托人参与投标时，须提供响应文件截止时间前三个月内任意一个月在本单位缴纳的社保证明））；</w:t>
      </w:r>
    </w:p>
    <w:p>
      <w:pPr>
        <w:pStyle w:val="null3"/>
      </w:pPr>
      <w:r>
        <w:rPr>
          <w:rFonts w:ascii="仿宋_GB2312" w:hAnsi="仿宋_GB2312" w:cs="仿宋_GB2312" w:eastAsia="仿宋_GB2312"/>
        </w:rPr>
        <w:t>5、资格承诺函：供应商须按照汉中市财政局关全面推行政府采购供应商基本资格条件承诺制的通知(汉财办采管【2024】20号文件，提供《汉中市政府采购供应商资格承诺函》；</w:t>
      </w:r>
    </w:p>
    <w:p>
      <w:pPr>
        <w:pStyle w:val="null3"/>
      </w:pPr>
      <w:r>
        <w:rPr>
          <w:rFonts w:ascii="仿宋_GB2312" w:hAnsi="仿宋_GB2312" w:cs="仿宋_GB2312" w:eastAsia="仿宋_GB2312"/>
        </w:rPr>
        <w:t>6、非联合体承诺：本项目不接受联合体磋商，提供书面承诺。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汉中市自然资源局汉台分局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汉台区中山街80号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0916-2231229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代理服务费收费标准：本项目代理服务费参照国家计委《招标代理服务费管理暂行办法》（计价格[2002]1980号）、发改价格（2003）857号文件规定的收费标准以中标金额作为计算基数计取。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汉中市自然资源局汉台分局</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汉中市自然资源局汉台分局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汉中市自然资源局汉台分局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地址：陕西省西安市雁塔区天地源悦熙广场2号楼19层11901室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汉台区2025年日常、季度国土变更调査及耕地资源质量分区分类等工作，确保土地利用合理、保障资源和粮食安全，持续开展耕地“非粮化”“非农化”监测，保持国土调査数据现势性，按照相关技术规程和上级要求，提交年度国土变更调查数据库、文字报告、图件等成果，支撑自然资源“一张图”平台平稳运行,不断夯实“以图管地”工作基础。持续推进一査多用(变更成果直接应用于耕地保护考核，为耕地保护和利用,各类专项规划等)及日常变更工作机制,为全区土地及其他自然资源精细化管理提供数据基础和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2025年日常、季度变更调查及耕地资源质量分区分类监测工作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标的名称：2025年日常、季度变更调查及耕地资源质量分区分类监测工作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05"/>
              <w:jc w:val="both"/>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开展汉台区</w:t>
            </w:r>
            <w:r>
              <w:rPr>
                <w:rFonts w:ascii="仿宋_GB2312" w:hAnsi="仿宋_GB2312" w:cs="仿宋_GB2312" w:eastAsia="仿宋_GB2312"/>
                <w:sz w:val="21"/>
                <w:color w:val="000000"/>
              </w:rPr>
              <w:t>2025年日常、季度国土变更调査及耕地资源质量分区分类等工作，确保土地利用合理、保障资源和粮食安全，持续开展耕地“非粮化”“非农化”监测，保持国土调査数据现势性，按照相关技术规程和上级要求，提交年度国土变更调查数据库、文字报告、图件等成果，支撑自然资源“一张图”平台平稳运行,不断夯实“以图管地”工作基础。持续推进一査多用(变更成果直接应用于耕地保护考核，为耕地保护和利用,各类专项规划等)及日常变更工作机制,为全区土地及其他自然资源精细化管理提供数据基础和依据。</w:t>
            </w:r>
          </w:p>
          <w:p>
            <w:pPr>
              <w:pStyle w:val="null3"/>
              <w:ind w:right="105"/>
              <w:jc w:val="both"/>
            </w:pPr>
            <w:r>
              <w:rPr>
                <w:rFonts w:ascii="仿宋_GB2312" w:hAnsi="仿宋_GB2312" w:cs="仿宋_GB2312" w:eastAsia="仿宋_GB2312"/>
                <w:sz w:val="21"/>
                <w:b/>
                <w:color w:val="000000"/>
              </w:rPr>
              <w:t>二、服务内容</w:t>
            </w:r>
          </w:p>
          <w:p>
            <w:pPr>
              <w:pStyle w:val="null3"/>
              <w:ind w:right="105"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1）收集相关数据</w:t>
            </w:r>
          </w:p>
          <w:p>
            <w:pPr>
              <w:pStyle w:val="null3"/>
              <w:ind w:left="420" w:firstLine="420"/>
              <w:jc w:val="both"/>
            </w:pPr>
            <w:r>
              <w:rPr>
                <w:rFonts w:ascii="仿宋_GB2312" w:hAnsi="仿宋_GB2312" w:cs="仿宋_GB2312" w:eastAsia="仿宋_GB2312"/>
                <w:sz w:val="21"/>
                <w:color w:val="000000"/>
              </w:rPr>
              <w:t>①本年度内监测发现的各类国土利用变化图斑（包括耕地保护、开发利用、国土空间规划、用途管制、生态修复、督察执法等相关部门日常管理工作中发现的地类变化图斑）；</w:t>
            </w:r>
          </w:p>
          <w:p>
            <w:pPr>
              <w:pStyle w:val="null3"/>
              <w:ind w:left="420" w:firstLine="420"/>
              <w:jc w:val="both"/>
            </w:pPr>
            <w:r>
              <w:rPr>
                <w:rFonts w:ascii="仿宋_GB2312" w:hAnsi="仿宋_GB2312" w:cs="仿宋_GB2312" w:eastAsia="仿宋_GB2312"/>
                <w:sz w:val="21"/>
                <w:color w:val="000000"/>
              </w:rPr>
              <w:t>②各类用地管理信息矢量数据；</w:t>
            </w:r>
          </w:p>
          <w:p>
            <w:pPr>
              <w:pStyle w:val="null3"/>
              <w:ind w:left="420" w:firstLine="420"/>
              <w:jc w:val="both"/>
            </w:pPr>
            <w:r>
              <w:rPr>
                <w:rFonts w:ascii="仿宋_GB2312" w:hAnsi="仿宋_GB2312" w:cs="仿宋_GB2312" w:eastAsia="仿宋_GB2312"/>
                <w:sz w:val="21"/>
                <w:color w:val="000000"/>
              </w:rPr>
              <w:t>③自主发现的其他变化图斑。</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2）按照年度变更调查工作有关要求，开展国土利用现状更新调查以及权属界线上图和补充调查工作。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3）按照国土调查数据库更新有关标准和要求，更新基础数据库，提取年度变更调查增量包。</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4）按照部、省要求，配合完成“互联网＋”在线核查以及外业实地核查工作，并对年度变更调查成果进行整改完善。</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5）数据汇总分析及共享应用。开展本级国土调查数据库更新汇总分析工作。</w:t>
            </w:r>
          </w:p>
          <w:p>
            <w:pPr>
              <w:pStyle w:val="null3"/>
              <w:ind w:left="105" w:right="105"/>
              <w:jc w:val="both"/>
            </w:pPr>
            <w:r>
              <w:rPr>
                <w:rFonts w:ascii="仿宋_GB2312" w:hAnsi="仿宋_GB2312" w:cs="仿宋_GB2312" w:eastAsia="仿宋_GB2312"/>
                <w:sz w:val="21"/>
                <w:b/>
                <w:color w:val="000000"/>
              </w:rPr>
              <w:t>三、工作要求</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1）严格按照相关保密规定开展工作，不得有泄密、人为损坏采购人设备及工作成果、不遵守工作纪律等不法行为，由此造成的一切后果及法律责任由中标供应商承担。</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2）为保证项目进度，中标供应商应保证投入足够的工作人员。</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3）中标供应商选派本项目的项目负责人不得随意更换，如需更换人员，需经采购人同意，并且更换人员与原人员具有同等或以上的经验和相关证书。</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4）中标供应商应具备开展工作必须的交通工具、计算机等仪器设备，需要使用涉密涉敏数据开展相关工作的还需确保相关仪器设备及使用环境符合保密要求。</w:t>
            </w:r>
          </w:p>
          <w:p>
            <w:pPr>
              <w:pStyle w:val="null3"/>
              <w:ind w:left="105" w:right="105"/>
              <w:jc w:val="both"/>
            </w:pPr>
            <w:r>
              <w:rPr>
                <w:rFonts w:ascii="仿宋_GB2312" w:hAnsi="仿宋_GB2312" w:cs="仿宋_GB2312" w:eastAsia="仿宋_GB2312"/>
                <w:sz w:val="21"/>
                <w:b/>
                <w:color w:val="000000"/>
              </w:rPr>
              <w:t>四、成果要求</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1）遥感监测成果：包括正射影像和监测图斑；</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2）外业调查成果：包括调查底图、外业调查图件、地物补测资料、调查举证数据包（DB格式）；</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3）数据库成果：包括国土调查数据库及相应增量包，耕地资源分区分类数据库及相应增量包；</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4）汇总表格：各类统计汇总表；</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5）文字成果：包括工作报告、技术报告、国土利用变化情况分析报告等；</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6）最终项目成果通过省级及国家审查。</w:t>
            </w:r>
          </w:p>
          <w:p>
            <w:pPr>
              <w:pStyle w:val="null3"/>
              <w:ind w:left="105" w:right="105"/>
              <w:jc w:val="both"/>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商务要求</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1）人员配置：满足竞争性磋商文件及采购人要求，以保障项目顺利实施为准。</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2）专业设备：满足竞争性磋商文件及采购人要求，以保障项目顺利实施为准。</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3）服务期限：180日历天。</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4）服务地点：采购人指定的地点。</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5）项目验收：成交供应商完成</w:t>
            </w:r>
            <w:r>
              <w:rPr>
                <w:rFonts w:ascii="仿宋_GB2312" w:hAnsi="仿宋_GB2312" w:cs="仿宋_GB2312" w:eastAsia="仿宋_GB2312"/>
                <w:sz w:val="21"/>
                <w:color w:val="000000"/>
              </w:rPr>
              <w:t>2025年日常、季度变更调查及耕地资源质量分区分类监测工作</w:t>
            </w:r>
            <w:r>
              <w:rPr>
                <w:rFonts w:ascii="仿宋_GB2312" w:hAnsi="仿宋_GB2312" w:cs="仿宋_GB2312" w:eastAsia="仿宋_GB2312"/>
                <w:sz w:val="21"/>
                <w:color w:val="000000"/>
              </w:rPr>
              <w:t>所要求的数据、文字、图件成果，经过市级省级国家核查通过。</w:t>
            </w:r>
          </w:p>
          <w:p>
            <w:pPr>
              <w:pStyle w:val="null3"/>
              <w:ind w:right="105" w:firstLine="419"/>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违约责任①依据《中华人民共和国民法典》《中华人民共和国政府采购法》的相关条款和本合同约定的相关条款执行；②成交供应商未按合同要求提供服务、产品或质量不能满足技术要求及合同要求，采购人有权终止合同，并对供方违约行为进行追究，同时按《中华人民共和国政府采购法》的有关规定进行处罚。</w:t>
            </w:r>
          </w:p>
          <w:p>
            <w:pPr>
              <w:pStyle w:val="null3"/>
              <w:ind w:right="105" w:firstLine="419"/>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满足竞争性磋商文件及采购人要求，以保障项目顺利实施为准。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满足竞争性磋商文件及采购人要求，以保障项目顺利实施为准。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（1）服务标准：符合当地行业主管部门及行业相关规范标准规定的合格标准。 （2）进度要求：在采购人要求时间节点内完成相应工作内容。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国家现行项目实施规范和合同规定的验收评定标准等要求进行验收；②由甲方和乙方共同对项目进行整体验收，甲方对验收是否合格进行确认。其内容包括是否按照甲方要求进行服务、是否在规定时间内服务完毕；③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项目移交全部成果后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项目通过审查合格后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依据《中华人民共和国民法典》《中华人民共和国政府采购法》的相关条款和本合同约定的相关条款执行；②成交供应商未按合同要求提供服务、产品或质量不能满足技术要求及合同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供应商须具有国家行政主管部门颁发的测绘乙级以上（含乙级）资质；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项目负责人须具有高级（专业为测绘类或地理信息类）技术职称；</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法定代表人授权代表参加磋商的，须提供法定代表人授权委托书（附法定代表人、被授权委托人身份证复印件（被授权委托人参与投标时，须提供响应文件截止时间前三个月内任意一个月在本单位缴纳的社保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供应商须按照汉中市财政局关全面推行政府采购供应商基本资格条件承诺制的通知(汉财办采管【2024】20号文件，提供《汉中市政府采购供应商资格承诺函》；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本项目不接受联合体磋商，提供书面承诺。</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商务应答表 服务内容及服务要求应答表 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对本项目的理解与认识</w:t>
            </w:r>
          </w:p>
        </w:tc>
        <w:tc>
          <w:tcPr>
            <w:tcW w:type="dxa" w:w="2492"/>
          </w:tcPr>
          <w:p>
            <w:pPr>
              <w:pStyle w:val="null3"/>
            </w:pPr>
            <w:r>
              <w:rPr>
                <w:rFonts w:ascii="仿宋_GB2312" w:hAnsi="仿宋_GB2312" w:cs="仿宋_GB2312" w:eastAsia="仿宋_GB2312"/>
              </w:rPr>
              <w:t>一、评审内容 供应商针对本项目工作的理解与认识，内容包含：①对项目内容、任务、目标的理解与认识；②对主要技术依据文件、技术指标要求、成果规格要求的理解与认识。 二、评审标准 1、完整性：内容全面，表述清晰，无明显遗漏； 2、 准确性：相关内容表述专业清晰准确无歧义； 3、可实施性：方法科学、技术途径可行、操作步骤清晰； 4、针对性：特色鲜明、符合实际。 三、赋分标准 （满分8分） ① 对项目内容、任务、目标的理解与认识：每完全满足一个评审标准得1分，满分4.0分； ② 对主要技术依据文件、技术指标要求、成果规格要求的理解与认识：每完全满足一个评审标准得1分，满分4.0分； 以上评审标准每有一项有缺陷或不完全满足扣1分，缺项或漏项不得分。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供应商针对本项目提出的技术方案，内容包含：①前期现场踏勘、调研；②外业调查；③内业数据处理；④数据库建设；⑤成果汇交。 二、评审标准 1、完整性：内容全面，表述清晰，无明显遗漏； 2、准确性：相关内容表述专业清晰准确无歧义； 3、可实施性：方法科学、技术途径可行、操作步骤清晰； 4、针对性：特色鲜明、符合实际。 三、赋分标准（满分20分） ① 前期现场踏勘、调研：每完全满足一个评审标准得1分，满分4.0分； ② 外业调查：每完全满足一个评审标准得1分，满分4.0分； ③ 内业数据处理：每完全满足一个评审标准得1分，满分4.0分； ④ 数据库建设；每完全满足一个评审标准得1分，满分4.0分； ⑤ 成果汇交：每完全满足一个评审标准得1分，满分4.0分； 以上评审标准每有一项有缺陷或不完全满足扣1分，缺项或漏项不得分。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一、评审内容 供应商对本项目重点、难点分析及应对措施，内容包含：①重点、难点技术问题的认识；②重点、难点分析；③重点、难点应对措施。 二、评审标准 1、完整性：内容全面，表述清晰，无明显遗漏； 2、 准确性：相关内容表述专业清晰准确无歧义； 3、可实施性：方法科学、技术途径可行、操作步骤清晰； 4、针对性：特色鲜明、符合实际。 三、赋分标准 （满分6分） ① 重点、难点技术问题的认识：每完全满足一个评审标准得0.5分，满分2.0分； ② 重点、难点分析：每完全满足一个评审标准得0.5分，满分2.0分； ③ 重点、难点应对措施：每完全满足一个评审标准得0.5分，满分2.0分； 以上评审标准每有一项有缺陷或不完全满足扣0.5分，缺项或漏项不得分。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进度计划保障措施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①工作进度计划；②进度保障措施。 二、评审标准 1、完整性：内容全面，表述清晰，无明显遗漏； 2、 可实施性：方法科学、技术途径可行、操作步骤清晰； 3、针对性：特色鲜明、符合实际。 三、赋分标准 （满分6分） ① 工作进度计划：每完全满足一个评审标准得1分，满分3.0分； ② 进度保障措施：每完全满足一个评审标准得1分，满分3.0分； 以上评审标准每有一项有缺陷或不完全满足扣1分，缺项或漏项不得分。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供应商针对本项目提出的质量保障措施，内容包含：①质量保证措施及安排；②质量过程控制；③质量保证体系。 二、评审标准 1、完整性：内容全面，表述清晰，无明显遗漏； 2、 可实施性：方法科学、技术途径可行、操作步骤清晰； 3、针对性：特色鲜明、符合实际。 三、赋分标准 （满分9分） ① 质量保证措施及安排：每完全满足一个评审标准得1分，满分3.0分； ② 质量过程控制：每完全满足一个评审标准得1分，满分3.0分； ③ 质量保证体系：每完全满足一个评审标准得1分，满分3.0分； 以上评审标准每有一项有缺陷或不完全满足扣1分，缺项或漏项不得分。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供应商针对本项目保密措施，内容包含：①失泄密风险评估；②保密机制及保密措施；③保密能力的证明。 二、评审标准 1、完整性：内容全面，表述清晰，无明显遗漏； 2、可实施性：方法科学、技术途径可行、操作步骤清晰； 3、针对性：特色鲜明、符合实际。 三、赋分标准（满分9分） ① 失泄密风险评估：每完全满足一个评审标准得1分，满分3.0分； ② 保密机制及保密措施：每完全满足一个评审标准得1分，满分3.0分； ③ 保密能力的证明：每完全满足一个评审标准得1分，满分3.0分； 以上评审标准每有一项有缺陷或不完全满足扣1分，缺项或漏项不得分。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根据项目需求针对整个项目提出合理化建议，要求建议科学合理、具有较强的可操作性；每提供一条得1分，满分3分，每有一条有缺陷或不完全满足扣1分，缺项或漏项不得分。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须经验丰富、专业技术能力强。要求：①本科及以上学历，本科学历1分，本科以上学历2分，须提供有效学历证书扫描件或复印件；②承担过同类项目业绩（以合同复印件为准，体现项目负责人姓名），每提供1份1分，最高2分。 （2）技术负责人须经验丰富、专业技术能力强。要求：①具备高级技术职称（专业为测绘类或地理信息类）得2分；②具备注册测绘师和涉密测绘成果管理人员岗位培训证书得2分。 （3）拟投入本项目团队人员须人员数量充足，工作经验丰富。要求：①具有高级技术职称（专业为测绘类或地理信息类），每提供 1 个得1分；②具有中级技术职称（专业为测绘类或地理信息类），每提供1个得0.5分。此项满分 7分。 注：以上所有人员须提供有效（身份证和技术职称证书）的扫描件或复印件，未提供的不得分。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提供自2022年1月1日至今承接过同类项目业绩，每提供一份得2分，最高得8分。（提供完整合同复印件并加盖供应商公章，以成交通知书或合同签订时间为准，未提供的不得分）。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有效期内的ISO9001质量管理体系认证证书、ISO20000信息技术服务管理体系认证证书、ISO27001或GB/T22080信息安全管理体系认证证书、GB/T33718和GB/T31863履约能力达标测评认证，每提供一个得1.5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价格分取小数点后两位，余数按四舍五入法计算。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