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widowControl w:val="0"/>
        <w:wordWrap/>
        <w:overflowPunct/>
        <w:bidi w:val="0"/>
        <w:rPr>
          <w:rFonts w:hint="eastAsia" w:ascii="宋体" w:hAnsi="宋体" w:eastAsia="宋体" w:cs="宋体"/>
          <w:b/>
          <w:bCs/>
          <w:color w:val="auto"/>
          <w:sz w:val="28"/>
          <w:szCs w:val="28"/>
          <w:highlight w:val="none"/>
          <w:lang w:val="zh-CN"/>
        </w:rPr>
      </w:pPr>
    </w:p>
    <w:p>
      <w:pPr>
        <w:keepLines w:val="0"/>
        <w:pageBreakBefore w:val="0"/>
        <w:widowControl w:val="0"/>
        <w:wordWrap/>
        <w:overflowPunct/>
        <w:bidi w:val="0"/>
        <w:rPr>
          <w:rFonts w:hint="eastAsia" w:ascii="宋体" w:hAnsi="宋体" w:eastAsia="宋体" w:cs="宋体"/>
          <w:b/>
          <w:bCs/>
          <w:color w:val="auto"/>
          <w:sz w:val="28"/>
          <w:szCs w:val="28"/>
          <w:highlight w:val="none"/>
          <w:lang w:val="zh-CN"/>
        </w:rPr>
      </w:pPr>
    </w:p>
    <w:p>
      <w:pPr>
        <w:keepLines w:val="0"/>
        <w:pageBreakBefore w:val="0"/>
        <w:widowControl w:val="0"/>
        <w:wordWrap/>
        <w:overflowPunct/>
        <w:bidi w:val="0"/>
        <w:rPr>
          <w:rFonts w:hint="eastAsia" w:ascii="宋体" w:hAnsi="宋体" w:eastAsia="宋体" w:cs="宋体"/>
          <w:b/>
          <w:bCs/>
          <w:color w:val="auto"/>
          <w:sz w:val="28"/>
          <w:szCs w:val="28"/>
          <w:highlight w:val="none"/>
          <w:lang w:val="zh-CN"/>
        </w:rPr>
      </w:pPr>
    </w:p>
    <w:p>
      <w:pPr>
        <w:keepLines w:val="0"/>
        <w:pageBreakBefore w:val="0"/>
        <w:widowControl w:val="0"/>
        <w:wordWrap/>
        <w:overflowPunct/>
        <w:bidi w:val="0"/>
        <w:rPr>
          <w:rFonts w:hint="eastAsia" w:ascii="宋体" w:hAnsi="宋体" w:eastAsia="宋体" w:cs="宋体"/>
          <w:b/>
          <w:bCs/>
          <w:color w:val="auto"/>
          <w:sz w:val="28"/>
          <w:szCs w:val="28"/>
          <w:highlight w:val="none"/>
          <w:lang w:val="zh-CN"/>
        </w:rPr>
      </w:pPr>
    </w:p>
    <w:p>
      <w:pPr>
        <w:pStyle w:val="2"/>
        <w:keepLines w:val="0"/>
        <w:pageBreakBefore w:val="0"/>
        <w:widowControl w:val="0"/>
        <w:wordWrap/>
        <w:overflowPunct/>
        <w:bidi w:val="0"/>
        <w:rPr>
          <w:rFonts w:hint="eastAsia" w:ascii="宋体" w:hAnsi="宋体" w:eastAsia="宋体" w:cs="宋体"/>
          <w:b/>
          <w:bCs/>
          <w:color w:val="auto"/>
          <w:sz w:val="28"/>
          <w:szCs w:val="28"/>
          <w:highlight w:val="none"/>
          <w:lang w:val="zh-CN"/>
        </w:rPr>
      </w:pPr>
    </w:p>
    <w:p>
      <w:pPr>
        <w:pStyle w:val="2"/>
        <w:keepLines w:val="0"/>
        <w:pageBreakBefore w:val="0"/>
        <w:widowControl w:val="0"/>
        <w:wordWrap/>
        <w:overflowPunct/>
        <w:bidi w:val="0"/>
        <w:rPr>
          <w:rFonts w:hint="eastAsia" w:ascii="宋体" w:hAnsi="宋体" w:eastAsia="宋体" w:cs="宋体"/>
          <w:b/>
          <w:bCs/>
          <w:color w:val="auto"/>
          <w:sz w:val="28"/>
          <w:szCs w:val="28"/>
          <w:highlight w:val="none"/>
          <w:lang w:val="zh-CN"/>
        </w:rPr>
      </w:pPr>
    </w:p>
    <w:p>
      <w:pPr>
        <w:pStyle w:val="2"/>
        <w:keepLines w:val="0"/>
        <w:pageBreakBefore w:val="0"/>
        <w:widowControl w:val="0"/>
        <w:wordWrap/>
        <w:overflowPunct/>
        <w:bidi w:val="0"/>
        <w:rPr>
          <w:rFonts w:hint="eastAsia"/>
          <w:lang w:val="zh-CN"/>
        </w:rPr>
      </w:pPr>
    </w:p>
    <w:p>
      <w:pPr>
        <w:pStyle w:val="3"/>
        <w:keepNext w:val="0"/>
        <w:keepLines w:val="0"/>
        <w:pageBreakBefore w:val="0"/>
        <w:widowControl w:val="0"/>
        <w:numPr>
          <w:ilvl w:val="0"/>
          <w:numId w:val="0"/>
        </w:numPr>
        <w:kinsoku w:val="0"/>
        <w:wordWrap/>
        <w:overflowPunct/>
        <w:topLinePunct w:val="0"/>
        <w:autoSpaceDE w:val="0"/>
        <w:autoSpaceDN w:val="0"/>
        <w:bidi w:val="0"/>
        <w:adjustRightInd w:val="0"/>
        <w:snapToGrid w:val="0"/>
        <w:spacing w:before="0" w:after="0" w:line="240" w:lineRule="auto"/>
        <w:jc w:val="center"/>
        <w:textAlignment w:val="baseline"/>
        <w:rPr>
          <w:rFonts w:hint="eastAsia" w:ascii="方正小标宋简体" w:eastAsia="方正小标宋简体"/>
          <w:sz w:val="72"/>
          <w:szCs w:val="72"/>
        </w:rPr>
      </w:pPr>
      <w:bookmarkStart w:id="0" w:name="_Toc152045609"/>
      <w:bookmarkStart w:id="1" w:name="_Toc233102573"/>
      <w:bookmarkStart w:id="2" w:name="_Toc152042387"/>
      <w:bookmarkStart w:id="3" w:name="_Toc144974577"/>
      <w:bookmarkStart w:id="4" w:name="_Toc179632627"/>
      <w:bookmarkStart w:id="5" w:name="_Toc492286403"/>
      <w:r>
        <w:rPr>
          <w:rFonts w:hint="eastAsia" w:ascii="方正小标宋简体" w:eastAsia="方正小标宋简体"/>
          <w:sz w:val="72"/>
          <w:szCs w:val="72"/>
        </w:rPr>
        <w:t>技术服务合同</w:t>
      </w:r>
      <w:bookmarkEnd w:id="0"/>
      <w:bookmarkEnd w:id="1"/>
      <w:bookmarkEnd w:id="2"/>
      <w:bookmarkEnd w:id="3"/>
      <w:bookmarkEnd w:id="4"/>
      <w:bookmarkEnd w:id="5"/>
    </w:p>
    <w:p>
      <w:pPr>
        <w:pStyle w:val="3"/>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b/>
          <w:bCs/>
          <w:color w:val="auto"/>
          <w:sz w:val="28"/>
          <w:szCs w:val="28"/>
          <w:highlight w:val="none"/>
          <w:lang w:val="zh-CN"/>
        </w:rPr>
      </w:pPr>
    </w:p>
    <w:p>
      <w:pPr>
        <w:keepNext w:val="0"/>
        <w:keepLines w:val="0"/>
        <w:pageBreakBefore w:val="0"/>
        <w:widowControl w:val="0"/>
        <w:kinsoku w:val="0"/>
        <w:wordWrap/>
        <w:overflowPunct/>
        <w:topLinePunct w:val="0"/>
        <w:autoSpaceDE w:val="0"/>
        <w:autoSpaceDN w:val="0"/>
        <w:bidi w:val="0"/>
        <w:adjustRightInd w:val="0"/>
        <w:snapToGrid w:val="0"/>
        <w:spacing w:line="360" w:lineRule="auto"/>
        <w:ind w:firstLine="1600" w:firstLineChars="500"/>
        <w:textAlignment w:val="baseline"/>
        <w:rPr>
          <w:rFonts w:hint="eastAsia" w:ascii="宋体" w:hAnsi="宋体" w:eastAsia="宋体" w:cs="宋体"/>
          <w:color w:val="auto"/>
          <w:sz w:val="32"/>
          <w:szCs w:val="32"/>
          <w:highlight w:val="none"/>
        </w:rPr>
      </w:pPr>
    </w:p>
    <w:p>
      <w:pPr>
        <w:pStyle w:val="8"/>
        <w:keepLines w:val="0"/>
        <w:pageBreakBefore w:val="0"/>
        <w:widowControl w:val="0"/>
        <w:wordWrap/>
        <w:overflowPunct/>
        <w:bidi w:val="0"/>
        <w:rPr>
          <w:rFonts w:hint="eastAsia" w:ascii="宋体" w:hAnsi="宋体" w:eastAsia="宋体" w:cs="宋体"/>
          <w:color w:val="auto"/>
          <w:sz w:val="32"/>
          <w:szCs w:val="32"/>
          <w:highlight w:val="none"/>
        </w:rPr>
      </w:pPr>
    </w:p>
    <w:p>
      <w:pPr>
        <w:keepLines w:val="0"/>
        <w:pageBreakBefore w:val="0"/>
        <w:widowControl w:val="0"/>
        <w:wordWrap/>
        <w:overflowPunct/>
        <w:bidi w:val="0"/>
        <w:rPr>
          <w:rFonts w:hint="eastAsia" w:ascii="宋体" w:hAnsi="宋体" w:eastAsia="宋体" w:cs="宋体"/>
          <w:color w:val="auto"/>
          <w:sz w:val="32"/>
          <w:szCs w:val="32"/>
          <w:highlight w:val="none"/>
        </w:rPr>
      </w:pPr>
    </w:p>
    <w:p>
      <w:pPr>
        <w:pStyle w:val="8"/>
        <w:keepLines w:val="0"/>
        <w:pageBreakBefore w:val="0"/>
        <w:widowControl w:val="0"/>
        <w:wordWrap/>
        <w:overflowPunct/>
        <w:bidi w:val="0"/>
        <w:rPr>
          <w:rFonts w:hint="eastAsia"/>
        </w:rPr>
      </w:pPr>
    </w:p>
    <w:tbl>
      <w:tblPr>
        <w:tblStyle w:val="10"/>
        <w:tblpPr w:leftFromText="180" w:rightFromText="180" w:vertAnchor="text" w:horzAnchor="page" w:tblpX="2305" w:tblpY="2251"/>
        <w:tblOverlap w:val="neve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88"/>
        <w:gridCol w:w="284"/>
        <w:gridCol w:w="56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center"/>
          </w:tcPr>
          <w:p>
            <w:pPr>
              <w:keepLines w:val="0"/>
              <w:pageBreakBefore w:val="0"/>
              <w:widowControl w:val="0"/>
              <w:wordWrap/>
              <w:overflowPunct/>
              <w:bidi w:val="0"/>
              <w:adjustRightInd w:val="0"/>
              <w:snapToGrid w:val="0"/>
              <w:spacing w:line="520" w:lineRule="exact"/>
              <w:jc w:val="distribute"/>
              <w:rPr>
                <w:rFonts w:hint="eastAsia" w:asciiTheme="minorEastAsia" w:hAnsiTheme="minorEastAsia" w:eastAsiaTheme="minorEastAsia" w:cstheme="minorEastAsia"/>
                <w:spacing w:val="-20"/>
                <w:w w:val="90"/>
                <w:sz w:val="30"/>
                <w:szCs w:val="30"/>
              </w:rPr>
            </w:pPr>
            <w:r>
              <w:rPr>
                <w:rFonts w:hint="eastAsia" w:asciiTheme="minorEastAsia" w:hAnsiTheme="minorEastAsia" w:eastAsiaTheme="minorEastAsia" w:cstheme="minorEastAsia"/>
                <w:spacing w:val="-20"/>
                <w:w w:val="90"/>
                <w:sz w:val="30"/>
                <w:szCs w:val="30"/>
              </w:rPr>
              <w:t>项目名称</w:t>
            </w:r>
          </w:p>
        </w:tc>
        <w:tc>
          <w:tcPr>
            <w:tcW w:w="284" w:type="dxa"/>
            <w:noWrap w:val="0"/>
            <w:tcMar>
              <w:left w:w="28" w:type="dxa"/>
              <w:right w:w="28" w:type="dxa"/>
            </w:tcMar>
            <w:vAlign w:val="center"/>
          </w:tcPr>
          <w:p>
            <w:pPr>
              <w:keepLines w:val="0"/>
              <w:pageBreakBefore w:val="0"/>
              <w:widowControl w:val="0"/>
              <w:wordWrap/>
              <w:overflowPunct/>
              <w:bidi w:val="0"/>
              <w:adjustRightInd w:val="0"/>
              <w:snapToGrid w:val="0"/>
              <w:spacing w:line="520" w:lineRule="exact"/>
              <w:jc w:val="center"/>
              <w:rPr>
                <w:rFonts w:hint="eastAsia" w:asciiTheme="minorEastAsia" w:hAnsiTheme="minorEastAsia" w:eastAsiaTheme="minorEastAsia" w:cstheme="minorEastAsia"/>
                <w:spacing w:val="-60"/>
                <w:sz w:val="30"/>
                <w:szCs w:val="30"/>
              </w:rPr>
            </w:pPr>
            <w:r>
              <w:rPr>
                <w:rFonts w:hint="eastAsia" w:asciiTheme="minorEastAsia" w:hAnsiTheme="minorEastAsia" w:eastAsiaTheme="minorEastAsia" w:cstheme="minorEastAsia"/>
                <w:spacing w:val="-60"/>
                <w:sz w:val="30"/>
                <w:szCs w:val="30"/>
              </w:rPr>
              <w:t>：</w:t>
            </w:r>
          </w:p>
        </w:tc>
        <w:tc>
          <w:tcPr>
            <w:tcW w:w="5670" w:type="dxa"/>
            <w:noWrap w:val="0"/>
            <w:tcMar>
              <w:left w:w="28" w:type="dxa"/>
              <w:right w:w="28" w:type="dxa"/>
            </w:tcMar>
            <w:vAlign w:val="center"/>
          </w:tcPr>
          <w:p>
            <w:pPr>
              <w:keepLines w:val="0"/>
              <w:pageBreakBefore w:val="0"/>
              <w:widowControl w:val="0"/>
              <w:wordWrap/>
              <w:overflowPunct/>
              <w:bidi w:val="0"/>
              <w:adjustRightInd w:val="0"/>
              <w:snapToGrid w:val="0"/>
              <w:spacing w:line="520" w:lineRule="exact"/>
              <w:rPr>
                <w:rFonts w:hint="default" w:asciiTheme="minorEastAsia" w:hAnsiTheme="minorEastAsia" w:eastAsiaTheme="minorEastAsia" w:cstheme="minorEastAsia"/>
                <w:sz w:val="30"/>
                <w:szCs w:val="30"/>
                <w:u w:val="single"/>
                <w:lang w:val="en-US" w:eastAsia="zh-CN"/>
              </w:rPr>
            </w:pPr>
            <w:r>
              <w:rPr>
                <w:rFonts w:hint="eastAsia" w:asciiTheme="minorEastAsia" w:hAnsiTheme="minorEastAsia" w:eastAsiaTheme="minorEastAsia" w:cstheme="minorEastAsia"/>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center"/>
          </w:tcPr>
          <w:p>
            <w:pPr>
              <w:keepLines w:val="0"/>
              <w:pageBreakBefore w:val="0"/>
              <w:widowControl w:val="0"/>
              <w:wordWrap/>
              <w:overflowPunct/>
              <w:bidi w:val="0"/>
              <w:adjustRightInd w:val="0"/>
              <w:snapToGrid w:val="0"/>
              <w:spacing w:line="520" w:lineRule="exact"/>
              <w:rPr>
                <w:rFonts w:hint="eastAsia" w:asciiTheme="minorEastAsia" w:hAnsiTheme="minorEastAsia" w:eastAsiaTheme="minorEastAsia" w:cstheme="minorEastAsia"/>
                <w:spacing w:val="-20"/>
                <w:w w:val="90"/>
                <w:sz w:val="30"/>
                <w:szCs w:val="30"/>
              </w:rPr>
            </w:pPr>
            <w:r>
              <w:rPr>
                <w:rFonts w:hint="eastAsia" w:asciiTheme="minorEastAsia" w:hAnsiTheme="minorEastAsia" w:eastAsiaTheme="minorEastAsia" w:cstheme="minorEastAsia"/>
                <w:spacing w:val="-20"/>
                <w:w w:val="90"/>
                <w:sz w:val="30"/>
                <w:szCs w:val="30"/>
              </w:rPr>
              <w:t>委托人（甲方）</w:t>
            </w:r>
          </w:p>
        </w:tc>
        <w:tc>
          <w:tcPr>
            <w:tcW w:w="284" w:type="dxa"/>
            <w:noWrap w:val="0"/>
            <w:tcMar>
              <w:left w:w="28" w:type="dxa"/>
              <w:right w:w="28" w:type="dxa"/>
            </w:tcMar>
            <w:vAlign w:val="center"/>
          </w:tcPr>
          <w:p>
            <w:pPr>
              <w:keepLines w:val="0"/>
              <w:pageBreakBefore w:val="0"/>
              <w:widowControl w:val="0"/>
              <w:wordWrap/>
              <w:overflowPunct/>
              <w:bidi w:val="0"/>
              <w:adjustRightInd w:val="0"/>
              <w:snapToGrid w:val="0"/>
              <w:spacing w:line="520" w:lineRule="exact"/>
              <w:jc w:val="center"/>
              <w:rPr>
                <w:rFonts w:hint="eastAsia" w:asciiTheme="minorEastAsia" w:hAnsiTheme="minorEastAsia" w:eastAsiaTheme="minorEastAsia" w:cstheme="minorEastAsia"/>
                <w:spacing w:val="-60"/>
                <w:sz w:val="30"/>
                <w:szCs w:val="30"/>
              </w:rPr>
            </w:pPr>
            <w:r>
              <w:rPr>
                <w:rFonts w:hint="eastAsia" w:asciiTheme="minorEastAsia" w:hAnsiTheme="minorEastAsia" w:eastAsiaTheme="minorEastAsia" w:cstheme="minorEastAsia"/>
                <w:spacing w:val="-60"/>
                <w:sz w:val="30"/>
                <w:szCs w:val="30"/>
              </w:rPr>
              <w:t>：</w:t>
            </w:r>
          </w:p>
        </w:tc>
        <w:tc>
          <w:tcPr>
            <w:tcW w:w="5670" w:type="dxa"/>
            <w:noWrap w:val="0"/>
            <w:tcMar>
              <w:left w:w="28" w:type="dxa"/>
              <w:right w:w="28" w:type="dxa"/>
            </w:tcMar>
            <w:vAlign w:val="center"/>
          </w:tcPr>
          <w:p>
            <w:pPr>
              <w:keepLines w:val="0"/>
              <w:pageBreakBefore w:val="0"/>
              <w:widowControl w:val="0"/>
              <w:wordWrap/>
              <w:overflowPunct/>
              <w:bidi w:val="0"/>
              <w:adjustRightInd w:val="0"/>
              <w:snapToGrid w:val="0"/>
              <w:spacing w:line="52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u w:val="single"/>
              </w:rPr>
              <w:t xml:space="preserve">                  </w:t>
            </w:r>
            <w:r>
              <w:rPr>
                <w:rFonts w:hint="eastAsia" w:asciiTheme="minorEastAsia" w:hAnsiTheme="minorEastAsia" w:eastAsiaTheme="minorEastAsia" w:cstheme="minorEastAsia"/>
                <w:bCs/>
                <w:sz w:val="30"/>
                <w:szCs w:val="30"/>
                <w:u w:val="single"/>
                <w:lang w:val="en-US" w:eastAsia="zh-CN"/>
              </w:rPr>
              <w:t xml:space="preserve">               </w:t>
            </w:r>
            <w:r>
              <w:rPr>
                <w:rFonts w:hint="eastAsia" w:asciiTheme="minorEastAsia" w:hAnsiTheme="minorEastAsia" w:eastAsiaTheme="minorEastAsia" w:cstheme="minorEastAsia"/>
                <w:bCs/>
                <w:sz w:val="30"/>
                <w:szCs w:val="30"/>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top"/>
          </w:tcPr>
          <w:p>
            <w:pPr>
              <w:keepLines w:val="0"/>
              <w:pageBreakBefore w:val="0"/>
              <w:widowControl w:val="0"/>
              <w:wordWrap/>
              <w:overflowPunct/>
              <w:bidi w:val="0"/>
              <w:adjustRightInd w:val="0"/>
              <w:snapToGrid w:val="0"/>
              <w:spacing w:line="520" w:lineRule="exact"/>
              <w:rPr>
                <w:rFonts w:hint="eastAsia" w:asciiTheme="minorEastAsia" w:hAnsiTheme="minorEastAsia" w:eastAsiaTheme="minorEastAsia" w:cstheme="minorEastAsia"/>
                <w:spacing w:val="-20"/>
                <w:w w:val="90"/>
                <w:sz w:val="30"/>
                <w:szCs w:val="30"/>
              </w:rPr>
            </w:pPr>
            <w:bookmarkStart w:id="6" w:name="_Hlk155563029"/>
            <w:r>
              <w:rPr>
                <w:rFonts w:hint="eastAsia" w:asciiTheme="minorEastAsia" w:hAnsiTheme="minorEastAsia" w:eastAsiaTheme="minorEastAsia" w:cstheme="minorEastAsia"/>
                <w:spacing w:val="-20"/>
                <w:w w:val="90"/>
                <w:sz w:val="30"/>
                <w:szCs w:val="30"/>
              </w:rPr>
              <w:t>受托人（乙方）</w:t>
            </w:r>
          </w:p>
        </w:tc>
        <w:tc>
          <w:tcPr>
            <w:tcW w:w="284" w:type="dxa"/>
            <w:noWrap w:val="0"/>
            <w:tcMar>
              <w:left w:w="28" w:type="dxa"/>
              <w:right w:w="28" w:type="dxa"/>
            </w:tcMar>
            <w:vAlign w:val="top"/>
          </w:tcPr>
          <w:p>
            <w:pPr>
              <w:keepLines w:val="0"/>
              <w:pageBreakBefore w:val="0"/>
              <w:widowControl w:val="0"/>
              <w:wordWrap/>
              <w:overflowPunct/>
              <w:bidi w:val="0"/>
              <w:adjustRightInd w:val="0"/>
              <w:snapToGrid w:val="0"/>
              <w:spacing w:line="520" w:lineRule="exact"/>
              <w:jc w:val="center"/>
              <w:rPr>
                <w:rFonts w:hint="eastAsia" w:asciiTheme="minorEastAsia" w:hAnsiTheme="minorEastAsia" w:eastAsiaTheme="minorEastAsia" w:cstheme="minorEastAsia"/>
                <w:spacing w:val="-60"/>
                <w:sz w:val="30"/>
                <w:szCs w:val="30"/>
              </w:rPr>
            </w:pPr>
            <w:r>
              <w:rPr>
                <w:rFonts w:hint="eastAsia" w:asciiTheme="minorEastAsia" w:hAnsiTheme="minorEastAsia" w:eastAsiaTheme="minorEastAsia" w:cstheme="minorEastAsia"/>
                <w:spacing w:val="-60"/>
                <w:sz w:val="30"/>
                <w:szCs w:val="30"/>
              </w:rPr>
              <w:t>：</w:t>
            </w:r>
          </w:p>
        </w:tc>
        <w:tc>
          <w:tcPr>
            <w:tcW w:w="5670" w:type="dxa"/>
            <w:noWrap w:val="0"/>
            <w:tcMar>
              <w:left w:w="28" w:type="dxa"/>
              <w:right w:w="28" w:type="dxa"/>
            </w:tcMar>
            <w:vAlign w:val="top"/>
          </w:tcPr>
          <w:p>
            <w:pPr>
              <w:keepLines w:val="0"/>
              <w:pageBreakBefore w:val="0"/>
              <w:widowControl w:val="0"/>
              <w:wordWrap/>
              <w:overflowPunct/>
              <w:bidi w:val="0"/>
              <w:adjustRightInd w:val="0"/>
              <w:snapToGrid w:val="0"/>
              <w:spacing w:line="52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top"/>
          </w:tcPr>
          <w:p>
            <w:pPr>
              <w:keepLines w:val="0"/>
              <w:pageBreakBefore w:val="0"/>
              <w:widowControl w:val="0"/>
              <w:wordWrap/>
              <w:overflowPunct/>
              <w:bidi w:val="0"/>
              <w:adjustRightInd w:val="0"/>
              <w:snapToGrid w:val="0"/>
              <w:spacing w:line="520" w:lineRule="exact"/>
              <w:jc w:val="distribute"/>
              <w:rPr>
                <w:rFonts w:hint="eastAsia" w:asciiTheme="minorEastAsia" w:hAnsiTheme="minorEastAsia" w:eastAsiaTheme="minorEastAsia" w:cstheme="minorEastAsia"/>
                <w:spacing w:val="-20"/>
                <w:w w:val="90"/>
                <w:sz w:val="30"/>
                <w:szCs w:val="30"/>
              </w:rPr>
            </w:pPr>
            <w:r>
              <w:rPr>
                <w:rFonts w:hint="eastAsia" w:asciiTheme="minorEastAsia" w:hAnsiTheme="minorEastAsia" w:eastAsiaTheme="minorEastAsia" w:cstheme="minorEastAsia"/>
                <w:spacing w:val="-20"/>
                <w:w w:val="90"/>
                <w:sz w:val="30"/>
                <w:szCs w:val="30"/>
              </w:rPr>
              <w:t>签字日期</w:t>
            </w:r>
          </w:p>
        </w:tc>
        <w:tc>
          <w:tcPr>
            <w:tcW w:w="284" w:type="dxa"/>
            <w:noWrap w:val="0"/>
            <w:tcMar>
              <w:left w:w="28" w:type="dxa"/>
              <w:right w:w="28" w:type="dxa"/>
            </w:tcMar>
            <w:vAlign w:val="top"/>
          </w:tcPr>
          <w:p>
            <w:pPr>
              <w:keepLines w:val="0"/>
              <w:pageBreakBefore w:val="0"/>
              <w:widowControl w:val="0"/>
              <w:wordWrap/>
              <w:overflowPunct/>
              <w:bidi w:val="0"/>
              <w:adjustRightInd w:val="0"/>
              <w:snapToGrid w:val="0"/>
              <w:spacing w:line="520" w:lineRule="exact"/>
              <w:jc w:val="center"/>
              <w:rPr>
                <w:rFonts w:hint="eastAsia" w:asciiTheme="minorEastAsia" w:hAnsiTheme="minorEastAsia" w:eastAsiaTheme="minorEastAsia" w:cstheme="minorEastAsia"/>
                <w:spacing w:val="-60"/>
                <w:sz w:val="30"/>
                <w:szCs w:val="30"/>
              </w:rPr>
            </w:pPr>
            <w:r>
              <w:rPr>
                <w:rFonts w:hint="eastAsia" w:asciiTheme="minorEastAsia" w:hAnsiTheme="minorEastAsia" w:eastAsiaTheme="minorEastAsia" w:cstheme="minorEastAsia"/>
                <w:spacing w:val="-60"/>
                <w:sz w:val="30"/>
                <w:szCs w:val="30"/>
              </w:rPr>
              <w:t>：</w:t>
            </w:r>
          </w:p>
        </w:tc>
        <w:tc>
          <w:tcPr>
            <w:tcW w:w="5670" w:type="dxa"/>
            <w:noWrap w:val="0"/>
            <w:tcMar>
              <w:left w:w="28" w:type="dxa"/>
              <w:right w:w="28" w:type="dxa"/>
            </w:tcMar>
            <w:vAlign w:val="top"/>
          </w:tcPr>
          <w:p>
            <w:pPr>
              <w:keepLines w:val="0"/>
              <w:pageBreakBefore w:val="0"/>
              <w:widowControl w:val="0"/>
              <w:wordWrap/>
              <w:overflowPunct/>
              <w:bidi w:val="0"/>
              <w:adjustRightInd w:val="0"/>
              <w:snapToGrid w:val="0"/>
              <w:spacing w:line="520" w:lineRule="exact"/>
              <w:rPr>
                <w:rFonts w:hint="eastAsia" w:asciiTheme="minorEastAsia" w:hAnsiTheme="minorEastAsia" w:eastAsiaTheme="minorEastAsia" w:cstheme="minorEastAsia"/>
                <w:bCs/>
                <w:sz w:val="30"/>
                <w:szCs w:val="30"/>
                <w:u w:val="single"/>
              </w:rPr>
            </w:pPr>
            <w:r>
              <w:rPr>
                <w:rFonts w:hint="eastAsia" w:asciiTheme="minorEastAsia" w:hAnsiTheme="minorEastAsia" w:eastAsiaTheme="minorEastAsia" w:cstheme="minorEastAsia"/>
                <w:bCs/>
                <w:sz w:val="30"/>
                <w:szCs w:val="30"/>
                <w:u w:val="single"/>
              </w:rPr>
              <w:t>202</w:t>
            </w:r>
            <w:r>
              <w:rPr>
                <w:rFonts w:hint="eastAsia" w:asciiTheme="minorEastAsia" w:hAnsiTheme="minorEastAsia" w:eastAsiaTheme="minorEastAsia" w:cstheme="minorEastAsia"/>
                <w:bCs/>
                <w:sz w:val="30"/>
                <w:szCs w:val="30"/>
                <w:u w:val="single"/>
                <w:lang w:val="en-US" w:eastAsia="zh-CN"/>
              </w:rPr>
              <w:t>5</w:t>
            </w:r>
            <w:r>
              <w:rPr>
                <w:rFonts w:hint="eastAsia" w:asciiTheme="minorEastAsia" w:hAnsiTheme="minorEastAsia" w:eastAsiaTheme="minorEastAsia" w:cstheme="minorEastAsia"/>
                <w:bCs/>
                <w:sz w:val="30"/>
                <w:szCs w:val="30"/>
                <w:u w:val="single"/>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88" w:type="dxa"/>
            <w:noWrap w:val="0"/>
            <w:tcMar>
              <w:left w:w="28" w:type="dxa"/>
              <w:right w:w="28" w:type="dxa"/>
            </w:tcMar>
            <w:vAlign w:val="top"/>
          </w:tcPr>
          <w:p>
            <w:pPr>
              <w:keepLines w:val="0"/>
              <w:pageBreakBefore w:val="0"/>
              <w:widowControl w:val="0"/>
              <w:wordWrap/>
              <w:overflowPunct/>
              <w:bidi w:val="0"/>
              <w:adjustRightInd w:val="0"/>
              <w:snapToGrid w:val="0"/>
              <w:spacing w:line="520" w:lineRule="exact"/>
              <w:jc w:val="distribute"/>
              <w:rPr>
                <w:rFonts w:hint="eastAsia" w:asciiTheme="minorEastAsia" w:hAnsiTheme="minorEastAsia" w:eastAsiaTheme="minorEastAsia" w:cstheme="minorEastAsia"/>
                <w:spacing w:val="-20"/>
                <w:w w:val="90"/>
                <w:sz w:val="30"/>
                <w:szCs w:val="30"/>
              </w:rPr>
            </w:pPr>
            <w:r>
              <w:rPr>
                <w:rFonts w:hint="eastAsia" w:asciiTheme="minorEastAsia" w:hAnsiTheme="minorEastAsia" w:eastAsiaTheme="minorEastAsia" w:cstheme="minorEastAsia"/>
                <w:spacing w:val="-20"/>
                <w:w w:val="90"/>
                <w:sz w:val="30"/>
                <w:szCs w:val="30"/>
              </w:rPr>
              <w:t>签字地点</w:t>
            </w:r>
          </w:p>
        </w:tc>
        <w:tc>
          <w:tcPr>
            <w:tcW w:w="284" w:type="dxa"/>
            <w:noWrap w:val="0"/>
            <w:tcMar>
              <w:left w:w="28" w:type="dxa"/>
              <w:right w:w="28" w:type="dxa"/>
            </w:tcMar>
            <w:vAlign w:val="top"/>
          </w:tcPr>
          <w:p>
            <w:pPr>
              <w:keepLines w:val="0"/>
              <w:pageBreakBefore w:val="0"/>
              <w:widowControl w:val="0"/>
              <w:wordWrap/>
              <w:overflowPunct/>
              <w:bidi w:val="0"/>
              <w:adjustRightInd w:val="0"/>
              <w:snapToGrid w:val="0"/>
              <w:spacing w:line="520" w:lineRule="exact"/>
              <w:jc w:val="center"/>
              <w:rPr>
                <w:rFonts w:hint="eastAsia" w:asciiTheme="minorEastAsia" w:hAnsiTheme="minorEastAsia" w:eastAsiaTheme="minorEastAsia" w:cstheme="minorEastAsia"/>
                <w:spacing w:val="-60"/>
                <w:sz w:val="30"/>
                <w:szCs w:val="30"/>
              </w:rPr>
            </w:pPr>
            <w:r>
              <w:rPr>
                <w:rFonts w:hint="eastAsia" w:asciiTheme="minorEastAsia" w:hAnsiTheme="minorEastAsia" w:eastAsiaTheme="minorEastAsia" w:cstheme="minorEastAsia"/>
                <w:spacing w:val="-60"/>
                <w:sz w:val="30"/>
                <w:szCs w:val="30"/>
              </w:rPr>
              <w:t>：</w:t>
            </w:r>
          </w:p>
        </w:tc>
        <w:tc>
          <w:tcPr>
            <w:tcW w:w="5670" w:type="dxa"/>
            <w:noWrap w:val="0"/>
            <w:tcMar>
              <w:left w:w="28" w:type="dxa"/>
              <w:right w:w="28" w:type="dxa"/>
            </w:tcMar>
            <w:vAlign w:val="top"/>
          </w:tcPr>
          <w:p>
            <w:pPr>
              <w:keepLines w:val="0"/>
              <w:pageBreakBefore w:val="0"/>
              <w:widowControl w:val="0"/>
              <w:wordWrap/>
              <w:overflowPunct/>
              <w:bidi w:val="0"/>
              <w:adjustRightInd w:val="0"/>
              <w:snapToGrid w:val="0"/>
              <w:spacing w:line="52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Cs/>
                <w:sz w:val="30"/>
                <w:szCs w:val="30"/>
                <w:u w:val="single"/>
              </w:rPr>
              <w:t>陕西省</w:t>
            </w:r>
            <w:r>
              <w:rPr>
                <w:rFonts w:hint="eastAsia" w:asciiTheme="minorEastAsia" w:hAnsiTheme="minorEastAsia" w:eastAsiaTheme="minorEastAsia" w:cstheme="minorEastAsia"/>
                <w:bCs/>
                <w:sz w:val="30"/>
                <w:szCs w:val="30"/>
                <w:u w:val="single"/>
                <w:lang w:eastAsia="zh-CN"/>
              </w:rPr>
              <w:t>汉中</w:t>
            </w:r>
            <w:r>
              <w:rPr>
                <w:rFonts w:hint="eastAsia" w:asciiTheme="minorEastAsia" w:hAnsiTheme="minorEastAsia" w:eastAsiaTheme="minorEastAsia" w:cstheme="minorEastAsia"/>
                <w:bCs/>
                <w:sz w:val="30"/>
                <w:szCs w:val="30"/>
                <w:u w:val="single"/>
              </w:rPr>
              <w:t>市</w:t>
            </w:r>
          </w:p>
        </w:tc>
      </w:tr>
      <w:bookmarkEnd w:id="6"/>
    </w:tbl>
    <w:p>
      <w:pPr>
        <w:keepNext w:val="0"/>
        <w:keepLines w:val="0"/>
        <w:pageBreakBefore w:val="0"/>
        <w:widowControl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32"/>
          <w:szCs w:val="32"/>
          <w:highlight w:val="none"/>
          <w:lang w:eastAsia="zh-CN"/>
        </w:rPr>
      </w:pPr>
    </w:p>
    <w:p>
      <w:pPr>
        <w:pStyle w:val="8"/>
        <w:keepLines w:val="0"/>
        <w:pageBreakBefore w:val="0"/>
        <w:widowControl w:val="0"/>
        <w:wordWrap/>
        <w:overflowPunct/>
        <w:bidi w:val="0"/>
        <w:rPr>
          <w:rFonts w:hint="eastAsia" w:ascii="宋体" w:hAnsi="宋体" w:eastAsia="宋体" w:cs="宋体"/>
          <w:color w:val="auto"/>
          <w:sz w:val="32"/>
          <w:szCs w:val="32"/>
          <w:highlight w:val="none"/>
          <w:lang w:eastAsia="zh-CN"/>
        </w:rPr>
      </w:pPr>
    </w:p>
    <w:p>
      <w:pPr>
        <w:keepLines w:val="0"/>
        <w:pageBreakBefore w:val="0"/>
        <w:widowControl w:val="0"/>
        <w:wordWrap/>
        <w:overflowPunct/>
        <w:bidi w:val="0"/>
        <w:rPr>
          <w:rFonts w:hint="eastAsia"/>
          <w:lang w:eastAsia="zh-CN"/>
        </w:rPr>
      </w:pPr>
    </w:p>
    <w:p>
      <w:pPr>
        <w:pStyle w:val="8"/>
        <w:keepLines w:val="0"/>
        <w:pageBreakBefore w:val="0"/>
        <w:widowControl w:val="0"/>
        <w:wordWrap/>
        <w:overflowPunct/>
        <w:bidi w:val="0"/>
        <w:rPr>
          <w:rFonts w:hint="eastAsia" w:ascii="宋体" w:hAnsi="宋体" w:eastAsia="宋体" w:cs="宋体"/>
          <w:color w:val="auto"/>
          <w:sz w:val="32"/>
          <w:szCs w:val="32"/>
          <w:highlight w:val="none"/>
          <w:lang w:eastAsia="zh-CN"/>
        </w:rPr>
      </w:pPr>
    </w:p>
    <w:p>
      <w:pPr>
        <w:keepNext w:val="0"/>
        <w:keepLines w:val="0"/>
        <w:pageBreakBefore w:val="0"/>
        <w:widowControl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32"/>
          <w:szCs w:val="32"/>
          <w:highlight w:val="none"/>
          <w:lang w:eastAsia="zh-CN"/>
        </w:rPr>
      </w:pPr>
    </w:p>
    <w:p>
      <w:pPr>
        <w:keepNext w:val="0"/>
        <w:keepLines w:val="0"/>
        <w:pageBreakBefore w:val="0"/>
        <w:widowControl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32"/>
          <w:szCs w:val="32"/>
          <w:highlight w:val="none"/>
          <w:lang w:eastAsia="zh-CN"/>
        </w:rPr>
      </w:pPr>
    </w:p>
    <w:p>
      <w:pPr>
        <w:keepNext w:val="0"/>
        <w:keepLines w:val="0"/>
        <w:pageBreakBefore w:val="0"/>
        <w:widowControl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32"/>
          <w:szCs w:val="32"/>
          <w:highlight w:val="none"/>
          <w:lang w:eastAsia="zh-CN"/>
        </w:rPr>
      </w:pPr>
    </w:p>
    <w:p>
      <w:pPr>
        <w:keepNext w:val="0"/>
        <w:keepLines w:val="0"/>
        <w:pageBreakBefore w:val="0"/>
        <w:widowControl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32"/>
          <w:szCs w:val="32"/>
          <w:highlight w:val="none"/>
          <w:lang w:eastAsia="zh-CN"/>
        </w:rPr>
      </w:pPr>
    </w:p>
    <w:p>
      <w:pPr>
        <w:keepNext w:val="0"/>
        <w:keepLines w:val="0"/>
        <w:pageBreakBefore w:val="0"/>
        <w:widowControl w:val="0"/>
        <w:wordWrap/>
        <w:overflowPunct/>
        <w:bidi w:val="0"/>
        <w:spacing w:line="360" w:lineRule="auto"/>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甲方：</w:t>
      </w:r>
      <w:r>
        <w:rPr>
          <w:rFonts w:hint="eastAsia" w:asciiTheme="minorEastAsia" w:hAnsiTheme="minorEastAsia" w:eastAsiaTheme="minorEastAsia" w:cstheme="minorEastAsia"/>
          <w:b/>
          <w:bCs/>
          <w:color w:val="auto"/>
          <w:sz w:val="24"/>
          <w:szCs w:val="24"/>
          <w:highlight w:val="none"/>
          <w:u w:val="single"/>
        </w:rPr>
        <w:t xml:space="preserve">             </w:t>
      </w:r>
      <w:r>
        <w:rPr>
          <w:rFonts w:hint="eastAsia" w:asciiTheme="minorEastAsia" w:hAnsiTheme="minorEastAsia" w:eastAsiaTheme="minorEastAsia" w:cstheme="minorEastAsia"/>
          <w:b/>
          <w:bCs/>
          <w:color w:val="auto"/>
          <w:sz w:val="24"/>
          <w:szCs w:val="24"/>
          <w:highlight w:val="none"/>
          <w:u w:val="single"/>
          <w:lang w:val="en-US" w:eastAsia="zh-CN"/>
        </w:rPr>
        <w:t xml:space="preserve">    </w:t>
      </w:r>
      <w:r>
        <w:rPr>
          <w:rFonts w:hint="eastAsia" w:asciiTheme="minorEastAsia" w:hAnsiTheme="minorEastAsia" w:eastAsiaTheme="minorEastAsia" w:cstheme="minorEastAsia"/>
          <w:b/>
          <w:bCs/>
          <w:color w:val="auto"/>
          <w:sz w:val="24"/>
          <w:szCs w:val="24"/>
          <w:highlight w:val="none"/>
          <w:u w:val="single"/>
        </w:rPr>
        <w:t xml:space="preserve">       </w:t>
      </w:r>
    </w:p>
    <w:p>
      <w:pPr>
        <w:keepNext w:val="0"/>
        <w:keepLines w:val="0"/>
        <w:pageBreakBefore w:val="0"/>
        <w:widowControl w:val="0"/>
        <w:wordWrap/>
        <w:overflowPunct/>
        <w:bidi w:val="0"/>
        <w:spacing w:line="360" w:lineRule="auto"/>
        <w:ind w:firstLine="48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auto"/>
          <w:sz w:val="24"/>
          <w:szCs w:val="24"/>
          <w:highlight w:val="none"/>
        </w:rPr>
        <w:t>乙方：</w:t>
      </w:r>
      <w:r>
        <w:rPr>
          <w:rFonts w:hint="eastAsia" w:asciiTheme="minorEastAsia" w:hAnsiTheme="minorEastAsia" w:eastAsiaTheme="minorEastAsia" w:cstheme="minorEastAsia"/>
          <w:b/>
          <w:bCs/>
          <w:color w:val="auto"/>
          <w:sz w:val="24"/>
          <w:szCs w:val="24"/>
          <w:highlight w:val="none"/>
          <w:u w:val="single"/>
        </w:rPr>
        <w:t xml:space="preserve">             </w:t>
      </w:r>
      <w:r>
        <w:rPr>
          <w:rFonts w:hint="eastAsia" w:asciiTheme="minorEastAsia" w:hAnsiTheme="minorEastAsia" w:eastAsiaTheme="minorEastAsia" w:cstheme="minorEastAsia"/>
          <w:b/>
          <w:bCs/>
          <w:color w:val="auto"/>
          <w:sz w:val="24"/>
          <w:szCs w:val="24"/>
          <w:highlight w:val="none"/>
          <w:u w:val="single"/>
          <w:lang w:val="en-US" w:eastAsia="zh-CN"/>
        </w:rPr>
        <w:t xml:space="preserve">    </w:t>
      </w:r>
      <w:r>
        <w:rPr>
          <w:rFonts w:hint="eastAsia" w:asciiTheme="minorEastAsia" w:hAnsiTheme="minorEastAsia" w:eastAsiaTheme="minorEastAsia" w:cstheme="minorEastAsia"/>
          <w:b/>
          <w:bCs/>
          <w:color w:val="auto"/>
          <w:sz w:val="24"/>
          <w:szCs w:val="24"/>
          <w:highlight w:val="none"/>
          <w:u w:val="single"/>
        </w:rPr>
        <w:t xml:space="preserve">       </w:t>
      </w:r>
      <w:bookmarkStart w:id="7" w:name="_Hlk83291813"/>
    </w:p>
    <w:p>
      <w:pPr>
        <w:pStyle w:val="15"/>
        <w:keepNext w:val="0"/>
        <w:keepLines w:val="0"/>
        <w:pageBreakBefore w:val="0"/>
        <w:widowControl w:val="0"/>
        <w:kinsoku w:val="0"/>
        <w:wordWrap/>
        <w:overflowPunct/>
        <w:autoSpaceDE w:val="0"/>
        <w:autoSpaceDN w:val="0"/>
        <w:bidi w:val="0"/>
        <w:adjustRightInd w:val="0"/>
        <w:snapToGrid w:val="0"/>
        <w:spacing w:line="360" w:lineRule="auto"/>
        <w:ind w:firstLine="560"/>
        <w:jc w:val="both"/>
        <w:textAlignment w:val="baseline"/>
        <w:rPr>
          <w:rFonts w:hint="eastAsia" w:asciiTheme="minorEastAsia" w:hAnsiTheme="minorEastAsia" w:eastAsiaTheme="minorEastAsia" w:cstheme="minorEastAsia"/>
          <w:b/>
          <w:bCs/>
          <w:color w:val="auto"/>
          <w:sz w:val="24"/>
          <w:szCs w:val="24"/>
          <w:highlight w:val="none"/>
          <w:u w:val="single"/>
        </w:rPr>
      </w:pPr>
      <w:r>
        <w:rPr>
          <w:rFonts w:hint="eastAsia" w:asciiTheme="minorEastAsia" w:hAnsiTheme="minorEastAsia" w:eastAsiaTheme="minorEastAsia" w:cstheme="minorEastAsia"/>
          <w:sz w:val="24"/>
          <w:szCs w:val="24"/>
        </w:rPr>
        <w:t>甲、乙双方根据《中华人民共和国民法典》、《中华人民共和国政府采购法》及其实施条例等有关法律法规，以及</w:t>
      </w:r>
      <w:r>
        <w:rPr>
          <w:rFonts w:hint="eastAsia" w:asciiTheme="minorEastAsia" w:hAnsiTheme="minorEastAsia" w:eastAsiaTheme="minorEastAsia" w:cstheme="minorEastAsia"/>
          <w:sz w:val="24"/>
          <w:szCs w:val="24"/>
          <w:u w:val="single"/>
          <w:lang w:val="en-US" w:eastAsia="zh-CN"/>
        </w:rPr>
        <w:t>（项目名称)   （项目编号：   ）</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lang w:val="en-US" w:eastAsia="zh-CN"/>
        </w:rPr>
        <w:t>竞争性磋商</w:t>
      </w:r>
      <w:r>
        <w:rPr>
          <w:rFonts w:hint="eastAsia" w:asciiTheme="minorEastAsia" w:hAnsiTheme="minorEastAsia" w:eastAsiaTheme="minorEastAsia" w:cstheme="minorEastAsia"/>
          <w:sz w:val="24"/>
          <w:szCs w:val="24"/>
        </w:rPr>
        <w:t>文件、投标（</w:t>
      </w:r>
      <w:r>
        <w:rPr>
          <w:rFonts w:hint="eastAsia" w:asciiTheme="minorEastAsia" w:hAnsiTheme="minorEastAsia" w:eastAsiaTheme="minorEastAsia" w:cstheme="minorEastAsia"/>
          <w:sz w:val="24"/>
          <w:szCs w:val="24"/>
          <w:lang w:eastAsia="zh-CN"/>
        </w:rPr>
        <w:t>或</w:t>
      </w:r>
      <w:r>
        <w:rPr>
          <w:rFonts w:hint="eastAsia" w:asciiTheme="minorEastAsia" w:hAnsiTheme="minorEastAsia" w:eastAsiaTheme="minorEastAsia" w:cstheme="minorEastAsia"/>
          <w:sz w:val="24"/>
          <w:szCs w:val="24"/>
        </w:rPr>
        <w:t>响应）文件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中标（成交）通知书等有关规定，为确保甲方采购项目的顺利实施，经甲、乙双方协商，特订立本合同，以资共同遵守。</w:t>
      </w:r>
      <w:bookmarkEnd w:id="7"/>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2" w:firstLineChars="200"/>
        <w:jc w:val="both"/>
        <w:textAlignment w:val="baseline"/>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一、项目</w:t>
      </w:r>
      <w:r>
        <w:rPr>
          <w:rFonts w:hint="eastAsia" w:asciiTheme="minorEastAsia" w:hAnsiTheme="minorEastAsia" w:eastAsiaTheme="minorEastAsia" w:cstheme="minorEastAsia"/>
          <w:b/>
          <w:bCs/>
          <w:sz w:val="24"/>
          <w:szCs w:val="24"/>
        </w:rPr>
        <w:t>内容</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napToGrid w:val="0"/>
          <w:color w:val="000000"/>
          <w:kern w:val="0"/>
          <w:sz w:val="24"/>
          <w:szCs w:val="24"/>
          <w:lang w:val="en-US" w:eastAsia="en-US" w:bidi="ar-SA"/>
        </w:rPr>
      </w:pPr>
      <w:r>
        <w:rPr>
          <w:rFonts w:hint="eastAsia" w:asciiTheme="minorEastAsia" w:hAnsiTheme="minorEastAsia" w:eastAsiaTheme="minorEastAsia" w:cstheme="minorEastAsia"/>
          <w:snapToGrid w:val="0"/>
          <w:color w:val="000000"/>
          <w:kern w:val="0"/>
          <w:sz w:val="24"/>
          <w:szCs w:val="24"/>
          <w:lang w:val="zh-CN" w:eastAsia="en-US" w:bidi="ar-SA"/>
        </w:rPr>
        <w:t>开展汉台区202</w:t>
      </w:r>
      <w:r>
        <w:rPr>
          <w:rFonts w:hint="eastAsia" w:asciiTheme="minorEastAsia" w:hAnsiTheme="minorEastAsia" w:eastAsiaTheme="minorEastAsia" w:cstheme="minorEastAsia"/>
          <w:snapToGrid w:val="0"/>
          <w:color w:val="000000"/>
          <w:kern w:val="0"/>
          <w:sz w:val="24"/>
          <w:szCs w:val="24"/>
          <w:lang w:val="en-US" w:eastAsia="zh-CN" w:bidi="ar-SA"/>
        </w:rPr>
        <w:t>5</w:t>
      </w:r>
      <w:r>
        <w:rPr>
          <w:rFonts w:hint="eastAsia" w:asciiTheme="minorEastAsia" w:hAnsiTheme="minorEastAsia" w:eastAsiaTheme="minorEastAsia" w:cstheme="minorEastAsia"/>
          <w:snapToGrid w:val="0"/>
          <w:color w:val="000000"/>
          <w:kern w:val="0"/>
          <w:sz w:val="24"/>
          <w:szCs w:val="24"/>
          <w:lang w:val="zh-CN" w:eastAsia="en-US" w:bidi="ar-SA"/>
        </w:rPr>
        <w:t>年日常、季度国土变更调査及耕地资源质量分区分类等工作</w:t>
      </w:r>
      <w:r>
        <w:rPr>
          <w:rFonts w:hint="eastAsia" w:asciiTheme="minorEastAsia" w:hAnsiTheme="minorEastAsia" w:eastAsiaTheme="minorEastAsia" w:cstheme="minorEastAsia"/>
          <w:snapToGrid w:val="0"/>
          <w:color w:val="000000"/>
          <w:kern w:val="0"/>
          <w:sz w:val="24"/>
          <w:szCs w:val="24"/>
          <w:lang w:val="zh-CN" w:eastAsia="zh-CN" w:bidi="ar-SA"/>
        </w:rPr>
        <w:t>，</w:t>
      </w:r>
      <w:r>
        <w:rPr>
          <w:rFonts w:hint="eastAsia" w:asciiTheme="minorEastAsia" w:hAnsiTheme="minorEastAsia" w:eastAsiaTheme="minorEastAsia" w:cstheme="minorEastAsia"/>
          <w:snapToGrid w:val="0"/>
          <w:color w:val="000000"/>
          <w:kern w:val="0"/>
          <w:sz w:val="24"/>
          <w:szCs w:val="24"/>
          <w:lang w:val="zh-CN" w:eastAsia="en-US" w:bidi="ar-SA"/>
        </w:rPr>
        <w:t>确保土地利用合理、保障资源和粮食安全</w:t>
      </w:r>
      <w:r>
        <w:rPr>
          <w:rFonts w:hint="eastAsia" w:asciiTheme="minorEastAsia" w:hAnsiTheme="minorEastAsia" w:eastAsiaTheme="minorEastAsia" w:cstheme="minorEastAsia"/>
          <w:snapToGrid w:val="0"/>
          <w:color w:val="000000"/>
          <w:kern w:val="0"/>
          <w:sz w:val="24"/>
          <w:szCs w:val="24"/>
          <w:lang w:val="zh-CN" w:eastAsia="zh-CN" w:bidi="ar-SA"/>
        </w:rPr>
        <w:t>，</w:t>
      </w:r>
      <w:r>
        <w:rPr>
          <w:rFonts w:hint="eastAsia" w:asciiTheme="minorEastAsia" w:hAnsiTheme="minorEastAsia" w:eastAsiaTheme="minorEastAsia" w:cstheme="minorEastAsia"/>
          <w:snapToGrid w:val="0"/>
          <w:color w:val="000000"/>
          <w:kern w:val="0"/>
          <w:sz w:val="24"/>
          <w:szCs w:val="24"/>
          <w:lang w:val="zh-CN" w:eastAsia="en-US" w:bidi="ar-SA"/>
        </w:rPr>
        <w:t>持续开展耕地“非粮化”“非农化”监测，保持国土调査数据现势性，</w:t>
      </w:r>
      <w:r>
        <w:rPr>
          <w:rFonts w:hint="eastAsia" w:asciiTheme="minorEastAsia" w:hAnsiTheme="minorEastAsia" w:eastAsiaTheme="minorEastAsia" w:cstheme="minorEastAsia"/>
          <w:snapToGrid w:val="0"/>
          <w:color w:val="000000"/>
          <w:kern w:val="0"/>
          <w:sz w:val="24"/>
          <w:szCs w:val="24"/>
          <w:lang w:val="en-US" w:eastAsia="zh-CN" w:bidi="ar-SA"/>
        </w:rPr>
        <w:t>按照相关技术规程和上级要求，提交年度国土变更调查数据库、文字报告、图件等成果，</w:t>
      </w:r>
      <w:r>
        <w:rPr>
          <w:rFonts w:hint="eastAsia" w:asciiTheme="minorEastAsia" w:hAnsiTheme="minorEastAsia" w:eastAsiaTheme="minorEastAsia" w:cstheme="minorEastAsia"/>
          <w:snapToGrid w:val="0"/>
          <w:color w:val="000000"/>
          <w:kern w:val="0"/>
          <w:sz w:val="24"/>
          <w:szCs w:val="24"/>
          <w:lang w:val="zh-CN" w:eastAsia="en-US" w:bidi="ar-SA"/>
        </w:rPr>
        <w:t>支撑自然资源“</w:t>
      </w:r>
      <w:r>
        <w:rPr>
          <w:rFonts w:hint="eastAsia" w:asciiTheme="minorEastAsia" w:hAnsiTheme="minorEastAsia" w:eastAsiaTheme="minorEastAsia" w:cstheme="minorEastAsia"/>
          <w:snapToGrid w:val="0"/>
          <w:color w:val="000000"/>
          <w:kern w:val="0"/>
          <w:sz w:val="24"/>
          <w:szCs w:val="24"/>
          <w:lang w:val="en-US" w:eastAsia="zh-CN" w:bidi="ar-SA"/>
        </w:rPr>
        <w:t>一</w:t>
      </w:r>
      <w:r>
        <w:rPr>
          <w:rFonts w:hint="eastAsia" w:asciiTheme="minorEastAsia" w:hAnsiTheme="minorEastAsia" w:eastAsiaTheme="minorEastAsia" w:cstheme="minorEastAsia"/>
          <w:snapToGrid w:val="0"/>
          <w:color w:val="000000"/>
          <w:kern w:val="0"/>
          <w:sz w:val="24"/>
          <w:szCs w:val="24"/>
          <w:lang w:val="zh-CN" w:eastAsia="en-US" w:bidi="ar-SA"/>
        </w:rPr>
        <w:t>张图”平台平稳运行,不断夯实“以图管地”工作基础。持续推进一査多用(变更成果直接应用于耕地保护考核，为耕地保护和利用,各类专项规划等)及日常变更工作机制,为全区土地及其他自然资源精细化管理提供数据基础和依据。</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2" w:firstLineChars="200"/>
        <w:jc w:val="both"/>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eastAsia="zh-CN"/>
        </w:rPr>
        <w:t>二、</w:t>
      </w:r>
      <w:r>
        <w:rPr>
          <w:rFonts w:hint="eastAsia" w:asciiTheme="minorEastAsia" w:hAnsiTheme="minorEastAsia" w:eastAsiaTheme="minorEastAsia" w:cstheme="minorEastAsia"/>
          <w:b/>
          <w:bCs/>
          <w:sz w:val="24"/>
          <w:szCs w:val="24"/>
        </w:rPr>
        <w:t>服务</w:t>
      </w:r>
      <w:r>
        <w:rPr>
          <w:rFonts w:hint="eastAsia" w:asciiTheme="minorEastAsia" w:hAnsiTheme="minorEastAsia" w:eastAsiaTheme="minorEastAsia" w:cstheme="minorEastAsia"/>
          <w:b/>
          <w:bCs/>
          <w:sz w:val="24"/>
          <w:szCs w:val="24"/>
          <w:lang w:val="en-US" w:eastAsia="zh-CN"/>
        </w:rPr>
        <w:t>内容</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napToGrid w:val="0"/>
          <w:color w:val="000000"/>
          <w:kern w:val="0"/>
          <w:sz w:val="24"/>
          <w:szCs w:val="24"/>
          <w:lang w:val="en-US" w:eastAsia="zh-CN" w:bidi="ar-SA"/>
        </w:rPr>
      </w:pPr>
      <w:r>
        <w:rPr>
          <w:rFonts w:hint="eastAsia" w:asciiTheme="minorEastAsia" w:hAnsiTheme="minorEastAsia" w:eastAsiaTheme="minorEastAsia" w:cstheme="minorEastAsia"/>
          <w:snapToGrid w:val="0"/>
          <w:color w:val="000000"/>
          <w:kern w:val="0"/>
          <w:sz w:val="24"/>
          <w:szCs w:val="24"/>
          <w:lang w:val="en-US" w:eastAsia="zh-CN" w:bidi="ar-SA"/>
        </w:rPr>
        <w:t>（1）收集相关数据</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napToGrid w:val="0"/>
          <w:color w:val="000000"/>
          <w:kern w:val="0"/>
          <w:sz w:val="24"/>
          <w:szCs w:val="24"/>
          <w:lang w:val="en-US" w:eastAsia="zh-CN" w:bidi="ar-SA"/>
        </w:rPr>
      </w:pPr>
      <w:r>
        <w:rPr>
          <w:rFonts w:hint="eastAsia" w:asciiTheme="minorEastAsia" w:hAnsiTheme="minorEastAsia" w:eastAsiaTheme="minorEastAsia" w:cstheme="minorEastAsia"/>
          <w:snapToGrid w:val="0"/>
          <w:color w:val="000000"/>
          <w:kern w:val="0"/>
          <w:sz w:val="24"/>
          <w:szCs w:val="24"/>
          <w:lang w:val="en-US" w:eastAsia="zh-CN" w:bidi="ar-SA"/>
        </w:rPr>
        <w:t>①本年度内监测发现的各类国土利用变化图斑（包括耕地保护、开发利用、国土空间规划、用途管制、生态修复、督察执法等相关部门日常管理工作中发现的地类变化图斑）；②各类用地管理信息矢量数据；③自主发现的其他变化图斑。</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napToGrid w:val="0"/>
          <w:color w:val="000000"/>
          <w:kern w:val="0"/>
          <w:sz w:val="24"/>
          <w:szCs w:val="24"/>
          <w:lang w:val="zh-CN" w:eastAsia="en-US" w:bidi="ar-SA"/>
        </w:rPr>
      </w:pPr>
      <w:r>
        <w:rPr>
          <w:rFonts w:hint="eastAsia" w:asciiTheme="minorEastAsia" w:hAnsiTheme="minorEastAsia" w:eastAsiaTheme="minorEastAsia" w:cstheme="minorEastAsia"/>
          <w:snapToGrid w:val="0"/>
          <w:color w:val="000000"/>
          <w:kern w:val="0"/>
          <w:sz w:val="24"/>
          <w:szCs w:val="24"/>
          <w:lang w:val="en-US" w:eastAsia="zh-CN" w:bidi="ar-SA"/>
        </w:rPr>
        <w:t xml:space="preserve">（2）按照年度变更调查工作有关要求，开展国土利用现状更新调查以及权属界线上图和补充调查工作。 </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napToGrid w:val="0"/>
          <w:color w:val="000000"/>
          <w:kern w:val="0"/>
          <w:sz w:val="24"/>
          <w:szCs w:val="24"/>
          <w:lang w:val="zh-CN" w:eastAsia="en-US" w:bidi="ar-SA"/>
        </w:rPr>
      </w:pPr>
      <w:r>
        <w:rPr>
          <w:rFonts w:hint="eastAsia" w:asciiTheme="minorEastAsia" w:hAnsiTheme="minorEastAsia" w:eastAsiaTheme="minorEastAsia" w:cstheme="minorEastAsia"/>
          <w:snapToGrid w:val="0"/>
          <w:color w:val="000000"/>
          <w:kern w:val="0"/>
          <w:sz w:val="24"/>
          <w:szCs w:val="24"/>
          <w:lang w:val="en-US" w:eastAsia="zh-CN" w:bidi="ar-SA"/>
        </w:rPr>
        <w:t>（3）按照国土调查数据库更新有关标准和要求，更新基础数据库，提取年度变更调查增量包。</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napToGrid w:val="0"/>
          <w:color w:val="000000"/>
          <w:kern w:val="0"/>
          <w:sz w:val="24"/>
          <w:szCs w:val="24"/>
          <w:lang w:val="zh-CN" w:eastAsia="en-US" w:bidi="ar-SA"/>
        </w:rPr>
      </w:pPr>
      <w:r>
        <w:rPr>
          <w:rFonts w:hint="eastAsia" w:asciiTheme="minorEastAsia" w:hAnsiTheme="minorEastAsia" w:eastAsiaTheme="minorEastAsia" w:cstheme="minorEastAsia"/>
          <w:snapToGrid w:val="0"/>
          <w:color w:val="000000"/>
          <w:kern w:val="0"/>
          <w:sz w:val="24"/>
          <w:szCs w:val="24"/>
          <w:lang w:val="en-US" w:eastAsia="zh-CN" w:bidi="ar-SA"/>
        </w:rPr>
        <w:t xml:space="preserve">（4）按照部、省要求，配合完成“互联网＋”在线核查以及外业实地核查工作，并对年度变更调查成果进行整改完善。 </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napToGrid w:val="0"/>
          <w:color w:val="000000"/>
          <w:kern w:val="0"/>
          <w:sz w:val="24"/>
          <w:szCs w:val="24"/>
          <w:lang w:val="en-US" w:eastAsia="zh-CN" w:bidi="ar-SA"/>
        </w:rPr>
      </w:pPr>
      <w:r>
        <w:rPr>
          <w:rFonts w:hint="eastAsia" w:asciiTheme="minorEastAsia" w:hAnsiTheme="minorEastAsia" w:eastAsiaTheme="minorEastAsia" w:cstheme="minorEastAsia"/>
          <w:snapToGrid w:val="0"/>
          <w:color w:val="000000"/>
          <w:kern w:val="0"/>
          <w:sz w:val="24"/>
          <w:szCs w:val="24"/>
          <w:lang w:val="en-US" w:eastAsia="zh-CN" w:bidi="ar-SA"/>
        </w:rPr>
        <w:t xml:space="preserve">（5）数据汇总分析及共享应用。开展本级国土调查数据库更新汇总分析工作。 </w:t>
      </w:r>
    </w:p>
    <w:p>
      <w:pPr>
        <w:keepNext w:val="0"/>
        <w:keepLines w:val="0"/>
        <w:pageBreakBefore w:val="0"/>
        <w:widowControl w:val="0"/>
        <w:wordWrap/>
        <w:overflowPunct/>
        <w:bidi w:val="0"/>
        <w:spacing w:line="360" w:lineRule="auto"/>
        <w:ind w:firstLine="482" w:firstLineChars="200"/>
        <w:jc w:val="both"/>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lang w:eastAsia="zh-CN"/>
        </w:rPr>
        <w:t>三、</w:t>
      </w:r>
      <w:r>
        <w:rPr>
          <w:rFonts w:hint="eastAsia" w:asciiTheme="minorEastAsia" w:hAnsiTheme="minorEastAsia" w:eastAsiaTheme="minorEastAsia" w:cstheme="minorEastAsia"/>
          <w:b/>
          <w:bCs/>
          <w:color w:val="auto"/>
          <w:sz w:val="24"/>
          <w:szCs w:val="24"/>
          <w:highlight w:val="none"/>
        </w:rPr>
        <w:t>合同价款</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u w:val="none"/>
          <w:vertAlign w:val="baseline"/>
          <w:lang w:val="en-US" w:eastAsia="zh-CN"/>
        </w:rPr>
      </w:pPr>
      <w:r>
        <w:rPr>
          <w:rFonts w:hint="eastAsia" w:asciiTheme="minorEastAsia" w:hAnsiTheme="minorEastAsia" w:eastAsiaTheme="minorEastAsia" w:cstheme="minorEastAsia"/>
          <w:color w:val="auto"/>
          <w:sz w:val="24"/>
          <w:szCs w:val="24"/>
          <w:highlight w:val="none"/>
          <w:lang w:val="en-US" w:eastAsia="zh-CN"/>
        </w:rPr>
        <w:t>1、合</w:t>
      </w:r>
      <w:r>
        <w:rPr>
          <w:rFonts w:hint="eastAsia" w:asciiTheme="minorEastAsia" w:hAnsiTheme="minorEastAsia" w:eastAsiaTheme="minorEastAsia" w:cstheme="minorEastAsia"/>
          <w:color w:val="auto"/>
          <w:sz w:val="24"/>
          <w:szCs w:val="24"/>
          <w:u w:val="none"/>
          <w:vertAlign w:val="baseline"/>
          <w:lang w:val="en-US" w:eastAsia="zh-CN"/>
        </w:rPr>
        <w:t>同总价款为人民币（大写）</w:t>
      </w:r>
      <w:r>
        <w:rPr>
          <w:rFonts w:hint="eastAsia" w:asciiTheme="minorEastAsia" w:hAnsiTheme="minorEastAsia" w:eastAsiaTheme="minorEastAsia" w:cstheme="minorEastAsia"/>
          <w:color w:val="auto"/>
          <w:sz w:val="24"/>
          <w:szCs w:val="24"/>
          <w:u w:val="single"/>
          <w:vertAlign w:val="baseline"/>
          <w:lang w:val="en-US" w:eastAsia="zh-CN"/>
        </w:rPr>
        <w:t xml:space="preserve">           （¥        元）</w:t>
      </w:r>
      <w:r>
        <w:rPr>
          <w:rFonts w:hint="eastAsia" w:asciiTheme="minorEastAsia" w:hAnsiTheme="minorEastAsia" w:eastAsiaTheme="minorEastAsia" w:cstheme="minorEastAsia"/>
          <w:color w:val="auto"/>
          <w:sz w:val="24"/>
          <w:szCs w:val="24"/>
          <w:u w:val="none"/>
          <w:vertAlign w:val="baseline"/>
          <w:lang w:val="en-US" w:eastAsia="zh-CN"/>
        </w:rPr>
        <w:t>；</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bCs/>
          <w:color w:val="auto"/>
          <w:kern w:val="2"/>
          <w:sz w:val="24"/>
          <w:szCs w:val="24"/>
          <w:lang w:val="en-US" w:eastAsia="zh-CN" w:bidi="ar-SA"/>
        </w:rPr>
        <w:t>2、合同总价包含：</w:t>
      </w:r>
      <w:r>
        <w:rPr>
          <w:rFonts w:hint="eastAsia" w:asciiTheme="minorEastAsia" w:hAnsiTheme="minorEastAsia" w:eastAsiaTheme="minorEastAsia" w:cstheme="minorEastAsia"/>
          <w:color w:val="auto"/>
          <w:sz w:val="24"/>
          <w:szCs w:val="24"/>
          <w:highlight w:val="none"/>
          <w:u w:val="single"/>
          <w:lang w:val="en-US" w:eastAsia="zh-CN"/>
        </w:rPr>
        <w:t>供应商为完成本项目所需的直接费、间接费、利润、税金及其它相关的一切费用。包括但不限于：人工费、设备费、管理费、验收费、利润和税金等全部费用。在提供服务的过程中的任何遗漏，均由成交供应商免费提供，采购人将不再支付任何费用。</w:t>
      </w:r>
    </w:p>
    <w:p>
      <w:pPr>
        <w:pStyle w:val="8"/>
        <w:keepLines w:val="0"/>
        <w:pageBreakBefore w:val="0"/>
        <w:widowControl w:val="0"/>
        <w:wordWrap/>
        <w:overflowPunct/>
        <w:bidi w:val="0"/>
        <w:spacing w:after="0" w:afterLines="0" w:line="360" w:lineRule="auto"/>
        <w:ind w:firstLine="480" w:firstLineChars="2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Cs/>
          <w:snapToGrid w:val="0"/>
          <w:color w:val="auto"/>
          <w:kern w:val="2"/>
          <w:sz w:val="24"/>
          <w:szCs w:val="24"/>
          <w:lang w:val="en-US" w:eastAsia="zh-CN" w:bidi="ar-SA"/>
        </w:rPr>
        <w:t>3、合同总价一次性包死，不受市场价格变化因素的影响，并作为结算的唯一依据。</w:t>
      </w:r>
    </w:p>
    <w:p>
      <w:pPr>
        <w:pStyle w:val="16"/>
        <w:keepNext/>
        <w:keepLines w:val="0"/>
        <w:pageBreakBefore w:val="0"/>
        <w:widowControl w:val="0"/>
        <w:wordWrap/>
        <w:overflowPunct/>
        <w:bidi w:val="0"/>
        <w:adjustRightInd w:val="0"/>
        <w:snapToGrid w:val="0"/>
        <w:spacing w:line="360" w:lineRule="auto"/>
        <w:ind w:firstLine="560"/>
        <w:jc w:val="both"/>
        <w:outlineLvl w:val="1"/>
        <w:rPr>
          <w:rFonts w:hint="eastAsia" w:asciiTheme="minorEastAsia" w:hAnsiTheme="minorEastAsia" w:eastAsiaTheme="minorEastAsia" w:cstheme="minorEastAsia"/>
          <w:b/>
          <w:bCs w:val="0"/>
          <w:sz w:val="24"/>
          <w:szCs w:val="24"/>
        </w:rPr>
      </w:pPr>
      <w:r>
        <w:rPr>
          <w:rFonts w:hint="eastAsia" w:asciiTheme="minorEastAsia" w:hAnsiTheme="minorEastAsia" w:eastAsiaTheme="minorEastAsia" w:cstheme="minorEastAsia"/>
          <w:b/>
          <w:bCs w:val="0"/>
          <w:sz w:val="24"/>
          <w:szCs w:val="24"/>
          <w:lang w:val="en-US" w:eastAsia="zh-CN"/>
        </w:rPr>
        <w:t>四</w:t>
      </w:r>
      <w:r>
        <w:rPr>
          <w:rFonts w:hint="eastAsia" w:asciiTheme="minorEastAsia" w:hAnsiTheme="minorEastAsia" w:eastAsiaTheme="minorEastAsia" w:cstheme="minorEastAsia"/>
          <w:b/>
          <w:bCs w:val="0"/>
          <w:sz w:val="24"/>
          <w:szCs w:val="24"/>
        </w:rPr>
        <w:t>、款项结算</w:t>
      </w:r>
    </w:p>
    <w:p>
      <w:pPr>
        <w:pStyle w:val="15"/>
        <w:keepLines w:val="0"/>
        <w:pageBreakBefore w:val="0"/>
        <w:widowControl w:val="0"/>
        <w:wordWrap/>
        <w:overflowPunct/>
        <w:bidi w:val="0"/>
        <w:adjustRightInd w:val="0"/>
        <w:snapToGrid w:val="0"/>
        <w:spacing w:line="360" w:lineRule="auto"/>
        <w:ind w:firstLine="56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（一）合同签订生效</w:t>
      </w:r>
      <w:r>
        <w:rPr>
          <w:rFonts w:hint="eastAsia" w:ascii="宋体" w:hAnsi="宋体" w:eastAsia="宋体" w:cs="宋体"/>
          <w:color w:val="auto"/>
          <w:kern w:val="0"/>
          <w:sz w:val="24"/>
          <w:szCs w:val="24"/>
          <w:highlight w:val="none"/>
          <w:lang w:val="en-US" w:eastAsia="zh-CN" w:bidi="ar-SA"/>
        </w:rPr>
        <w:t>7</w:t>
      </w:r>
      <w:r>
        <w:rPr>
          <w:rFonts w:hint="eastAsia" w:asciiTheme="minorEastAsia" w:hAnsiTheme="minorEastAsia" w:eastAsiaTheme="minorEastAsia" w:cstheme="minorEastAsia"/>
          <w:sz w:val="24"/>
          <w:szCs w:val="24"/>
        </w:rPr>
        <w:t>个工作日</w:t>
      </w:r>
      <w:r>
        <w:rPr>
          <w:rFonts w:hint="eastAsia" w:ascii="宋体" w:hAnsi="宋体" w:eastAsia="宋体" w:cs="宋体"/>
          <w:color w:val="auto"/>
          <w:kern w:val="0"/>
          <w:sz w:val="24"/>
          <w:szCs w:val="24"/>
          <w:highlight w:val="none"/>
          <w:lang w:val="en-US" w:eastAsia="zh-CN" w:bidi="ar-SA"/>
        </w:rPr>
        <w:t>内</w:t>
      </w:r>
      <w:r>
        <w:rPr>
          <w:rFonts w:hint="eastAsia" w:asciiTheme="minorEastAsia" w:hAnsiTheme="minorEastAsia" w:eastAsiaTheme="minorEastAsia" w:cstheme="minorEastAsia"/>
          <w:sz w:val="24"/>
          <w:szCs w:val="24"/>
          <w:lang w:eastAsia="zh-CN"/>
        </w:rPr>
        <w:t>，</w:t>
      </w:r>
      <w:r>
        <w:rPr>
          <w:rFonts w:hint="eastAsia" w:ascii="宋体" w:hAnsi="宋体" w:eastAsia="宋体" w:cs="宋体"/>
          <w:color w:val="auto"/>
          <w:kern w:val="0"/>
          <w:sz w:val="24"/>
          <w:szCs w:val="24"/>
          <w:highlight w:val="none"/>
          <w:lang w:val="en-US" w:eastAsia="zh-CN" w:bidi="ar-SA"/>
        </w:rPr>
        <w:t>由乙方提出申请</w:t>
      </w:r>
      <w:r>
        <w:rPr>
          <w:rFonts w:hint="eastAsia" w:asciiTheme="minorEastAsia" w:hAnsiTheme="minorEastAsia" w:eastAsiaTheme="minorEastAsia" w:cstheme="minorEastAsia"/>
          <w:sz w:val="24"/>
          <w:szCs w:val="24"/>
        </w:rPr>
        <w:t>，甲方向乙方支付合同总价款的</w:t>
      </w:r>
      <w:r>
        <w:rPr>
          <w:rFonts w:hint="eastAsia" w:asciiTheme="minorEastAsia" w:hAnsiTheme="minorEastAsia" w:eastAsiaTheme="minorEastAsia" w:cstheme="minorEastAsia"/>
          <w:sz w:val="24"/>
          <w:szCs w:val="24"/>
          <w:lang w:val="en-US" w:eastAsia="zh-CN"/>
        </w:rPr>
        <w:t>50</w:t>
      </w:r>
      <w:r>
        <w:rPr>
          <w:rFonts w:hint="eastAsia" w:asciiTheme="minorEastAsia" w:hAnsiTheme="minorEastAsia" w:eastAsiaTheme="minorEastAsia" w:cstheme="minorEastAsia"/>
          <w:sz w:val="24"/>
          <w:szCs w:val="24"/>
        </w:rPr>
        <w:t>％，计人民币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元整（¥</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w:t>
      </w:r>
    </w:p>
    <w:p>
      <w:pPr>
        <w:pStyle w:val="15"/>
        <w:keepLines w:val="0"/>
        <w:pageBreakBefore w:val="0"/>
        <w:widowControl w:val="0"/>
        <w:wordWrap/>
        <w:overflowPunct/>
        <w:bidi w:val="0"/>
        <w:adjustRightInd w:val="0"/>
        <w:snapToGrid w:val="0"/>
        <w:spacing w:line="360" w:lineRule="auto"/>
        <w:ind w:firstLine="56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（二）项目</w:t>
      </w:r>
      <w:r>
        <w:rPr>
          <w:rFonts w:hint="eastAsia" w:asciiTheme="minorEastAsia" w:hAnsiTheme="minorEastAsia" w:eastAsiaTheme="minorEastAsia" w:cstheme="minorEastAsia"/>
          <w:spacing w:val="-4"/>
          <w:sz w:val="24"/>
          <w:szCs w:val="24"/>
        </w:rPr>
        <w:t>移交全部成果</w:t>
      </w:r>
      <w:r>
        <w:rPr>
          <w:rFonts w:hint="eastAsia" w:ascii="宋体" w:hAnsi="宋体" w:eastAsia="宋体" w:cs="宋体"/>
          <w:color w:val="auto"/>
          <w:kern w:val="0"/>
          <w:sz w:val="24"/>
          <w:szCs w:val="24"/>
          <w:highlight w:val="none"/>
          <w:lang w:val="en-US" w:eastAsia="zh-CN" w:bidi="ar-SA"/>
        </w:rPr>
        <w:t>7</w:t>
      </w:r>
      <w:r>
        <w:rPr>
          <w:rFonts w:hint="eastAsia" w:asciiTheme="minorEastAsia" w:hAnsiTheme="minorEastAsia" w:eastAsiaTheme="minorEastAsia" w:cstheme="minorEastAsia"/>
          <w:sz w:val="24"/>
          <w:szCs w:val="24"/>
        </w:rPr>
        <w:t>个工作日</w:t>
      </w:r>
      <w:r>
        <w:rPr>
          <w:rFonts w:hint="eastAsia" w:ascii="宋体" w:hAnsi="宋体" w:eastAsia="宋体" w:cs="宋体"/>
          <w:color w:val="auto"/>
          <w:kern w:val="0"/>
          <w:sz w:val="24"/>
          <w:szCs w:val="24"/>
          <w:highlight w:val="none"/>
          <w:lang w:val="en-US" w:eastAsia="zh-CN" w:bidi="ar-SA"/>
        </w:rPr>
        <w:t>内，由乙方提出申请</w:t>
      </w:r>
      <w:r>
        <w:rPr>
          <w:rFonts w:hint="eastAsia" w:asciiTheme="minorEastAsia" w:hAnsiTheme="minorEastAsia" w:eastAsiaTheme="minorEastAsia" w:cstheme="minorEastAsia"/>
          <w:sz w:val="24"/>
          <w:szCs w:val="24"/>
        </w:rPr>
        <w:t>，甲方向乙方支付合同总价款的</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rPr>
        <w:t>％，计人民币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w:t>
      </w:r>
    </w:p>
    <w:p>
      <w:pPr>
        <w:pStyle w:val="15"/>
        <w:keepLines w:val="0"/>
        <w:pageBreakBefore w:val="0"/>
        <w:widowControl w:val="0"/>
        <w:wordWrap/>
        <w:overflowPunct/>
        <w:bidi w:val="0"/>
        <w:adjustRightInd w:val="0"/>
        <w:snapToGrid w:val="0"/>
        <w:spacing w:line="360" w:lineRule="auto"/>
        <w:ind w:firstLine="56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pacing w:val="-4"/>
          <w:sz w:val="24"/>
          <w:szCs w:val="24"/>
        </w:rPr>
        <w:t>项目通过</w:t>
      </w:r>
      <w:r>
        <w:rPr>
          <w:rFonts w:hint="eastAsia" w:ascii="宋体" w:hAnsi="宋体" w:eastAsia="宋体" w:cs="宋体"/>
          <w:color w:val="auto"/>
          <w:kern w:val="0"/>
          <w:sz w:val="24"/>
          <w:szCs w:val="24"/>
          <w:highlight w:val="none"/>
          <w:lang w:val="en-US" w:eastAsia="zh-CN" w:bidi="ar-SA"/>
        </w:rPr>
        <w:t>审查合格后，由乙方提出申请，</w:t>
      </w:r>
      <w:r>
        <w:rPr>
          <w:rFonts w:hint="eastAsia" w:asciiTheme="minorEastAsia" w:hAnsiTheme="minorEastAsia" w:eastAsiaTheme="minorEastAsia" w:cstheme="minorEastAsia"/>
          <w:sz w:val="24"/>
          <w:szCs w:val="24"/>
        </w:rPr>
        <w:t>甲方向乙方支付合同总价款的20％，计人民币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w:t>
      </w:r>
      <w:r>
        <w:rPr>
          <w:rFonts w:hint="eastAsia" w:asciiTheme="minorEastAsia" w:hAnsiTheme="minorEastAsia" w:eastAsiaTheme="minorEastAsia" w:cstheme="minorEastAsia"/>
          <w:spacing w:val="-4"/>
          <w:sz w:val="24"/>
          <w:szCs w:val="24"/>
        </w:rPr>
        <w:t>。</w:t>
      </w:r>
    </w:p>
    <w:p>
      <w:pPr>
        <w:pStyle w:val="15"/>
        <w:keepLines w:val="0"/>
        <w:pageBreakBefore w:val="0"/>
        <w:widowControl w:val="0"/>
        <w:wordWrap/>
        <w:overflowPunct/>
        <w:bidi w:val="0"/>
        <w:adjustRightInd w:val="0"/>
        <w:snapToGrid w:val="0"/>
        <w:spacing w:line="360" w:lineRule="auto"/>
        <w:ind w:firstLine="56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四</w:t>
      </w:r>
      <w:r>
        <w:rPr>
          <w:rFonts w:hint="eastAsia" w:asciiTheme="minorEastAsia" w:hAnsiTheme="minorEastAsia" w:eastAsiaTheme="minorEastAsia" w:cstheme="minorEastAsia"/>
          <w:sz w:val="24"/>
          <w:szCs w:val="24"/>
        </w:rPr>
        <w:t>）支付方式：银行转账。乙方要如实开具国家规定的增值税普通发票，不得变更开票内容，乙方开具发票出现税务争议时，乙方需承担税款、滞纳金、罚款等赔偿责任以及其他相关责任。</w:t>
      </w:r>
    </w:p>
    <w:p>
      <w:pPr>
        <w:pStyle w:val="15"/>
        <w:keepLines w:val="0"/>
        <w:pageBreakBefore w:val="0"/>
        <w:widowControl w:val="0"/>
        <w:wordWrap/>
        <w:overflowPunct/>
        <w:bidi w:val="0"/>
        <w:adjustRightInd w:val="0"/>
        <w:snapToGrid w:val="0"/>
        <w:spacing w:line="360" w:lineRule="auto"/>
        <w:ind w:firstLine="56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五</w:t>
      </w:r>
      <w:r>
        <w:rPr>
          <w:rFonts w:hint="eastAsia" w:asciiTheme="minorEastAsia" w:hAnsiTheme="minorEastAsia" w:eastAsiaTheme="minorEastAsia" w:cstheme="minorEastAsia"/>
          <w:sz w:val="24"/>
          <w:szCs w:val="24"/>
        </w:rPr>
        <w:t>）结算方式：甲方结算，在付款前，乙方必须开具发票给甲方。若乙方未按甲方要求提供发票，甲方有权拒绝付款且不承担逾期付款的违约责任。</w:t>
      </w:r>
    </w:p>
    <w:p>
      <w:pPr>
        <w:pStyle w:val="15"/>
        <w:keepLines w:val="0"/>
        <w:pageBreakBefore w:val="0"/>
        <w:widowControl w:val="0"/>
        <w:wordWrap/>
        <w:overflowPunct/>
        <w:bidi w:val="0"/>
        <w:adjustRightInd w:val="0"/>
        <w:snapToGrid w:val="0"/>
        <w:spacing w:line="360" w:lineRule="auto"/>
        <w:ind w:firstLine="560"/>
        <w:jc w:val="both"/>
        <w:rPr>
          <w:rFonts w:hint="eastAsia" w:ascii="仿宋_GB2312" w:hAnsi="Times New Roman" w:eastAsia="仿宋_GB2312" w:cs="Times New Roman"/>
          <w:sz w:val="28"/>
          <w:szCs w:val="28"/>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六</w:t>
      </w:r>
      <w:r>
        <w:rPr>
          <w:rFonts w:hint="eastAsia" w:asciiTheme="minorEastAsia" w:hAnsiTheme="minorEastAsia" w:eastAsiaTheme="minorEastAsia" w:cstheme="minorEastAsia"/>
          <w:sz w:val="24"/>
          <w:szCs w:val="24"/>
        </w:rPr>
        <w:t>）若因财政经费未到账等原因导致甲方不能按期付款的，甲方不承担违约责任</w:t>
      </w:r>
      <w:r>
        <w:rPr>
          <w:rFonts w:hint="eastAsia" w:ascii="仿宋_GB2312" w:hAnsi="Times New Roman" w:eastAsia="仿宋_GB2312" w:cs="Times New Roman"/>
          <w:sz w:val="28"/>
          <w:szCs w:val="28"/>
        </w:rPr>
        <w:t>。</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2" w:firstLineChars="200"/>
        <w:jc w:val="both"/>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lang w:eastAsia="zh-CN"/>
        </w:rPr>
        <w:t>五、</w:t>
      </w:r>
      <w:r>
        <w:rPr>
          <w:rFonts w:hint="eastAsia" w:asciiTheme="minorEastAsia" w:hAnsiTheme="minorEastAsia" w:eastAsiaTheme="minorEastAsia" w:cstheme="minorEastAsia"/>
          <w:b/>
          <w:bCs/>
          <w:sz w:val="24"/>
          <w:szCs w:val="24"/>
          <w:highlight w:val="none"/>
        </w:rPr>
        <w:t>甲、乙双方的权利</w:t>
      </w:r>
      <w:r>
        <w:rPr>
          <w:rFonts w:hint="eastAsia" w:asciiTheme="minorEastAsia" w:hAnsiTheme="minorEastAsia" w:eastAsiaTheme="minorEastAsia" w:cstheme="minorEastAsia"/>
          <w:b/>
          <w:bCs/>
          <w:sz w:val="24"/>
          <w:szCs w:val="24"/>
          <w:highlight w:val="none"/>
          <w:lang w:val="en-US" w:eastAsia="zh-CN"/>
        </w:rPr>
        <w:t>和</w:t>
      </w:r>
      <w:r>
        <w:rPr>
          <w:rFonts w:hint="eastAsia" w:asciiTheme="minorEastAsia" w:hAnsiTheme="minorEastAsia" w:eastAsiaTheme="minorEastAsia" w:cstheme="minorEastAsia"/>
          <w:b/>
          <w:bCs/>
          <w:sz w:val="24"/>
          <w:szCs w:val="24"/>
          <w:highlight w:val="none"/>
        </w:rPr>
        <w:t>义务</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1、甲方的权利</w:t>
      </w:r>
      <w:r>
        <w:rPr>
          <w:rFonts w:hint="eastAsia" w:asciiTheme="minorEastAsia" w:hAnsiTheme="minorEastAsia" w:eastAsiaTheme="minorEastAsia" w:cstheme="minorEastAsia"/>
          <w:color w:val="auto"/>
          <w:sz w:val="24"/>
          <w:szCs w:val="24"/>
          <w:highlight w:val="none"/>
        </w:rPr>
        <w:t>和</w:t>
      </w:r>
      <w:r>
        <w:rPr>
          <w:rFonts w:hint="eastAsia" w:asciiTheme="minorEastAsia" w:hAnsiTheme="minorEastAsia" w:eastAsiaTheme="minorEastAsia" w:cstheme="minorEastAsia"/>
          <w:sz w:val="24"/>
          <w:szCs w:val="24"/>
          <w:highlight w:val="none"/>
        </w:rPr>
        <w:t>义务：</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（1）甲方应及时履行本合同中约定的付款义务。</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（2）甲方应向乙方提供项目所需要的相关资料，并对其完整性、准确性负责，甲方不得要求乙方违反国家有关标准编制项目方案。</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（3）甲方有权要求乙方提供的服务所涉及的第三方权利进行免责。</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（4）甲方要求乙方提供所需要的技术服务，需符合国家相关部门有关技术质量的规定标准。</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（5）甲方有权向乙方提出合理化建议。</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2、乙方的权利</w:t>
      </w:r>
      <w:r>
        <w:rPr>
          <w:rFonts w:hint="eastAsia" w:asciiTheme="minorEastAsia" w:hAnsiTheme="minorEastAsia" w:eastAsiaTheme="minorEastAsia" w:cstheme="minorEastAsia"/>
          <w:color w:val="auto"/>
          <w:sz w:val="24"/>
          <w:szCs w:val="24"/>
          <w:highlight w:val="none"/>
        </w:rPr>
        <w:t>和</w:t>
      </w:r>
      <w:r>
        <w:rPr>
          <w:rFonts w:hint="eastAsia" w:asciiTheme="minorEastAsia" w:hAnsiTheme="minorEastAsia" w:eastAsiaTheme="minorEastAsia" w:cstheme="minorEastAsia"/>
          <w:sz w:val="24"/>
          <w:szCs w:val="24"/>
        </w:rPr>
        <w:t>义务</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）乙方应按照</w:t>
      </w:r>
      <w:r>
        <w:rPr>
          <w:rFonts w:hint="eastAsia" w:asciiTheme="minorEastAsia" w:hAnsiTheme="minorEastAsia" w:eastAsiaTheme="minorEastAsia" w:cstheme="minorEastAsia"/>
          <w:sz w:val="24"/>
          <w:szCs w:val="24"/>
          <w:lang w:val="en-US" w:eastAsia="zh-CN"/>
        </w:rPr>
        <w:t>合同</w:t>
      </w:r>
      <w:r>
        <w:rPr>
          <w:rFonts w:hint="eastAsia" w:asciiTheme="minorEastAsia" w:hAnsiTheme="minorEastAsia" w:eastAsiaTheme="minorEastAsia" w:cstheme="minorEastAsia"/>
          <w:sz w:val="24"/>
          <w:szCs w:val="24"/>
          <w:lang w:eastAsia="zh-CN"/>
        </w:rPr>
        <w:t>约定及时制定和实施工作计划、工作</w:t>
      </w:r>
      <w:r>
        <w:rPr>
          <w:rFonts w:hint="eastAsia" w:asciiTheme="minorEastAsia" w:hAnsiTheme="minorEastAsia" w:eastAsiaTheme="minorEastAsia" w:cstheme="minorEastAsia"/>
          <w:sz w:val="24"/>
          <w:szCs w:val="24"/>
          <w:lang w:val="en-US" w:eastAsia="zh-CN"/>
        </w:rPr>
        <w:t>实施</w:t>
      </w:r>
      <w:r>
        <w:rPr>
          <w:rFonts w:hint="eastAsia" w:asciiTheme="minorEastAsia" w:hAnsiTheme="minorEastAsia" w:eastAsiaTheme="minorEastAsia" w:cstheme="minorEastAsia"/>
          <w:sz w:val="24"/>
          <w:szCs w:val="24"/>
          <w:lang w:eastAsia="zh-CN"/>
        </w:rPr>
        <w:t>方案。</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color w:val="auto"/>
          <w:sz w:val="24"/>
          <w:szCs w:val="24"/>
          <w:highlight w:val="none"/>
        </w:rPr>
        <w:t>乙方应根据本合同的约定，向甲方提供本合同约定的及乙方</w:t>
      </w:r>
      <w:r>
        <w:rPr>
          <w:rFonts w:hint="eastAsia" w:asciiTheme="minorEastAsia" w:hAnsiTheme="minorEastAsia" w:eastAsiaTheme="minorEastAsia" w:cstheme="minorEastAsia"/>
          <w:color w:val="auto"/>
          <w:sz w:val="24"/>
          <w:szCs w:val="24"/>
          <w:highlight w:val="none"/>
          <w:lang w:eastAsia="zh-CN"/>
        </w:rPr>
        <w:t>响应文件</w:t>
      </w:r>
      <w:r>
        <w:rPr>
          <w:rFonts w:hint="eastAsia" w:asciiTheme="minorEastAsia" w:hAnsiTheme="minorEastAsia" w:eastAsiaTheme="minorEastAsia" w:cstheme="minorEastAsia"/>
          <w:color w:val="auto"/>
          <w:sz w:val="24"/>
          <w:szCs w:val="24"/>
          <w:highlight w:val="none"/>
        </w:rPr>
        <w:t>中承诺的服务内容，服务标准详见</w:t>
      </w:r>
      <w:r>
        <w:rPr>
          <w:rFonts w:hint="eastAsia" w:asciiTheme="minorEastAsia" w:hAnsiTheme="minorEastAsia" w:eastAsiaTheme="minorEastAsia" w:cstheme="minorEastAsia"/>
          <w:color w:val="auto"/>
          <w:sz w:val="24"/>
          <w:szCs w:val="24"/>
          <w:highlight w:val="none"/>
          <w:lang w:val="en-US" w:eastAsia="zh-CN"/>
        </w:rPr>
        <w:t>竞争性磋商</w:t>
      </w:r>
      <w:r>
        <w:rPr>
          <w:rFonts w:hint="eastAsia" w:asciiTheme="minorEastAsia" w:hAnsiTheme="minorEastAsia" w:eastAsiaTheme="minorEastAsia" w:cstheme="minorEastAsia"/>
          <w:color w:val="auto"/>
          <w:sz w:val="24"/>
          <w:szCs w:val="24"/>
          <w:highlight w:val="none"/>
          <w:lang w:eastAsia="zh-CN"/>
        </w:rPr>
        <w:t>文件</w:t>
      </w:r>
      <w:r>
        <w:rPr>
          <w:rFonts w:hint="eastAsia" w:asciiTheme="minorEastAsia" w:hAnsiTheme="minorEastAsia" w:eastAsiaTheme="minorEastAsia" w:cstheme="minorEastAsia"/>
          <w:color w:val="auto"/>
          <w:sz w:val="24"/>
          <w:szCs w:val="24"/>
          <w:highlight w:val="none"/>
        </w:rPr>
        <w:t>。乙方应在服务期开始时立即履行服务义务。</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）乙方不得擅自将本合同项下的委托事项转委托。</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）在未征得甲方事先书面批准的情况下，乙方不得泄露与本合同或在合同履行期间得知的与甲方有关的任何知识产权成果和保密信息，并对相关资料履行保密义务。</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乙方应保证所提供服务在使用时不会侵犯任何第三方的专利权、商标权、设计权或其他权利。</w:t>
      </w:r>
    </w:p>
    <w:p>
      <w:pPr>
        <w:keepNext w:val="0"/>
        <w:keepLines w:val="0"/>
        <w:pageBreakBefore w:val="0"/>
        <w:widowControl w:val="0"/>
        <w:kinsoku w:val="0"/>
        <w:wordWrap/>
        <w:overflowPunct/>
        <w:topLinePunct w:val="0"/>
        <w:autoSpaceDE w:val="0"/>
        <w:autoSpaceDN w:val="0"/>
        <w:bidi w:val="0"/>
        <w:adjustRightInd w:val="0"/>
        <w:snapToGrid w:val="0"/>
        <w:spacing w:line="360" w:lineRule="auto"/>
        <w:ind w:firstLine="240" w:firstLineChars="100"/>
        <w:jc w:val="both"/>
        <w:textAlignment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（6）乙方必须严格按照甲方要求、相关部门要求进行方案编制，且符合国家现行的有关标准及规范，并按合同规定的进度要求提交质量合格的成果文件，并对其负责。</w:t>
      </w:r>
    </w:p>
    <w:p>
      <w:pPr>
        <w:keepNext w:val="0"/>
        <w:keepLines w:val="0"/>
        <w:pageBreakBefore w:val="0"/>
        <w:widowControl w:val="0"/>
        <w:kinsoku w:val="0"/>
        <w:wordWrap/>
        <w:overflowPunct/>
        <w:topLinePunct w:val="0"/>
        <w:autoSpaceDE w:val="0"/>
        <w:autoSpaceDN w:val="0"/>
        <w:bidi w:val="0"/>
        <w:adjustRightInd w:val="0"/>
        <w:snapToGrid w:val="0"/>
        <w:spacing w:line="360" w:lineRule="auto"/>
        <w:ind w:firstLine="240" w:firstLineChars="100"/>
        <w:jc w:val="both"/>
        <w:textAlignment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rPr>
        <w:t>乙方保证在服务</w:t>
      </w:r>
      <w:r>
        <w:rPr>
          <w:rFonts w:hint="eastAsia" w:asciiTheme="minorEastAsia" w:hAnsiTheme="minorEastAsia" w:eastAsiaTheme="minorEastAsia" w:cstheme="minorEastAsia"/>
          <w:color w:val="auto"/>
          <w:sz w:val="24"/>
          <w:szCs w:val="24"/>
          <w:highlight w:val="none"/>
          <w:lang w:val="en-US" w:eastAsia="zh-CN"/>
        </w:rPr>
        <w:t>过程</w:t>
      </w:r>
      <w:r>
        <w:rPr>
          <w:rFonts w:hint="eastAsia" w:asciiTheme="minorEastAsia" w:hAnsiTheme="minorEastAsia" w:eastAsiaTheme="minorEastAsia" w:cstheme="minorEastAsia"/>
          <w:color w:val="auto"/>
          <w:sz w:val="24"/>
          <w:szCs w:val="24"/>
          <w:highlight w:val="none"/>
        </w:rPr>
        <w:t>中严格遵守相关单位的管理要求和工作纪律。</w:t>
      </w:r>
    </w:p>
    <w:p>
      <w:pPr>
        <w:keepNext w:val="0"/>
        <w:keepLines w:val="0"/>
        <w:pageBreakBefore w:val="0"/>
        <w:widowControl w:val="0"/>
        <w:kinsoku w:val="0"/>
        <w:wordWrap/>
        <w:overflowPunct/>
        <w:topLinePunct w:val="0"/>
        <w:autoSpaceDE w:val="0"/>
        <w:autoSpaceDN w:val="0"/>
        <w:bidi w:val="0"/>
        <w:adjustRightInd w:val="0"/>
        <w:snapToGrid w:val="0"/>
        <w:spacing w:line="360" w:lineRule="auto"/>
        <w:ind w:firstLine="240" w:firstLineChars="100"/>
        <w:jc w:val="both"/>
        <w:textAlignment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（8）乙方应保护甲方的知识产权，不得向第三人泄露、转让甲方提交的技术经济等资料。如发生以上情况并给甲方造成经济损失，甲方有权向乙方提出索赔。</w:t>
      </w:r>
    </w:p>
    <w:p>
      <w:pPr>
        <w:keepNext w:val="0"/>
        <w:keepLines w:val="0"/>
        <w:pageBreakBefore w:val="0"/>
        <w:widowControl w:val="0"/>
        <w:kinsoku w:val="0"/>
        <w:wordWrap/>
        <w:overflowPunct/>
        <w:topLinePunct w:val="0"/>
        <w:autoSpaceDE w:val="0"/>
        <w:autoSpaceDN w:val="0"/>
        <w:bidi w:val="0"/>
        <w:adjustRightInd w:val="0"/>
        <w:snapToGrid w:val="0"/>
        <w:spacing w:line="360" w:lineRule="auto"/>
        <w:ind w:firstLine="240" w:firstLineChars="100"/>
        <w:jc w:val="both"/>
        <w:textAlignment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（9）因甲方每年财政划拨时间不确定，乙方不得在甲方财政划拨资金到位前进行催缴、中断服务等影响甲方正常业务工作的相关行为。</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lang w:eastAsia="zh-CN"/>
        </w:rPr>
        <w:t>六、</w:t>
      </w:r>
      <w:r>
        <w:rPr>
          <w:rFonts w:hint="eastAsia" w:asciiTheme="minorEastAsia" w:hAnsiTheme="minorEastAsia" w:eastAsiaTheme="minorEastAsia" w:cstheme="minorEastAsia"/>
          <w:b/>
          <w:bCs/>
          <w:color w:val="auto"/>
          <w:sz w:val="24"/>
          <w:szCs w:val="24"/>
          <w:highlight w:val="none"/>
        </w:rPr>
        <w:t>服务工作要求和质量保证</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乙方各项具体工作的质量标准和作业规范应为合同签订日为止最新公布发行的标准和技术规范，并按国家相关标准、规范及</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eastAsia="zh-CN"/>
        </w:rPr>
        <w:t>文件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响应文件制定的内容执行。</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乙方保证所供服务没有涉及其他权力纠纷。因侵权而产生的一切后果由乙方负责，甲方保留索赔权力。</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乙方未经甲方同意，不得擅自变更本工作在响应文件中认定的工作范围、组织实施方案和项目负责人。</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若因不可抗力致使项目实际情况发生变化或其他因素造成需对原方案进行修改、完善、补充时，乙方需会同甲方协商有关事宜。</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sz w:val="24"/>
          <w:szCs w:val="24"/>
        </w:rPr>
        <w:t>如在服务过程中发生质量问题，乙方在接到甲方通知后在</w:t>
      </w:r>
      <w:r>
        <w:rPr>
          <w:rFonts w:hint="eastAsia" w:asciiTheme="minorEastAsia" w:hAnsiTheme="minorEastAsia" w:eastAsiaTheme="minorEastAsia" w:cstheme="minorEastAsia"/>
          <w:sz w:val="24"/>
          <w:szCs w:val="24"/>
          <w:lang w:val="en-US" w:eastAsia="zh-CN"/>
        </w:rPr>
        <w:t>响应</w:t>
      </w:r>
      <w:r>
        <w:rPr>
          <w:rFonts w:hint="eastAsia" w:asciiTheme="minorEastAsia" w:hAnsiTheme="minorEastAsia" w:eastAsiaTheme="minorEastAsia" w:cstheme="minorEastAsia"/>
          <w:sz w:val="24"/>
          <w:szCs w:val="24"/>
        </w:rPr>
        <w:t>文件承诺的时间内到达甲方现场处理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、在服务期内，乙方应对服务的质量及安全问题负责处理解决并承担一切 费用。</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2" w:firstLineChars="200"/>
        <w:jc w:val="both"/>
        <w:textAlignment w:val="baseline"/>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七、</w:t>
      </w:r>
      <w:r>
        <w:rPr>
          <w:rFonts w:hint="eastAsia" w:asciiTheme="minorEastAsia" w:hAnsiTheme="minorEastAsia" w:eastAsiaTheme="minorEastAsia" w:cstheme="minorEastAsia"/>
          <w:b/>
          <w:bCs/>
          <w:sz w:val="24"/>
          <w:szCs w:val="24"/>
        </w:rPr>
        <w:t>项目验收</w:t>
      </w:r>
    </w:p>
    <w:p>
      <w:pPr>
        <w:keepNext w:val="0"/>
        <w:keepLines w:val="0"/>
        <w:pageBreakBefore w:val="0"/>
        <w:widowControl w:val="0"/>
        <w:numPr>
          <w:ilvl w:val="0"/>
          <w:numId w:val="0"/>
        </w:numPr>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项目</w:t>
      </w:r>
      <w:r>
        <w:rPr>
          <w:rFonts w:hint="eastAsia" w:asciiTheme="minorEastAsia" w:hAnsiTheme="minorEastAsia" w:eastAsiaTheme="minorEastAsia" w:cstheme="minorEastAsia"/>
          <w:color w:val="auto"/>
          <w:sz w:val="24"/>
          <w:szCs w:val="24"/>
          <w:highlight w:val="none"/>
          <w:lang w:val="en-US" w:eastAsia="zh-CN"/>
        </w:rPr>
        <w:t>成果文件提交</w:t>
      </w:r>
      <w:r>
        <w:rPr>
          <w:rFonts w:hint="eastAsia" w:asciiTheme="minorEastAsia" w:hAnsiTheme="minorEastAsia" w:eastAsiaTheme="minorEastAsia" w:cstheme="minorEastAsia"/>
          <w:color w:val="auto"/>
          <w:sz w:val="24"/>
          <w:szCs w:val="24"/>
          <w:highlight w:val="none"/>
        </w:rPr>
        <w:t>后，</w:t>
      </w:r>
      <w:r>
        <w:rPr>
          <w:rFonts w:hint="eastAsia" w:asciiTheme="minorEastAsia" w:hAnsiTheme="minorEastAsia" w:eastAsiaTheme="minorEastAsia" w:cstheme="minorEastAsia"/>
          <w:color w:val="auto"/>
          <w:sz w:val="24"/>
          <w:szCs w:val="24"/>
          <w:highlight w:val="none"/>
          <w:lang w:val="en-US" w:eastAsia="zh-CN"/>
        </w:rPr>
        <w:t>成交人向采购人提出验收申请。</w:t>
      </w:r>
    </w:p>
    <w:p>
      <w:pPr>
        <w:keepNext w:val="0"/>
        <w:keepLines w:val="0"/>
        <w:pageBreakBefore w:val="0"/>
        <w:widowControl w:val="0"/>
        <w:numPr>
          <w:ilvl w:val="0"/>
          <w:numId w:val="0"/>
        </w:numPr>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由采购人、使用单位组织项目相关人员</w:t>
      </w:r>
      <w:r>
        <w:rPr>
          <w:rFonts w:hint="eastAsia" w:asciiTheme="minorEastAsia" w:hAnsiTheme="minorEastAsia" w:eastAsiaTheme="minorEastAsia" w:cstheme="minorEastAsia"/>
          <w:color w:val="auto"/>
          <w:sz w:val="24"/>
          <w:szCs w:val="24"/>
          <w:highlight w:val="none"/>
          <w:lang w:val="en-US" w:eastAsia="zh-CN"/>
        </w:rPr>
        <w:t>及专家</w:t>
      </w:r>
      <w:r>
        <w:rPr>
          <w:rFonts w:hint="eastAsia" w:asciiTheme="minorEastAsia" w:hAnsiTheme="minorEastAsia" w:eastAsiaTheme="minorEastAsia" w:cstheme="minorEastAsia"/>
          <w:color w:val="auto"/>
          <w:sz w:val="24"/>
          <w:szCs w:val="24"/>
          <w:highlight w:val="none"/>
        </w:rPr>
        <w:t>按照磋商文件、投标（或响应）文件及磋商记录表、政府采购合同、技术指标及国家现行行业规范标准和文献资料进行验收，各项指标均应符合验收标准及要求</w:t>
      </w:r>
      <w:r>
        <w:rPr>
          <w:rFonts w:hint="eastAsia" w:asciiTheme="minorEastAsia" w:hAnsiTheme="minorEastAsia" w:eastAsiaTheme="minorEastAsia" w:cstheme="minorEastAsia"/>
          <w:color w:val="auto"/>
          <w:sz w:val="24"/>
          <w:szCs w:val="24"/>
          <w:highlight w:val="none"/>
          <w:lang w:eastAsia="zh-CN"/>
        </w:rPr>
        <w:t>。</w:t>
      </w:r>
    </w:p>
    <w:p>
      <w:pPr>
        <w:keepNext w:val="0"/>
        <w:keepLines w:val="0"/>
        <w:pageBreakBefore w:val="0"/>
        <w:widowControl w:val="0"/>
        <w:numPr>
          <w:ilvl w:val="0"/>
          <w:numId w:val="0"/>
        </w:numPr>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经采购人与供应商共同验收，并出具验收结果和意见，供应商负责向验收组提交验收所需文件和相关资料等</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验收过程中所产生的费用由供应商承担</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 xml:space="preserve">   </w:t>
      </w:r>
    </w:p>
    <w:p>
      <w:pPr>
        <w:keepNext w:val="0"/>
        <w:keepLines w:val="0"/>
        <w:pageBreakBefore w:val="0"/>
        <w:widowControl w:val="0"/>
        <w:numPr>
          <w:ilvl w:val="0"/>
          <w:numId w:val="0"/>
        </w:numPr>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4、提供的相关服务均应符合本项目采购需求、政府采购合同等约定，并符合国家或行业相关规范。</w:t>
      </w:r>
    </w:p>
    <w:p>
      <w:pPr>
        <w:keepNext w:val="0"/>
        <w:keepLines w:val="0"/>
        <w:pageBreakBefore w:val="0"/>
        <w:widowControl w:val="0"/>
        <w:numPr>
          <w:ilvl w:val="0"/>
          <w:numId w:val="0"/>
        </w:numPr>
        <w:wordWrap/>
        <w:overflowPunct/>
        <w:bidi w:val="0"/>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highlight w:val="none"/>
          <w:lang w:val="en-US" w:eastAsia="zh-CN"/>
        </w:rPr>
        <w:t>5、服务内容完成后</w:t>
      </w:r>
      <w:r>
        <w:rPr>
          <w:rFonts w:hint="eastAsia" w:asciiTheme="minorEastAsia" w:hAnsiTheme="minorEastAsia" w:eastAsiaTheme="minorEastAsia" w:cstheme="minorEastAsia"/>
          <w:color w:val="auto"/>
          <w:sz w:val="24"/>
          <w:szCs w:val="24"/>
          <w:highlight w:val="none"/>
        </w:rPr>
        <w:t>先由</w:t>
      </w:r>
      <w:r>
        <w:rPr>
          <w:rFonts w:hint="eastAsia" w:asciiTheme="minorEastAsia" w:hAnsiTheme="minorEastAsia" w:eastAsiaTheme="minorEastAsia" w:cstheme="minorEastAsia"/>
          <w:color w:val="auto"/>
          <w:sz w:val="24"/>
          <w:szCs w:val="24"/>
          <w:highlight w:val="none"/>
          <w:lang w:val="en-US" w:eastAsia="zh-CN"/>
        </w:rPr>
        <w:t>乙方</w:t>
      </w:r>
      <w:r>
        <w:rPr>
          <w:rFonts w:hint="eastAsia" w:asciiTheme="minorEastAsia" w:hAnsiTheme="minorEastAsia" w:eastAsiaTheme="minorEastAsia" w:cstheme="minorEastAsia"/>
          <w:color w:val="auto"/>
          <w:sz w:val="24"/>
          <w:szCs w:val="24"/>
          <w:highlight w:val="none"/>
        </w:rPr>
        <w:t>进行自检，自检合格后邀请</w:t>
      </w:r>
      <w:r>
        <w:rPr>
          <w:rFonts w:hint="eastAsia" w:asciiTheme="minorEastAsia" w:hAnsiTheme="minorEastAsia" w:eastAsiaTheme="minorEastAsia" w:cstheme="minorEastAsia"/>
          <w:color w:val="auto"/>
          <w:sz w:val="24"/>
          <w:szCs w:val="24"/>
          <w:highlight w:val="none"/>
          <w:lang w:val="en-US" w:eastAsia="zh-CN"/>
        </w:rPr>
        <w:t>甲方</w:t>
      </w:r>
      <w:r>
        <w:rPr>
          <w:rFonts w:hint="eastAsia" w:asciiTheme="minorEastAsia" w:hAnsiTheme="minorEastAsia" w:eastAsiaTheme="minorEastAsia" w:cstheme="minorEastAsia"/>
          <w:color w:val="auto"/>
          <w:sz w:val="24"/>
          <w:szCs w:val="24"/>
          <w:highlight w:val="none"/>
        </w:rPr>
        <w:t>进行终验。</w:t>
      </w:r>
      <w:r>
        <w:rPr>
          <w:rFonts w:hint="eastAsia" w:asciiTheme="minorEastAsia" w:hAnsiTheme="minorEastAsia" w:eastAsiaTheme="minorEastAsia" w:cstheme="minorEastAsia"/>
          <w:color w:val="auto"/>
          <w:sz w:val="24"/>
          <w:szCs w:val="24"/>
          <w:highlight w:val="none"/>
          <w:lang w:val="en-US" w:eastAsia="zh-CN"/>
        </w:rPr>
        <w:t>甲方</w:t>
      </w:r>
      <w:r>
        <w:rPr>
          <w:rFonts w:hint="eastAsia" w:asciiTheme="minorEastAsia" w:hAnsiTheme="minorEastAsia" w:eastAsiaTheme="minorEastAsia" w:cstheme="minorEastAsia"/>
          <w:color w:val="auto"/>
          <w:sz w:val="24"/>
          <w:szCs w:val="24"/>
          <w:highlight w:val="none"/>
        </w:rPr>
        <w:t>确认</w:t>
      </w:r>
      <w:r>
        <w:rPr>
          <w:rFonts w:hint="eastAsia" w:asciiTheme="minorEastAsia" w:hAnsiTheme="minorEastAsia" w:eastAsiaTheme="minorEastAsia" w:cstheme="minorEastAsia"/>
          <w:color w:val="auto"/>
          <w:sz w:val="24"/>
          <w:szCs w:val="24"/>
          <w:highlight w:val="none"/>
          <w:lang w:val="en-US" w:eastAsia="zh-CN"/>
        </w:rPr>
        <w:t>乙方</w:t>
      </w:r>
      <w:r>
        <w:rPr>
          <w:rFonts w:hint="eastAsia" w:asciiTheme="minorEastAsia" w:hAnsiTheme="minorEastAsia" w:eastAsiaTheme="minorEastAsia" w:cstheme="minorEastAsia"/>
          <w:color w:val="auto"/>
          <w:sz w:val="24"/>
          <w:szCs w:val="24"/>
          <w:highlight w:val="none"/>
        </w:rPr>
        <w:t>的自检内容后，邀请有关专家进行验收，验收时服务商应派人员参加，共同对验收结果进行确认，并承担相关责任。终验合格后，填写政府采购项目履约验收单(一式</w:t>
      </w:r>
      <w:r>
        <w:rPr>
          <w:rFonts w:hint="eastAsia" w:asciiTheme="minorEastAsia" w:hAnsiTheme="minorEastAsia" w:eastAsiaTheme="minorEastAsia" w:cstheme="minorEastAsia"/>
          <w:color w:val="auto"/>
          <w:sz w:val="24"/>
          <w:szCs w:val="24"/>
          <w:highlight w:val="none"/>
          <w:lang w:val="en-US" w:eastAsia="zh-CN"/>
        </w:rPr>
        <w:t>肆</w:t>
      </w:r>
      <w:r>
        <w:rPr>
          <w:rFonts w:hint="eastAsia" w:asciiTheme="minorEastAsia" w:hAnsiTheme="minorEastAsia" w:eastAsiaTheme="minorEastAsia" w:cstheme="minorEastAsia"/>
          <w:color w:val="auto"/>
          <w:sz w:val="24"/>
          <w:szCs w:val="24"/>
          <w:highlight w:val="none"/>
        </w:rPr>
        <w:t>份)作为对服务的最终认可。政府采购项目履约验收单送采购代理机构一份。</w:t>
      </w:r>
    </w:p>
    <w:p>
      <w:pPr>
        <w:keepNext w:val="0"/>
        <w:keepLines w:val="0"/>
        <w:pageBreakBefore w:val="0"/>
        <w:widowControl w:val="0"/>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6、</w:t>
      </w:r>
      <w:r>
        <w:rPr>
          <w:rFonts w:hint="eastAsia" w:asciiTheme="minorEastAsia" w:hAnsiTheme="minorEastAsia" w:eastAsiaTheme="minorEastAsia" w:cstheme="minorEastAsia"/>
          <w:color w:val="auto"/>
          <w:sz w:val="24"/>
          <w:szCs w:val="24"/>
          <w:highlight w:val="none"/>
        </w:rPr>
        <w:t>乙方向甲方提交实施过程中的所有资料。以便甲方日后管理和维护。</w:t>
      </w:r>
    </w:p>
    <w:p>
      <w:pPr>
        <w:keepNext w:val="0"/>
        <w:keepLines w:val="0"/>
        <w:pageBreakBefore w:val="0"/>
        <w:widowControl w:val="0"/>
        <w:numPr>
          <w:ilvl w:val="0"/>
          <w:numId w:val="0"/>
        </w:numPr>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rPr>
        <w:t>验</w:t>
      </w:r>
      <w:bookmarkStart w:id="8" w:name="_GoBack"/>
      <w:bookmarkEnd w:id="8"/>
      <w:r>
        <w:rPr>
          <w:rFonts w:hint="eastAsia" w:asciiTheme="minorEastAsia" w:hAnsiTheme="minorEastAsia" w:eastAsiaTheme="minorEastAsia" w:cstheme="minorEastAsia"/>
          <w:color w:val="auto"/>
          <w:sz w:val="24"/>
          <w:szCs w:val="24"/>
          <w:highlight w:val="none"/>
        </w:rPr>
        <w:t>收依据：</w:t>
      </w:r>
    </w:p>
    <w:p>
      <w:pPr>
        <w:keepNext w:val="0"/>
        <w:keepLines w:val="0"/>
        <w:pageBreakBefore w:val="0"/>
        <w:widowControl w:val="0"/>
        <w:numPr>
          <w:ilvl w:val="0"/>
          <w:numId w:val="0"/>
        </w:numPr>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竞争性磋商</w:t>
      </w:r>
      <w:r>
        <w:rPr>
          <w:rFonts w:hint="eastAsia" w:asciiTheme="minorEastAsia" w:hAnsiTheme="minorEastAsia" w:eastAsiaTheme="minorEastAsia" w:cstheme="minorEastAsia"/>
          <w:color w:val="auto"/>
          <w:sz w:val="24"/>
          <w:szCs w:val="24"/>
          <w:highlight w:val="none"/>
          <w:lang w:eastAsia="zh-CN"/>
        </w:rPr>
        <w:t>文件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响应文件</w:t>
      </w:r>
      <w:r>
        <w:rPr>
          <w:rFonts w:hint="eastAsia" w:asciiTheme="minorEastAsia" w:hAnsiTheme="minorEastAsia" w:eastAsiaTheme="minorEastAsia" w:cstheme="minorEastAsia"/>
          <w:color w:val="auto"/>
          <w:sz w:val="24"/>
          <w:szCs w:val="24"/>
          <w:highlight w:val="none"/>
        </w:rPr>
        <w:t>、澄清表(函);</w:t>
      </w:r>
    </w:p>
    <w:p>
      <w:pPr>
        <w:keepNext w:val="0"/>
        <w:keepLines w:val="0"/>
        <w:pageBreakBefore w:val="0"/>
        <w:widowControl w:val="0"/>
        <w:numPr>
          <w:ilvl w:val="0"/>
          <w:numId w:val="0"/>
        </w:numPr>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本合同及附件文本；</w:t>
      </w:r>
    </w:p>
    <w:p>
      <w:pPr>
        <w:keepNext w:val="0"/>
        <w:keepLines w:val="0"/>
        <w:pageBreakBefore w:val="0"/>
        <w:widowControl w:val="0"/>
        <w:numPr>
          <w:ilvl w:val="0"/>
          <w:numId w:val="0"/>
        </w:numPr>
        <w:wordWrap/>
        <w:overflowPunct/>
        <w:bidi w:val="0"/>
        <w:spacing w:line="360" w:lineRule="auto"/>
        <w:ind w:firstLine="480" w:firstLineChars="2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国家相应的标准、规范。</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2" w:firstLineChars="200"/>
        <w:jc w:val="both"/>
        <w:textAlignment w:val="baseline"/>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八、</w:t>
      </w:r>
      <w:r>
        <w:rPr>
          <w:rFonts w:hint="eastAsia" w:asciiTheme="minorEastAsia" w:hAnsiTheme="minorEastAsia" w:eastAsiaTheme="minorEastAsia" w:cstheme="minorEastAsia"/>
          <w:b/>
          <w:bCs/>
          <w:sz w:val="24"/>
          <w:szCs w:val="24"/>
        </w:rPr>
        <w:t>成果归属和使用</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1.成果归属：乙方在本合同项下完成的成果所有权和著作权归属于甲方；</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2.成果转让和使用：在未征得甲方事前书面同意情况下，乙方不得擅自转让 合同项目产生的成果，不得在公开场合发表、公布以及使用。</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2" w:firstLineChars="200"/>
        <w:jc w:val="both"/>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lang w:eastAsia="zh-CN"/>
        </w:rPr>
        <w:t>九、</w:t>
      </w:r>
      <w:r>
        <w:rPr>
          <w:rFonts w:hint="eastAsia" w:asciiTheme="minorEastAsia" w:hAnsiTheme="minorEastAsia" w:eastAsiaTheme="minorEastAsia" w:cstheme="minorEastAsia"/>
          <w:b/>
          <w:bCs/>
          <w:sz w:val="24"/>
          <w:szCs w:val="24"/>
          <w:highlight w:val="none"/>
        </w:rPr>
        <w:t>违约责任</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按《中华人民共和国民法典》中的相关条款执行。</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乙方未按合同要求提供服务或质量不能满足合同要求，甲方有权依据《中华人民共和国民法典》有关条款及合同约定终止合同，并要求乙方承担违约责任。同时，政府采购监管部门有权依据《中华人民共和国政府采购法》及相关法律法规对乙方的违法行为进行相应的处罚。</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未经甲方同意，乙方擅自向第三方转包、分包本合同内容，将按照有关法律法规，追究所有乙方企业或个人的法律责任。</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乙方履约延误。</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未经甲方同意，乙方单方面延迟执行合同，甲方有权终止合同。</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付时间或对乙方加收误期赔偿金。</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rPr>
        <w:t>服务期内，因乙方服务工作过失而造成的损失，乙方须承担相应的责任及甲方要求的合理赔偿，赔偿费用不超过合同总额。</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6、</w:t>
      </w:r>
      <w:r>
        <w:rPr>
          <w:rFonts w:hint="eastAsia" w:asciiTheme="minorEastAsia" w:hAnsiTheme="minorEastAsia" w:eastAsiaTheme="minorEastAsia" w:cstheme="minorEastAsia"/>
          <w:color w:val="auto"/>
          <w:sz w:val="24"/>
          <w:szCs w:val="24"/>
          <w:highlight w:val="none"/>
        </w:rPr>
        <w:t>乙方应保证所提供产品和服务不会出现因第三方提出侵犯其专利权、商标权或其它知识产权而引发法律或经济纠纷，否则由乙方承担全部责任。任何被乙方用于未经授权的商业目的行为所造成的违约或侵权责任由乙方承担。</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十、</w:t>
      </w:r>
      <w:r>
        <w:rPr>
          <w:rFonts w:hint="eastAsia" w:asciiTheme="minorEastAsia" w:hAnsiTheme="minorEastAsia" w:eastAsiaTheme="minorEastAsia" w:cstheme="minorEastAsia"/>
          <w:b/>
          <w:bCs/>
          <w:color w:val="auto"/>
          <w:sz w:val="24"/>
          <w:szCs w:val="24"/>
          <w:highlight w:val="none"/>
        </w:rPr>
        <w:t>保密条款</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pStyle w:val="8"/>
        <w:keepNext w:val="0"/>
        <w:keepLines w:val="0"/>
        <w:pageBreakBefore w:val="0"/>
        <w:widowControl w:val="0"/>
        <w:wordWrap/>
        <w:overflowPunct/>
        <w:bidi w:val="0"/>
        <w:spacing w:after="0" w:afterLines="0" w:line="360" w:lineRule="auto"/>
        <w:ind w:firstLine="720" w:firstLineChars="3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本条款为独立条款，本合同的无效、变更、解除和终止均不影响本条款的效力。</w:t>
      </w:r>
    </w:p>
    <w:p>
      <w:pPr>
        <w:keepNext w:val="0"/>
        <w:keepLines w:val="0"/>
        <w:pageBreakBefore w:val="0"/>
        <w:widowControl w:val="0"/>
        <w:wordWrap/>
        <w:overflowPunct/>
        <w:bidi w:val="0"/>
        <w:spacing w:line="360" w:lineRule="auto"/>
        <w:ind w:firstLine="720" w:firstLineChars="300"/>
        <w:jc w:val="both"/>
        <w:rPr>
          <w:rFonts w:hint="eastAsia" w:asciiTheme="minorEastAsia" w:hAnsiTheme="minorEastAsia" w:eastAsiaTheme="minorEastAsia" w:cstheme="minorEastAsia"/>
          <w:snapToGrid w:val="0"/>
          <w:color w:val="auto"/>
          <w:kern w:val="0"/>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snapToGrid w:val="0"/>
          <w:color w:val="auto"/>
          <w:kern w:val="0"/>
          <w:sz w:val="24"/>
          <w:szCs w:val="24"/>
          <w:highlight w:val="none"/>
          <w:lang w:val="en-US" w:eastAsia="zh-CN" w:bidi="ar-SA"/>
        </w:rPr>
        <w:t>、双方拟定的其他条款。</w:t>
      </w:r>
    </w:p>
    <w:p>
      <w:pPr>
        <w:keepNext w:val="0"/>
        <w:keepLines w:val="0"/>
        <w:pageBreakBefore w:val="0"/>
        <w:widowControl w:val="0"/>
        <w:kinsoku w:val="0"/>
        <w:wordWrap/>
        <w:overflowPunct/>
        <w:topLinePunct/>
        <w:autoSpaceDE w:val="0"/>
        <w:autoSpaceDN w:val="0"/>
        <w:bidi w:val="0"/>
        <w:adjustRightInd w:val="0"/>
        <w:snapToGrid w:val="0"/>
        <w:spacing w:line="360" w:lineRule="auto"/>
        <w:ind w:firstLine="482" w:firstLineChars="200"/>
        <w:jc w:val="both"/>
        <w:textAlignment w:val="baseline"/>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十一、</w:t>
      </w:r>
      <w:r>
        <w:rPr>
          <w:rFonts w:hint="eastAsia" w:asciiTheme="minorEastAsia" w:hAnsiTheme="minorEastAsia" w:eastAsiaTheme="minorEastAsia" w:cstheme="minorEastAsia"/>
          <w:b/>
          <w:bCs/>
          <w:sz w:val="24"/>
          <w:szCs w:val="24"/>
        </w:rPr>
        <w:t>合同争议解决的方式</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本合同在履行过程中发生的争议，由甲、乙双方当事人协商解决，协商不成的按下列第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种方式解决：</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提交西安仲裁委员会仲裁；</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依法向</w:t>
      </w:r>
      <w:r>
        <w:rPr>
          <w:rFonts w:hint="eastAsia" w:asciiTheme="minorEastAsia" w:hAnsiTheme="minorEastAsia" w:eastAsiaTheme="minorEastAsia" w:cstheme="minorEastAsia"/>
          <w:color w:val="auto"/>
          <w:sz w:val="24"/>
          <w:szCs w:val="24"/>
          <w:highlight w:val="none"/>
          <w:u w:val="single"/>
          <w:lang w:val="en-US" w:eastAsia="zh-CN"/>
        </w:rPr>
        <w:t>项目</w:t>
      </w:r>
      <w:r>
        <w:rPr>
          <w:rFonts w:hint="eastAsia" w:asciiTheme="minorEastAsia" w:hAnsiTheme="minorEastAsia" w:eastAsiaTheme="minorEastAsia" w:cstheme="minorEastAsia"/>
          <w:color w:val="auto"/>
          <w:sz w:val="24"/>
          <w:szCs w:val="24"/>
          <w:highlight w:val="none"/>
          <w:u w:val="single"/>
        </w:rPr>
        <w:t>所在地</w:t>
      </w:r>
      <w:r>
        <w:rPr>
          <w:rFonts w:hint="eastAsia" w:asciiTheme="minorEastAsia" w:hAnsiTheme="minorEastAsia" w:eastAsiaTheme="minorEastAsia" w:cstheme="minorEastAsia"/>
          <w:color w:val="auto"/>
          <w:sz w:val="24"/>
          <w:szCs w:val="24"/>
          <w:highlight w:val="none"/>
        </w:rPr>
        <w:t>人民法院起诉。</w:t>
      </w:r>
    </w:p>
    <w:p>
      <w:pPr>
        <w:pStyle w:val="12"/>
        <w:keepNext w:val="0"/>
        <w:keepLines w:val="0"/>
        <w:pageBreakBefore w:val="0"/>
        <w:widowControl w:val="0"/>
        <w:wordWrap/>
        <w:overflowPunct/>
        <w:bidi w:val="0"/>
        <w:spacing w:line="360" w:lineRule="auto"/>
        <w:ind w:firstLine="720" w:firstLineChars="300"/>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本条款为独立条款，本合同的无效、变更、解除和终止均不影响本条款的效力。</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lang w:eastAsia="zh-CN"/>
        </w:rPr>
        <w:t>十二、</w:t>
      </w:r>
      <w:r>
        <w:rPr>
          <w:rFonts w:hint="eastAsia" w:asciiTheme="minorEastAsia" w:hAnsiTheme="minorEastAsia" w:eastAsiaTheme="minorEastAsia" w:cstheme="minorEastAsia"/>
          <w:b/>
          <w:bCs/>
          <w:color w:val="auto"/>
          <w:sz w:val="24"/>
          <w:szCs w:val="24"/>
          <w:highlight w:val="none"/>
        </w:rPr>
        <w:t>合同变更</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在合同的执行期内，双方均不得随意变更或解除合同。如因项目需求情况发生变化，需要项目变更的，应双方协商后签订项目变更协议后生效(如双方变更事项不能达成一致的，仍按原合同履行，否则视为违约)。</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十三、</w:t>
      </w:r>
      <w:r>
        <w:rPr>
          <w:rFonts w:hint="eastAsia" w:asciiTheme="minorEastAsia" w:hAnsiTheme="minorEastAsia" w:eastAsiaTheme="minorEastAsia" w:cstheme="minorEastAsia"/>
          <w:b/>
          <w:bCs/>
          <w:color w:val="auto"/>
          <w:sz w:val="24"/>
          <w:szCs w:val="24"/>
          <w:highlight w:val="none"/>
        </w:rPr>
        <w:t>合同生效</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本合同一式</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份，甲方持</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份，乙方持</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份，本合同</w:t>
      </w:r>
      <w:r>
        <w:rPr>
          <w:rFonts w:hint="eastAsia" w:asciiTheme="minorEastAsia" w:hAnsiTheme="minorEastAsia" w:eastAsiaTheme="minorEastAsia" w:cstheme="minorEastAsia"/>
          <w:color w:val="auto"/>
          <w:sz w:val="24"/>
          <w:szCs w:val="24"/>
          <w:highlight w:val="none"/>
          <w:lang w:val="en-US" w:eastAsia="zh-CN"/>
        </w:rPr>
        <w:t>自</w:t>
      </w:r>
      <w:r>
        <w:rPr>
          <w:rFonts w:hint="eastAsia" w:asciiTheme="minorEastAsia" w:hAnsiTheme="minorEastAsia" w:eastAsiaTheme="minorEastAsia" w:cstheme="minorEastAsia"/>
          <w:color w:val="auto"/>
          <w:sz w:val="24"/>
          <w:szCs w:val="24"/>
          <w:highlight w:val="none"/>
        </w:rPr>
        <w:t>甲、乙</w:t>
      </w:r>
      <w:r>
        <w:rPr>
          <w:rFonts w:hint="eastAsia" w:asciiTheme="minorEastAsia" w:hAnsiTheme="minorEastAsia" w:eastAsiaTheme="minorEastAsia" w:cstheme="minorEastAsia"/>
          <w:color w:val="auto"/>
          <w:sz w:val="24"/>
          <w:szCs w:val="24"/>
          <w:highlight w:val="none"/>
          <w:lang w:val="en-US" w:eastAsia="zh-CN"/>
        </w:rPr>
        <w:t>双</w:t>
      </w:r>
      <w:r>
        <w:rPr>
          <w:rFonts w:hint="eastAsia" w:asciiTheme="minorEastAsia" w:hAnsiTheme="minorEastAsia" w:eastAsiaTheme="minorEastAsia" w:cstheme="minorEastAsia"/>
          <w:color w:val="auto"/>
          <w:sz w:val="24"/>
          <w:szCs w:val="24"/>
          <w:highlight w:val="none"/>
        </w:rPr>
        <w:t>方签字盖章后生效，合同执行完毕后，自动失效(合同的服务承诺则长期有效)。</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lang w:eastAsia="zh-CN"/>
        </w:rPr>
        <w:t>十四、</w:t>
      </w:r>
      <w:r>
        <w:rPr>
          <w:rFonts w:hint="eastAsia" w:asciiTheme="minorEastAsia" w:hAnsiTheme="minorEastAsia" w:eastAsiaTheme="minorEastAsia" w:cstheme="minorEastAsia"/>
          <w:b/>
          <w:bCs/>
          <w:color w:val="auto"/>
          <w:sz w:val="24"/>
          <w:szCs w:val="24"/>
          <w:highlight w:val="none"/>
        </w:rPr>
        <w:t>其他事项</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1、甲方或上级相关监督管理部门</w:t>
      </w:r>
      <w:r>
        <w:rPr>
          <w:rFonts w:hint="eastAsia" w:asciiTheme="minorEastAsia" w:hAnsiTheme="minorEastAsia" w:eastAsiaTheme="minorEastAsia" w:cstheme="minorEastAsia"/>
          <w:color w:val="auto"/>
          <w:sz w:val="24"/>
          <w:szCs w:val="24"/>
          <w:highlight w:val="none"/>
        </w:rPr>
        <w:t>在合同的履行期间以及履行期后，可以随时检查项目的执行情况，对采购标准、采购内容进行调查核实，并对发现的问题进行处理。</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2、竞争性磋商</w:t>
      </w:r>
      <w:r>
        <w:rPr>
          <w:rFonts w:hint="eastAsia" w:asciiTheme="minorEastAsia" w:hAnsiTheme="minorEastAsia" w:eastAsiaTheme="minorEastAsia" w:cstheme="minorEastAsia"/>
          <w:color w:val="auto"/>
          <w:sz w:val="24"/>
          <w:szCs w:val="24"/>
          <w:highlight w:val="none"/>
        </w:rPr>
        <w:t>文件、</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响应文件、澄清表(函)、</w:t>
      </w:r>
      <w:r>
        <w:rPr>
          <w:rFonts w:hint="eastAsia" w:asciiTheme="minorEastAsia" w:hAnsiTheme="minorEastAsia" w:eastAsiaTheme="minorEastAsia" w:cstheme="minorEastAsia"/>
          <w:color w:val="auto"/>
          <w:sz w:val="24"/>
          <w:szCs w:val="24"/>
          <w:highlight w:val="none"/>
          <w:lang w:eastAsia="zh-CN"/>
        </w:rPr>
        <w:t>中标（</w:t>
      </w:r>
      <w:r>
        <w:rPr>
          <w:rFonts w:hint="eastAsia" w:asciiTheme="minorEastAsia" w:hAnsiTheme="minorEastAsia" w:eastAsiaTheme="minorEastAsia" w:cstheme="minorEastAsia"/>
          <w:color w:val="auto"/>
          <w:sz w:val="24"/>
          <w:szCs w:val="24"/>
          <w:highlight w:val="none"/>
        </w:rPr>
        <w:t>成交</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通知书、合同附件均成为合同不可分割的部分。</w:t>
      </w:r>
    </w:p>
    <w:p>
      <w:pPr>
        <w:keepNext w:val="0"/>
        <w:keepLines w:val="0"/>
        <w:pageBreakBefore w:val="0"/>
        <w:widowControl w:val="0"/>
        <w:wordWrap/>
        <w:overflowPunct/>
        <w:bidi w:val="0"/>
        <w:spacing w:line="360" w:lineRule="auto"/>
        <w:ind w:firstLine="646"/>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highlight w:val="none"/>
          <w:lang w:val="en-US" w:eastAsia="zh-CN"/>
        </w:rPr>
        <w:t>3、合同未尽事宜，由甲、乙双方协商确认后签订政府采购补充合同，与原合同具有同等法律效力。</w:t>
      </w:r>
    </w:p>
    <w:tbl>
      <w:tblPr>
        <w:tblStyle w:val="14"/>
        <w:tblpPr w:leftFromText="181" w:rightFromText="181" w:vertAnchor="text" w:horzAnchor="page" w:tblpX="1724" w:tblpY="1"/>
        <w:tblOverlap w:val="never"/>
        <w:tblW w:w="843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02"/>
        <w:gridCol w:w="45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shd w:val="clear" w:color="auto" w:fill="D7D7D7"/>
            <w:noWrap w:val="0"/>
            <w:vAlign w:val="top"/>
          </w:tcPr>
          <w:p>
            <w:pPr>
              <w:pStyle w:val="13"/>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12"/>
                <w:sz w:val="24"/>
                <w:szCs w:val="24"/>
                <w:lang w:val="en-US" w:eastAsia="zh-CN"/>
              </w:rPr>
              <w:t>甲方</w:t>
            </w:r>
          </w:p>
        </w:tc>
        <w:tc>
          <w:tcPr>
            <w:tcW w:w="4537" w:type="dxa"/>
            <w:shd w:val="clear" w:color="auto" w:fill="D7D7D7"/>
            <w:noWrap w:val="0"/>
            <w:vAlign w:val="top"/>
          </w:tcPr>
          <w:p>
            <w:pPr>
              <w:pStyle w:val="13"/>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8"/>
                <w:sz w:val="24"/>
                <w:szCs w:val="24"/>
                <w:lang w:val="en-US" w:eastAsia="zh-CN"/>
              </w:rPr>
              <w:t>乙方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采购人</w:t>
            </w:r>
            <w:r>
              <w:rPr>
                <w:rFonts w:hint="eastAsia" w:asciiTheme="minorEastAsia" w:hAnsiTheme="minorEastAsia" w:eastAsiaTheme="minorEastAsia" w:cstheme="minorEastAsia"/>
                <w:color w:val="auto"/>
                <w:spacing w:val="-2"/>
                <w:sz w:val="24"/>
                <w:szCs w:val="24"/>
                <w:lang w:val="en-US" w:eastAsia="zh-CN"/>
              </w:rPr>
              <w:t>名称</w:t>
            </w:r>
            <w:r>
              <w:rPr>
                <w:rFonts w:hint="eastAsia" w:asciiTheme="minorEastAsia" w:hAnsiTheme="minorEastAsia" w:eastAsiaTheme="minorEastAsia" w:cstheme="minorEastAsia"/>
                <w:color w:val="auto"/>
                <w:spacing w:val="-2"/>
                <w:sz w:val="24"/>
                <w:szCs w:val="24"/>
              </w:rPr>
              <w:t>（</w:t>
            </w:r>
            <w:r>
              <w:rPr>
                <w:rFonts w:hint="eastAsia" w:asciiTheme="minorEastAsia" w:hAnsiTheme="minorEastAsia" w:eastAsiaTheme="minorEastAsia" w:cstheme="minorEastAsia"/>
                <w:color w:val="auto"/>
                <w:spacing w:val="-2"/>
                <w:sz w:val="24"/>
                <w:szCs w:val="24"/>
                <w:lang w:val="en-US" w:eastAsia="zh-CN"/>
              </w:rPr>
              <w:t>盖章</w:t>
            </w:r>
            <w:r>
              <w:rPr>
                <w:rFonts w:hint="eastAsia" w:asciiTheme="minorEastAsia" w:hAnsiTheme="minorEastAsia" w:eastAsiaTheme="minorEastAsia" w:cstheme="minorEastAsia"/>
                <w:color w:val="auto"/>
                <w:spacing w:val="-2"/>
                <w:sz w:val="24"/>
                <w:szCs w:val="24"/>
              </w:rPr>
              <w:t>）</w:t>
            </w:r>
          </w:p>
        </w:tc>
        <w:tc>
          <w:tcPr>
            <w:tcW w:w="453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highlight w:val="none"/>
                <w:lang w:val="en-US" w:eastAsia="zh-CN"/>
              </w:rPr>
              <w:t>成交供应商</w:t>
            </w:r>
            <w:r>
              <w:rPr>
                <w:rFonts w:hint="eastAsia" w:asciiTheme="minorEastAsia" w:hAnsiTheme="minorEastAsia" w:eastAsiaTheme="minorEastAsia" w:cstheme="minorEastAsia"/>
                <w:b w:val="0"/>
                <w:bCs w:val="0"/>
                <w:color w:val="auto"/>
                <w:spacing w:val="-2"/>
                <w:sz w:val="24"/>
                <w:szCs w:val="24"/>
              </w:rPr>
              <w:t>（</w:t>
            </w:r>
            <w:r>
              <w:rPr>
                <w:rFonts w:hint="eastAsia" w:asciiTheme="minorEastAsia" w:hAnsiTheme="minorEastAsia" w:eastAsiaTheme="minorEastAsia" w:cstheme="minorEastAsia"/>
                <w:b w:val="0"/>
                <w:bCs w:val="0"/>
                <w:color w:val="auto"/>
                <w:spacing w:val="-2"/>
                <w:sz w:val="24"/>
                <w:szCs w:val="24"/>
                <w:lang w:val="en-US" w:eastAsia="zh-CN"/>
              </w:rPr>
              <w:t>盖章</w:t>
            </w:r>
            <w:r>
              <w:rPr>
                <w:rFonts w:hint="eastAsia" w:asciiTheme="minorEastAsia" w:hAnsiTheme="minorEastAsia" w:eastAsiaTheme="minorEastAsia" w:cstheme="minorEastAsia"/>
                <w:b w:val="0"/>
                <w:bCs w:val="0"/>
                <w:color w:val="auto"/>
                <w:spacing w:val="-2"/>
                <w:sz w:val="24"/>
                <w:szCs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4"/>
                <w:sz w:val="24"/>
                <w:szCs w:val="24"/>
              </w:rPr>
              <w:t>地址：</w:t>
            </w:r>
          </w:p>
        </w:tc>
        <w:tc>
          <w:tcPr>
            <w:tcW w:w="453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pacing w:val="-4"/>
                <w:sz w:val="24"/>
                <w:szCs w:val="24"/>
              </w:rPr>
              <w:t>地址：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rPr>
              <w:t>邮编：</w:t>
            </w:r>
          </w:p>
        </w:tc>
        <w:tc>
          <w:tcPr>
            <w:tcW w:w="453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rPr>
              <w:t>邮编：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法定代表人</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2"/>
                <w:sz w:val="24"/>
                <w:szCs w:val="24"/>
                <w:lang w:val="en-US" w:eastAsia="zh-CN"/>
              </w:rPr>
              <w:t>签字或盖章</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2"/>
                <w:sz w:val="24"/>
                <w:szCs w:val="24"/>
              </w:rPr>
              <w:t>：</w:t>
            </w:r>
          </w:p>
        </w:tc>
        <w:tc>
          <w:tcPr>
            <w:tcW w:w="453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法定代表人</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2"/>
                <w:sz w:val="24"/>
                <w:szCs w:val="24"/>
                <w:lang w:val="en-US" w:eastAsia="zh-CN"/>
              </w:rPr>
              <w:t>签字或盖章</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2"/>
                <w:sz w:val="24"/>
                <w:szCs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lang w:val="en-US" w:eastAsia="zh-CN"/>
              </w:rPr>
              <w:t>被授权代表</w:t>
            </w:r>
            <w:r>
              <w:rPr>
                <w:rFonts w:hint="eastAsia" w:asciiTheme="minorEastAsia" w:hAnsiTheme="minorEastAsia" w:eastAsiaTheme="minorEastAsia" w:cstheme="minorEastAsia"/>
                <w:color w:val="auto"/>
                <w:spacing w:val="-16"/>
                <w:sz w:val="24"/>
                <w:szCs w:val="24"/>
              </w:rPr>
              <w:t>：（</w:t>
            </w:r>
            <w:r>
              <w:rPr>
                <w:rFonts w:hint="eastAsia" w:asciiTheme="minorEastAsia" w:hAnsiTheme="minorEastAsia" w:eastAsiaTheme="minorEastAsia" w:cstheme="minorEastAsia"/>
                <w:color w:val="auto"/>
                <w:spacing w:val="2"/>
                <w:sz w:val="24"/>
                <w:szCs w:val="24"/>
              </w:rPr>
              <w:t>签字）</w:t>
            </w:r>
          </w:p>
        </w:tc>
        <w:tc>
          <w:tcPr>
            <w:tcW w:w="453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lang w:val="en-US" w:eastAsia="zh-CN"/>
              </w:rPr>
              <w:t>被授权代表</w:t>
            </w:r>
            <w:r>
              <w:rPr>
                <w:rFonts w:hint="eastAsia" w:asciiTheme="minorEastAsia" w:hAnsiTheme="minorEastAsia" w:eastAsiaTheme="minorEastAsia" w:cstheme="minorEastAsia"/>
                <w:color w:val="auto"/>
                <w:spacing w:val="-16"/>
                <w:sz w:val="24"/>
                <w:szCs w:val="24"/>
              </w:rPr>
              <w:t>：（</w:t>
            </w:r>
            <w:r>
              <w:rPr>
                <w:rFonts w:hint="eastAsia" w:asciiTheme="minorEastAsia" w:hAnsiTheme="minorEastAsia" w:eastAsiaTheme="minorEastAsia" w:cstheme="minorEastAsia"/>
                <w:color w:val="auto"/>
                <w:spacing w:val="2"/>
                <w:sz w:val="24"/>
                <w:szCs w:val="24"/>
              </w:rPr>
              <w:t>签字）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3"/>
                <w:sz w:val="24"/>
                <w:szCs w:val="24"/>
              </w:rPr>
              <w:t>电话：</w:t>
            </w:r>
          </w:p>
        </w:tc>
        <w:tc>
          <w:tcPr>
            <w:tcW w:w="453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3"/>
                <w:sz w:val="24"/>
                <w:szCs w:val="24"/>
              </w:rPr>
              <w:t>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传真：</w:t>
            </w:r>
          </w:p>
        </w:tc>
        <w:tc>
          <w:tcPr>
            <w:tcW w:w="453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传真：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7"/>
                <w:sz w:val="24"/>
                <w:szCs w:val="24"/>
              </w:rPr>
              <w:t>电子邮箱：</w:t>
            </w:r>
          </w:p>
        </w:tc>
        <w:tc>
          <w:tcPr>
            <w:tcW w:w="453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开户银行：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p>
        </w:tc>
        <w:tc>
          <w:tcPr>
            <w:tcW w:w="453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5"/>
                <w:sz w:val="24"/>
                <w:szCs w:val="24"/>
              </w:rPr>
              <w:t>账号：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390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p>
        </w:tc>
        <w:tc>
          <w:tcPr>
            <w:tcW w:w="4537"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电子邮箱：</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3902" w:type="dxa"/>
            <w:noWrap w:val="0"/>
            <w:vAlign w:val="top"/>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3"/>
                <w:sz w:val="24"/>
                <w:szCs w:val="24"/>
              </w:rPr>
              <w:t>日期：</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color w:val="auto"/>
                <w:spacing w:val="-13"/>
                <w:sz w:val="24"/>
                <w:szCs w:val="24"/>
              </w:rPr>
              <w:t>年</w:t>
            </w:r>
            <w:r>
              <w:rPr>
                <w:rFonts w:hint="eastAsia" w:asciiTheme="minorEastAsia" w:hAnsiTheme="minorEastAsia" w:eastAsiaTheme="minorEastAsia" w:cstheme="minorEastAsia"/>
                <w:color w:val="auto"/>
                <w:spacing w:val="8"/>
                <w:sz w:val="24"/>
                <w:szCs w:val="24"/>
              </w:rPr>
              <w:t xml:space="preserve">  </w:t>
            </w:r>
            <w:r>
              <w:rPr>
                <w:rFonts w:hint="eastAsia" w:asciiTheme="minorEastAsia" w:hAnsiTheme="minorEastAsia" w:eastAsiaTheme="minorEastAsia" w:cstheme="minorEastAsia"/>
                <w:color w:val="auto"/>
                <w:spacing w:val="-13"/>
                <w:sz w:val="24"/>
                <w:szCs w:val="24"/>
              </w:rPr>
              <w:t>月</w:t>
            </w:r>
            <w:r>
              <w:rPr>
                <w:rFonts w:hint="eastAsia" w:asciiTheme="minorEastAsia" w:hAnsiTheme="minorEastAsia" w:eastAsiaTheme="minorEastAsia" w:cstheme="minorEastAsia"/>
                <w:color w:val="auto"/>
                <w:spacing w:val="25"/>
                <w:sz w:val="24"/>
                <w:szCs w:val="24"/>
              </w:rPr>
              <w:t xml:space="preserve">  </w:t>
            </w:r>
            <w:r>
              <w:rPr>
                <w:rFonts w:hint="eastAsia" w:asciiTheme="minorEastAsia" w:hAnsiTheme="minorEastAsia" w:eastAsiaTheme="minorEastAsia" w:cstheme="minorEastAsia"/>
                <w:color w:val="auto"/>
                <w:spacing w:val="-13"/>
                <w:sz w:val="24"/>
                <w:szCs w:val="24"/>
              </w:rPr>
              <w:t>日</w:t>
            </w:r>
          </w:p>
        </w:tc>
        <w:tc>
          <w:tcPr>
            <w:tcW w:w="4537" w:type="dxa"/>
            <w:noWrap w:val="0"/>
            <w:vAlign w:val="top"/>
          </w:tcPr>
          <w:p>
            <w:pPr>
              <w:pStyle w:val="13"/>
              <w:keepNext w:val="0"/>
              <w:keepLines w:val="0"/>
              <w:pageBreakBefore w:val="0"/>
              <w:widowControl w:val="0"/>
              <w:kinsoku/>
              <w:wordWrap/>
              <w:overflowPunct/>
              <w:topLinePunct w:val="0"/>
              <w:autoSpaceDE/>
              <w:autoSpaceDN/>
              <w:bidi w:val="0"/>
              <w:adjustRightInd/>
              <w:snapToGrid/>
              <w:spacing w:line="360" w:lineRule="auto"/>
              <w:ind w:left="105" w:leftChars="5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3"/>
                <w:sz w:val="24"/>
                <w:szCs w:val="24"/>
              </w:rPr>
              <w:t>日期：</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color w:val="auto"/>
                <w:spacing w:val="-13"/>
                <w:sz w:val="24"/>
                <w:szCs w:val="24"/>
              </w:rPr>
              <w:t>年</w:t>
            </w:r>
            <w:r>
              <w:rPr>
                <w:rFonts w:hint="eastAsia" w:asciiTheme="minorEastAsia" w:hAnsiTheme="minorEastAsia" w:eastAsiaTheme="minorEastAsia" w:cstheme="minorEastAsia"/>
                <w:color w:val="auto"/>
                <w:spacing w:val="8"/>
                <w:sz w:val="24"/>
                <w:szCs w:val="24"/>
              </w:rPr>
              <w:t xml:space="preserve">  </w:t>
            </w:r>
            <w:r>
              <w:rPr>
                <w:rFonts w:hint="eastAsia" w:asciiTheme="minorEastAsia" w:hAnsiTheme="minorEastAsia" w:eastAsiaTheme="minorEastAsia" w:cstheme="minorEastAsia"/>
                <w:color w:val="auto"/>
                <w:spacing w:val="-13"/>
                <w:sz w:val="24"/>
                <w:szCs w:val="24"/>
              </w:rPr>
              <w:t>月</w:t>
            </w:r>
            <w:r>
              <w:rPr>
                <w:rFonts w:hint="eastAsia" w:asciiTheme="minorEastAsia" w:hAnsiTheme="minorEastAsia" w:eastAsiaTheme="minorEastAsia" w:cstheme="minorEastAsia"/>
                <w:color w:val="auto"/>
                <w:spacing w:val="26"/>
                <w:sz w:val="24"/>
                <w:szCs w:val="24"/>
              </w:rPr>
              <w:t xml:space="preserve">  </w:t>
            </w:r>
            <w:r>
              <w:rPr>
                <w:rFonts w:hint="eastAsia" w:asciiTheme="minorEastAsia" w:hAnsiTheme="minorEastAsia" w:eastAsiaTheme="minorEastAsia" w:cstheme="minorEastAsia"/>
                <w:color w:val="auto"/>
                <w:spacing w:val="-13"/>
                <w:sz w:val="24"/>
                <w:szCs w:val="24"/>
              </w:rPr>
              <w:t>日</w:t>
            </w:r>
          </w:p>
        </w:tc>
      </w:tr>
    </w:tbl>
    <w:p>
      <w:pPr>
        <w:keepNext w:val="0"/>
        <w:keepLines w:val="0"/>
        <w:pageBreakBefore w:val="0"/>
        <w:widowControl w:val="0"/>
        <w:wordWrap/>
        <w:overflowPunct/>
        <w:bidi w:val="0"/>
        <w:spacing w:line="360" w:lineRule="auto"/>
        <w:rPr>
          <w:rFonts w:hint="eastAsia" w:asciiTheme="minorEastAsia" w:hAnsiTheme="minorEastAsia" w:eastAsiaTheme="minorEastAsia" w:cstheme="minorEastAsia"/>
          <w:sz w:val="24"/>
          <w:szCs w:val="24"/>
          <w:lang w:eastAsia="zh-CN"/>
        </w:rPr>
      </w:pPr>
    </w:p>
    <w:sectPr>
      <w:pgSz w:w="11906" w:h="16838"/>
      <w:pgMar w:top="1383" w:right="1800" w:bottom="1383"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366BC02C-D40A-4DA9-89A9-8FB917F1D40E}"/>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2" w:fontKey="{1A4F6CD1-F889-45CF-A576-854C8027FFF2}"/>
  </w:font>
  <w:font w:name="仿宋_GB2312">
    <w:altName w:val="仿宋"/>
    <w:panose1 w:val="02010609030101010101"/>
    <w:charset w:val="86"/>
    <w:family w:val="modern"/>
    <w:pitch w:val="default"/>
    <w:sig w:usb0="00000000" w:usb1="00000000" w:usb2="00000010" w:usb3="00000000" w:csb0="00040000" w:csb1="00000000"/>
    <w:embedRegular r:id="rId3" w:fontKey="{BDC7CBC5-725E-493D-9D7D-BAD953C69AFB}"/>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kYTQ3N2FkY2U2ZWMwMDg4NzFkODRiMGZkYWI2Y2MifQ=="/>
  </w:docVars>
  <w:rsids>
    <w:rsidRoot w:val="4AB54228"/>
    <w:rsid w:val="00382D01"/>
    <w:rsid w:val="005106BA"/>
    <w:rsid w:val="00726300"/>
    <w:rsid w:val="007708D0"/>
    <w:rsid w:val="0443699B"/>
    <w:rsid w:val="04995026"/>
    <w:rsid w:val="078B3D54"/>
    <w:rsid w:val="0E4A4418"/>
    <w:rsid w:val="0EEA4924"/>
    <w:rsid w:val="0F2859B9"/>
    <w:rsid w:val="0FF30ADF"/>
    <w:rsid w:val="13173D0A"/>
    <w:rsid w:val="139A439A"/>
    <w:rsid w:val="1855387D"/>
    <w:rsid w:val="1AAE21D3"/>
    <w:rsid w:val="1ACB068F"/>
    <w:rsid w:val="1C3D736A"/>
    <w:rsid w:val="1F49071C"/>
    <w:rsid w:val="1F6D6787"/>
    <w:rsid w:val="233F72B3"/>
    <w:rsid w:val="28095B17"/>
    <w:rsid w:val="292E770D"/>
    <w:rsid w:val="29422464"/>
    <w:rsid w:val="2DC12B58"/>
    <w:rsid w:val="2FB04AC6"/>
    <w:rsid w:val="30417061"/>
    <w:rsid w:val="31421EBF"/>
    <w:rsid w:val="33300912"/>
    <w:rsid w:val="33D12714"/>
    <w:rsid w:val="35D42696"/>
    <w:rsid w:val="37D94A55"/>
    <w:rsid w:val="37E02471"/>
    <w:rsid w:val="3D34540B"/>
    <w:rsid w:val="3E2148E6"/>
    <w:rsid w:val="42002B7B"/>
    <w:rsid w:val="44962F52"/>
    <w:rsid w:val="45781487"/>
    <w:rsid w:val="457A6A0D"/>
    <w:rsid w:val="48971EF2"/>
    <w:rsid w:val="49BA52D4"/>
    <w:rsid w:val="4A370E45"/>
    <w:rsid w:val="4A59738B"/>
    <w:rsid w:val="4AB54228"/>
    <w:rsid w:val="4BB770C8"/>
    <w:rsid w:val="4CC21042"/>
    <w:rsid w:val="4D583754"/>
    <w:rsid w:val="4DA30E74"/>
    <w:rsid w:val="4DC31516"/>
    <w:rsid w:val="4F7962EB"/>
    <w:rsid w:val="51322FB9"/>
    <w:rsid w:val="51624BA2"/>
    <w:rsid w:val="56AD4B11"/>
    <w:rsid w:val="575953F6"/>
    <w:rsid w:val="57F33EE3"/>
    <w:rsid w:val="59140E77"/>
    <w:rsid w:val="59AC5779"/>
    <w:rsid w:val="59BC11F3"/>
    <w:rsid w:val="5D153C42"/>
    <w:rsid w:val="5D2E60F1"/>
    <w:rsid w:val="5DCA1FD3"/>
    <w:rsid w:val="5F1A32AE"/>
    <w:rsid w:val="60251BBC"/>
    <w:rsid w:val="60A72DA9"/>
    <w:rsid w:val="61E46378"/>
    <w:rsid w:val="623A6333"/>
    <w:rsid w:val="63F75FB6"/>
    <w:rsid w:val="645B7B52"/>
    <w:rsid w:val="656412A6"/>
    <w:rsid w:val="68E32614"/>
    <w:rsid w:val="6D961F83"/>
    <w:rsid w:val="6E86191A"/>
    <w:rsid w:val="6EBF49C3"/>
    <w:rsid w:val="6FA523D2"/>
    <w:rsid w:val="706C1141"/>
    <w:rsid w:val="72606E27"/>
    <w:rsid w:val="737D3D70"/>
    <w:rsid w:val="74581611"/>
    <w:rsid w:val="77862AE9"/>
    <w:rsid w:val="782A5B6A"/>
    <w:rsid w:val="784705BF"/>
    <w:rsid w:val="79665036"/>
    <w:rsid w:val="7B1A5C2B"/>
    <w:rsid w:val="7BD77DB7"/>
    <w:rsid w:val="7C06244A"/>
    <w:rsid w:val="7D2A2168"/>
    <w:rsid w:val="7D2B5E75"/>
    <w:rsid w:val="7E6D4A02"/>
    <w:rsid w:val="7FDE2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ascii="Times New Roman" w:hAnsi="Times New Roman" w:eastAsia="楷体" w:cstheme="minorBidi"/>
      <w:b/>
      <w:kern w:val="44"/>
      <w:sz w:val="44"/>
    </w:rPr>
  </w:style>
  <w:style w:type="paragraph" w:styleId="4">
    <w:name w:val="heading 2"/>
    <w:next w:val="1"/>
    <w:semiHidden/>
    <w:unhideWhenUsed/>
    <w:qFormat/>
    <w:uiPriority w:val="0"/>
    <w:pPr>
      <w:keepNext/>
      <w:keepLines/>
      <w:widowControl w:val="0"/>
      <w:autoSpaceDE w:val="0"/>
      <w:autoSpaceDN w:val="0"/>
      <w:adjustRightInd w:val="0"/>
      <w:spacing w:before="120" w:line="240" w:lineRule="auto"/>
      <w:ind w:left="567" w:hanging="567"/>
      <w:jc w:val="center"/>
      <w:outlineLvl w:val="1"/>
    </w:pPr>
    <w:rPr>
      <w:rFonts w:ascii="宋体" w:hAnsi="宋体" w:eastAsia="楷体" w:cs="Times New Roman"/>
      <w:b/>
      <w:bCs/>
      <w:kern w:val="0"/>
      <w:sz w:val="28"/>
      <w:szCs w:val="20"/>
      <w:lang w:val="en-US" w:eastAsia="zh-CN" w:bidi="ar-SA"/>
    </w:rPr>
  </w:style>
  <w:style w:type="paragraph" w:styleId="5">
    <w:name w:val="heading 3"/>
    <w:next w:val="1"/>
    <w:semiHidden/>
    <w:unhideWhenUsed/>
    <w:qFormat/>
    <w:uiPriority w:val="0"/>
    <w:pPr>
      <w:keepNext/>
      <w:keepLines/>
      <w:widowControl w:val="0"/>
      <w:autoSpaceDE w:val="0"/>
      <w:autoSpaceDN w:val="0"/>
      <w:adjustRightInd w:val="0"/>
      <w:spacing w:before="360" w:after="120" w:line="240" w:lineRule="auto"/>
      <w:ind w:left="709" w:hanging="709"/>
      <w:jc w:val="left"/>
      <w:outlineLvl w:val="2"/>
    </w:pPr>
    <w:rPr>
      <w:rFonts w:ascii="宋体" w:hAnsi="宋体" w:eastAsia="楷体" w:cs="Times New Roman"/>
      <w:b/>
      <w:bCs/>
      <w:kern w:val="0"/>
      <w:sz w:val="28"/>
      <w:szCs w:val="28"/>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宋体"/>
      <w:kern w:val="0"/>
      <w:sz w:val="18"/>
    </w:rPr>
  </w:style>
  <w:style w:type="paragraph" w:styleId="6">
    <w:name w:val="Normal Indent"/>
    <w:basedOn w:val="1"/>
    <w:qFormat/>
    <w:uiPriority w:val="0"/>
    <w:pPr>
      <w:ind w:firstLine="420" w:firstLineChars="200"/>
    </w:pPr>
  </w:style>
  <w:style w:type="paragraph" w:styleId="7">
    <w:name w:val="Body Text 3"/>
    <w:basedOn w:val="1"/>
    <w:qFormat/>
    <w:uiPriority w:val="0"/>
    <w:pPr>
      <w:spacing w:after="120"/>
    </w:pPr>
    <w:rPr>
      <w:sz w:val="16"/>
      <w:szCs w:val="16"/>
    </w:rPr>
  </w:style>
  <w:style w:type="paragraph" w:styleId="8">
    <w:name w:val="Body Text"/>
    <w:basedOn w:val="1"/>
    <w:next w:val="1"/>
    <w:qFormat/>
    <w:uiPriority w:val="0"/>
    <w:pPr>
      <w:spacing w:after="120" w:afterLines="0" w:afterAutospacing="0"/>
    </w:pPr>
  </w:style>
  <w:style w:type="paragraph" w:styleId="9">
    <w:name w:val="Body Text First Indent"/>
    <w:basedOn w:val="8"/>
    <w:qFormat/>
    <w:uiPriority w:val="0"/>
    <w:pPr>
      <w:ind w:firstLine="420" w:firstLineChars="1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Table Text"/>
    <w:basedOn w:val="1"/>
    <w:semiHidden/>
    <w:qFormat/>
    <w:uiPriority w:val="0"/>
    <w:rPr>
      <w:rFonts w:ascii="宋体" w:hAnsi="宋体" w:eastAsia="宋体" w:cs="宋体"/>
      <w:sz w:val="24"/>
      <w:szCs w:val="24"/>
      <w:lang w:val="en-US" w:eastAsia="en-US" w:bidi="ar-SA"/>
    </w:rPr>
  </w:style>
  <w:style w:type="table" w:customStyle="1" w:styleId="14">
    <w:name w:val="Table Normal"/>
    <w:unhideWhenUsed/>
    <w:qFormat/>
    <w:uiPriority w:val="0"/>
    <w:tblPr>
      <w:tblCellMar>
        <w:top w:w="0" w:type="dxa"/>
        <w:left w:w="0" w:type="dxa"/>
        <w:bottom w:w="0" w:type="dxa"/>
        <w:right w:w="0" w:type="dxa"/>
      </w:tblCellMar>
    </w:tblPr>
  </w:style>
  <w:style w:type="paragraph" w:customStyle="1" w:styleId="15">
    <w:name w:val="内文"/>
    <w:basedOn w:val="1"/>
    <w:qFormat/>
    <w:uiPriority w:val="99"/>
    <w:pPr>
      <w:spacing w:line="560" w:lineRule="exact"/>
      <w:ind w:firstLine="200" w:firstLineChars="200"/>
    </w:pPr>
    <w:rPr>
      <w:rFonts w:ascii="宋体" w:hAnsi="宋体" w:eastAsia="宋体" w:cs="宋体"/>
    </w:rPr>
  </w:style>
  <w:style w:type="paragraph" w:customStyle="1" w:styleId="16">
    <w:name w:val="内加粗"/>
    <w:basedOn w:val="15"/>
    <w:qFormat/>
    <w:uiPriority w:val="99"/>
    <w:pPr>
      <w:ind w:firstLine="482"/>
    </w:pPr>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3677</Words>
  <Characters>3689</Characters>
  <Lines>0</Lines>
  <Paragraphs>0</Paragraphs>
  <TotalTime>1</TotalTime>
  <ScaleCrop>false</ScaleCrop>
  <LinksUpToDate>false</LinksUpToDate>
  <CharactersWithSpaces>3882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2025-05-14T08:28:00Z</dcterms:created>
  <dc:creator>河北首富花少北</dc:creator>
  <cp:lastModifiedBy>河北首富花少北</cp:lastModifiedBy>
  <cp:lastPrinted>2025-08-21T01:12:00Z</cp:lastPrinted>
  <dcterms:modified xsi:type="dcterms:W3CDTF">2025-11-28T08:40:56Z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95E0EEF4A6C84BB8B5085D92A87996F1_11</vt:lpwstr>
  </property>
  <property fmtid="{D5CDD505-2E9C-101B-9397-08002B2CF9AE}" pid="4" name="KSOTemplateDocerSaveRecord">
    <vt:lpwstr>eyJoZGlkIjoiMjRjZWU2MjE1ZGRiY2U3MGUyYjgwMjY0Njc3YzcwZjEiLCJ1c2VySWQiOiI5NTY0ODY2NTAifQ==</vt:lpwstr>
  </property>
</Properties>
</file>