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版本号：TZZB-HZ-2025332C.1B120251219001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医疗责任保险采购项目(二次)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TZZB-HZ-2025332C.1B1</w:t>
      </w:r>
      <w:r>
        <w:br/>
      </w:r>
      <w:r>
        <w:br/>
      </w:r>
      <w:r>
        <w:br/>
      </w:r>
    </w:p>
    <w:p>
      <w:pPr>
        <w:pStyle w:val="null3"/>
        <w:jc w:val="center"/>
        <w:outlineLvl w:val="2"/>
      </w:pPr>
      <w:r>
        <w:rPr>
          <w:rFonts w:ascii="仿宋_GB2312" w:hAnsi="仿宋_GB2312" w:cs="仿宋_GB2312" w:eastAsia="仿宋_GB2312"/>
          <w:sz w:val="28"/>
          <w:b/>
        </w:rPr>
        <w:t>汉中市铁路中心医院</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汉中市铁路中心医院</w:t>
      </w:r>
      <w:r>
        <w:rPr>
          <w:rFonts w:ascii="仿宋_GB2312" w:hAnsi="仿宋_GB2312" w:cs="仿宋_GB2312" w:eastAsia="仿宋_GB2312"/>
        </w:rPr>
        <w:t>委托，拟对</w:t>
      </w:r>
      <w:r>
        <w:rPr>
          <w:rFonts w:ascii="仿宋_GB2312" w:hAnsi="仿宋_GB2312" w:cs="仿宋_GB2312" w:eastAsia="仿宋_GB2312"/>
        </w:rPr>
        <w:t>医疗责任保险采购项目(二次)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TZZB-HZ-2025332C.1B1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医疗责任保险采购项目(二次)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医疗责任保险采购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2、供应商资格要求：供应商须提供《汉中市政府采购供应商资格承诺函》。</w:t>
      </w:r>
    </w:p>
    <w:p>
      <w:pPr>
        <w:pStyle w:val="null3"/>
      </w:pPr>
      <w:r>
        <w:rPr>
          <w:rFonts w:ascii="仿宋_GB2312" w:hAnsi="仿宋_GB2312" w:cs="仿宋_GB2312" w:eastAsia="仿宋_GB2312"/>
        </w:rPr>
        <w:t>3、供应商应授权合法的人员参加本项目磋商活动全过程：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4、企业资质：供应商须具有保险监督管理部门颁发的《经营保险业务许可证》或《保险许可证》。</w:t>
      </w:r>
    </w:p>
    <w:p>
      <w:pPr>
        <w:pStyle w:val="null3"/>
      </w:pPr>
      <w:r>
        <w:rPr>
          <w:rFonts w:ascii="仿宋_GB2312" w:hAnsi="仿宋_GB2312" w:cs="仿宋_GB2312" w:eastAsia="仿宋_GB2312"/>
        </w:rPr>
        <w:t>5、单位负责人为同一人或者存在直接控股、管理关系的不同供应商，不得同时参加本次采购活动。：提供承诺函。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汉中市铁路中心医院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汉中市汉台区石马路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0916-2212335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汉中市汉台区西一环路蓝天御苑小区商铺二层门面房南侧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0916-8897702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代理服务费收费标准：代理服务费收费标准：采购代理服务费参照国家计委《招标代理服务收费管理暂行办法》（计价格[2002]1980 号）、国家发展改革委办公厅《关于招标代理服务收费有关问题的通知》（发改办价格［2003］857 号）及国家发展改革委《关于降低部分建设项目收费标准规范收费行为等有关问题的通知》（发改价格[2011]534号）规定的标准计取（以中标/成交金额结算）。代理服务费缴纳账号： 账户名称：同正项目管理有限公司汉中分公司 开户行：中国建设银行股份有限公司汉中北环路支行 银行账号：6105 0165 5200 0000 0101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汉中市铁路中心医院</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汉中市铁路中心医院</w:t>
      </w:r>
      <w:r>
        <w:rPr>
          <w:rFonts w:ascii="仿宋_GB2312" w:hAnsi="仿宋_GB2312" w:cs="仿宋_GB2312" w:eastAsia="仿宋_GB2312"/>
        </w:rPr>
        <w:t>负责解释。除上述磋商文件内容，其他内容由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汉中市铁路中心医院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按国家现行项目实施规范和合同规定的验收标准等。</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联系人：王丽</w:t>
      </w:r>
    </w:p>
    <w:p>
      <w:pPr>
        <w:pStyle w:val="null3"/>
      </w:pPr>
      <w:r>
        <w:rPr>
          <w:rFonts w:ascii="仿宋_GB2312" w:hAnsi="仿宋_GB2312" w:cs="仿宋_GB2312" w:eastAsia="仿宋_GB2312"/>
        </w:rPr>
        <w:t>联系电话：0916-8897702</w:t>
      </w:r>
    </w:p>
    <w:p>
      <w:pPr>
        <w:pStyle w:val="null3"/>
      </w:pPr>
      <w:r>
        <w:rPr>
          <w:rFonts w:ascii="仿宋_GB2312" w:hAnsi="仿宋_GB2312" w:cs="仿宋_GB2312" w:eastAsia="仿宋_GB2312"/>
        </w:rPr>
        <w:t>地址：汉中市汉台区西一环路蓝天御苑小区商铺二层门面房南侧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医疗责任保险采购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医疗责任保险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标的名称：医疗责任保险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200"/>
            </w:pPr>
            <w:r>
              <w:rPr>
                <w:rFonts w:ascii="仿宋_GB2312" w:hAnsi="仿宋_GB2312" w:cs="仿宋_GB2312" w:eastAsia="仿宋_GB2312"/>
                <w:color w:val="000000"/>
              </w:rPr>
              <w:t>医疗责任保险是指投保医疗机构和医务人员在保险期内，因医疗责任发生经济赔偿或法律费用，保险公司将依照事先约定承担赔偿责任。</w:t>
            </w:r>
          </w:p>
          <w:p>
            <w:pPr>
              <w:pStyle w:val="null3"/>
              <w:ind w:firstLine="201"/>
            </w:pPr>
            <w:r>
              <w:rPr>
                <w:rFonts w:ascii="仿宋_GB2312" w:hAnsi="仿宋_GB2312" w:cs="仿宋_GB2312" w:eastAsia="仿宋_GB2312"/>
                <w:b/>
                <w:color w:val="000000"/>
              </w:rPr>
              <w:t>一、购买医责险目的及意义</w:t>
            </w:r>
          </w:p>
          <w:p>
            <w:pPr>
              <w:pStyle w:val="null3"/>
              <w:ind w:firstLine="200"/>
            </w:pPr>
            <w:r>
              <w:rPr>
                <w:rFonts w:ascii="仿宋_GB2312" w:hAnsi="仿宋_GB2312" w:cs="仿宋_GB2312" w:eastAsia="仿宋_GB2312"/>
                <w:color w:val="000000"/>
              </w:rPr>
              <w:t>1.响应国家政策要求，完善医疗风险分担机制。</w:t>
            </w:r>
          </w:p>
          <w:p>
            <w:pPr>
              <w:pStyle w:val="null3"/>
              <w:ind w:firstLine="200"/>
            </w:pPr>
            <w:r>
              <w:rPr>
                <w:rFonts w:ascii="仿宋_GB2312" w:hAnsi="仿宋_GB2312" w:cs="仿宋_GB2312" w:eastAsia="仿宋_GB2312"/>
                <w:color w:val="000000"/>
              </w:rPr>
              <w:t>2.将医疗纠纷处理从院内转移至院外，缓和医患矛盾、减轻医疗机构纠纷处理压力，维护医院正常诊疗秩序。</w:t>
            </w:r>
          </w:p>
          <w:p>
            <w:pPr>
              <w:pStyle w:val="null3"/>
              <w:ind w:firstLine="200"/>
            </w:pPr>
            <w:r>
              <w:rPr>
                <w:rFonts w:ascii="仿宋_GB2312" w:hAnsi="仿宋_GB2312" w:cs="仿宋_GB2312" w:eastAsia="仿宋_GB2312"/>
                <w:color w:val="000000"/>
              </w:rPr>
              <w:t>3.多方参与使医疗纠纷的处理更加合理、合规、合法。</w:t>
            </w:r>
          </w:p>
          <w:p>
            <w:pPr>
              <w:pStyle w:val="null3"/>
              <w:ind w:firstLine="200"/>
            </w:pPr>
            <w:r>
              <w:rPr>
                <w:rFonts w:ascii="仿宋_GB2312" w:hAnsi="仿宋_GB2312" w:cs="仿宋_GB2312" w:eastAsia="仿宋_GB2312"/>
                <w:color w:val="000000"/>
              </w:rPr>
              <w:t>4.购买医疗责任保险，通过“调保赔”模式处理医疗纠纷是完善医患纠纷调解机制，推进“平安医院”建设的重要途径。建立医疗责任保险机制，与人民调解机制相互结合，可以将人民调解的赔付责任落到实处，对于化解医患矛盾，积极妥善处理医疗纠纷、维护医患双方的合法权益是十分重要的。</w:t>
            </w:r>
          </w:p>
          <w:p>
            <w:pPr>
              <w:pStyle w:val="null3"/>
              <w:ind w:firstLine="201"/>
            </w:pPr>
            <w:r>
              <w:rPr>
                <w:rFonts w:ascii="仿宋_GB2312" w:hAnsi="仿宋_GB2312" w:cs="仿宋_GB2312" w:eastAsia="仿宋_GB2312"/>
                <w:b/>
                <w:color w:val="000000"/>
              </w:rPr>
              <w:t>二、对于保险公司（本方案提到的保险公司都包含保险经纪公司）负责医责险人员配备的要求：</w:t>
            </w:r>
          </w:p>
          <w:p>
            <w:pPr>
              <w:pStyle w:val="null3"/>
              <w:ind w:firstLine="200"/>
            </w:pPr>
            <w:r>
              <w:rPr>
                <w:rFonts w:ascii="仿宋_GB2312" w:hAnsi="仿宋_GB2312" w:cs="仿宋_GB2312" w:eastAsia="仿宋_GB2312"/>
                <w:color w:val="000000"/>
              </w:rPr>
              <w:t>1、建立一支专业化的团队，团队人员熟知《医师法》、《民法典》及《医疗纠纷预防和处理条例》等相关法律法规</w:t>
            </w:r>
          </w:p>
          <w:p>
            <w:pPr>
              <w:pStyle w:val="null3"/>
              <w:ind w:firstLine="200"/>
            </w:pPr>
            <w:r>
              <w:rPr>
                <w:rFonts w:ascii="仿宋_GB2312" w:hAnsi="仿宋_GB2312" w:cs="仿宋_GB2312" w:eastAsia="仿宋_GB2312"/>
                <w:color w:val="000000"/>
              </w:rPr>
              <w:t>2、团队人员熟知医疗纠纷处理的各项法定途径以及尸检的相关要求，熟知医疗事故技术鉴定和医疗过错鉴定等鉴定的申请程序、鉴定的相关要求等内容。</w:t>
            </w:r>
          </w:p>
          <w:p>
            <w:pPr>
              <w:pStyle w:val="null3"/>
              <w:ind w:firstLine="201"/>
            </w:pPr>
            <w:r>
              <w:rPr>
                <w:rFonts w:ascii="仿宋_GB2312" w:hAnsi="仿宋_GB2312" w:cs="仿宋_GB2312" w:eastAsia="仿宋_GB2312"/>
                <w:b/>
                <w:color w:val="000000"/>
              </w:rPr>
              <w:t>三、保险公司参与处理医疗纠纷的相关要求</w:t>
            </w:r>
          </w:p>
          <w:p>
            <w:pPr>
              <w:pStyle w:val="null3"/>
              <w:ind w:firstLine="200"/>
            </w:pPr>
            <w:r>
              <w:rPr>
                <w:rFonts w:ascii="仿宋_GB2312" w:hAnsi="仿宋_GB2312" w:cs="仿宋_GB2312" w:eastAsia="仿宋_GB2312"/>
                <w:color w:val="000000"/>
              </w:rPr>
              <w:t>1、保险公司在医责险项目上应当建立完善有效的“调保赔”模式，在纠纷发生后需及时参与纠纷处理工作。</w:t>
            </w:r>
          </w:p>
          <w:p>
            <w:pPr>
              <w:pStyle w:val="null3"/>
              <w:ind w:firstLine="200"/>
            </w:pPr>
            <w:r>
              <w:rPr>
                <w:rFonts w:ascii="仿宋_GB2312" w:hAnsi="仿宋_GB2312" w:cs="仿宋_GB2312" w:eastAsia="仿宋_GB2312"/>
                <w:color w:val="000000"/>
              </w:rPr>
              <w:t>2.纠纷发生后，医疗机构通知保险公司，保险公司第一时间派员到现场了解并参与医疗纠纷的处理，配合并协助医院人员引导患方通过调解或诉讼等合法途径处理医疗纠纷</w:t>
            </w:r>
          </w:p>
          <w:p>
            <w:pPr>
              <w:pStyle w:val="null3"/>
              <w:ind w:firstLine="200"/>
            </w:pPr>
            <w:r>
              <w:rPr>
                <w:rFonts w:ascii="仿宋_GB2312" w:hAnsi="仿宋_GB2312" w:cs="仿宋_GB2312" w:eastAsia="仿宋_GB2312"/>
                <w:color w:val="000000"/>
              </w:rPr>
              <w:t>3、沟通汉中市区域内医疗纠纷调解机构及时主动介入医疗纠纷的处理，配合医疗纠纷人民调解机构对于处理医疗纠纷所开展的相关调解工作。</w:t>
            </w:r>
          </w:p>
          <w:p>
            <w:pPr>
              <w:pStyle w:val="null3"/>
              <w:ind w:firstLine="200"/>
            </w:pPr>
            <w:r>
              <w:rPr>
                <w:rFonts w:ascii="仿宋_GB2312" w:hAnsi="仿宋_GB2312" w:cs="仿宋_GB2312" w:eastAsia="仿宋_GB2312"/>
                <w:color w:val="000000"/>
              </w:rPr>
              <w:t>4、遇到重大、疑难复杂以及患方存在过激情绪或行为的纠纷，配合公安、信访以及卫健委等相关部门的工作，与医疗纠纷人民调解机构一起按程序处理相应纠纷。</w:t>
            </w:r>
          </w:p>
          <w:p>
            <w:pPr>
              <w:pStyle w:val="null3"/>
              <w:ind w:firstLine="200"/>
            </w:pPr>
            <w:r>
              <w:rPr>
                <w:rFonts w:ascii="仿宋_GB2312" w:hAnsi="仿宋_GB2312" w:cs="仿宋_GB2312" w:eastAsia="仿宋_GB2312"/>
                <w:color w:val="000000"/>
              </w:rPr>
              <w:t>5、对于未经鉴定，责任不能明晰的医疗纠纷，医院不愿在通过鉴定定责前进行调解协商处理的，保险公司应积极配合医疗纠纷人民调解委员会引导患方进行相关鉴定以明确医疗纠纷责任主体及相关责任比例。</w:t>
            </w:r>
          </w:p>
          <w:p>
            <w:pPr>
              <w:pStyle w:val="null3"/>
              <w:ind w:firstLine="201"/>
            </w:pPr>
            <w:r>
              <w:rPr>
                <w:rFonts w:ascii="仿宋_GB2312" w:hAnsi="仿宋_GB2312" w:cs="仿宋_GB2312" w:eastAsia="仿宋_GB2312"/>
                <w:b/>
                <w:color w:val="000000"/>
              </w:rPr>
              <w:t>四、保险公司的理赔要求</w:t>
            </w:r>
          </w:p>
          <w:p>
            <w:pPr>
              <w:pStyle w:val="null3"/>
              <w:ind w:firstLine="200"/>
            </w:pPr>
            <w:r>
              <w:rPr>
                <w:rFonts w:ascii="仿宋_GB2312" w:hAnsi="仿宋_GB2312" w:cs="仿宋_GB2312" w:eastAsia="仿宋_GB2312"/>
                <w:color w:val="000000"/>
              </w:rPr>
              <w:t>1、保险公司对于医院自行协商处理、医调委调解处理、行政调解处理以及通过司法诉讼所判决的医疗纠纷赔偿或补偿数额均应向医院进行理赔。</w:t>
            </w:r>
          </w:p>
          <w:p>
            <w:pPr>
              <w:pStyle w:val="null3"/>
              <w:ind w:firstLine="200"/>
            </w:pPr>
            <w:r>
              <w:rPr>
                <w:rFonts w:ascii="仿宋_GB2312" w:hAnsi="仿宋_GB2312" w:cs="仿宋_GB2312" w:eastAsia="仿宋_GB2312"/>
                <w:color w:val="000000"/>
              </w:rPr>
              <w:t>2、纠纷处理完结后保险机构应当及时、快速、便捷的进行理赔，理赔时间自医疗纠纷终结处理之日起算最长不超过15日。</w:t>
            </w:r>
          </w:p>
          <w:p>
            <w:pPr>
              <w:pStyle w:val="null3"/>
              <w:ind w:firstLine="200"/>
            </w:pPr>
            <w:r>
              <w:rPr>
                <w:rFonts w:ascii="仿宋_GB2312" w:hAnsi="仿宋_GB2312" w:cs="仿宋_GB2312" w:eastAsia="仿宋_GB2312"/>
                <w:color w:val="000000"/>
              </w:rPr>
              <w:t>3、对医疗纠纷的理赔应该制定专门的简易流程，确保在理赔时能够做到快速理赔。</w:t>
            </w:r>
          </w:p>
          <w:p>
            <w:pPr>
              <w:pStyle w:val="null3"/>
              <w:ind w:firstLine="200"/>
            </w:pPr>
            <w:r>
              <w:rPr>
                <w:rFonts w:ascii="仿宋_GB2312" w:hAnsi="仿宋_GB2312" w:cs="仿宋_GB2312" w:eastAsia="仿宋_GB2312"/>
                <w:color w:val="000000"/>
              </w:rPr>
              <w:t>4.对于未经鉴定，责任不能明晰的医疗纠纷，经双方协商或医调委调解处理的医疗纠纷，应按照理赔流程进行理赔。</w:t>
            </w:r>
          </w:p>
          <w:p>
            <w:pPr>
              <w:pStyle w:val="null3"/>
              <w:ind w:firstLine="201"/>
            </w:pPr>
            <w:r>
              <w:rPr>
                <w:rFonts w:ascii="仿宋_GB2312" w:hAnsi="仿宋_GB2312" w:cs="仿宋_GB2312" w:eastAsia="仿宋_GB2312"/>
                <w:b/>
                <w:color w:val="000000"/>
              </w:rPr>
              <w:t>五、其他要求</w:t>
            </w:r>
          </w:p>
          <w:p>
            <w:pPr>
              <w:pStyle w:val="null3"/>
              <w:ind w:firstLine="200"/>
            </w:pPr>
            <w:r>
              <w:rPr>
                <w:rFonts w:ascii="仿宋_GB2312" w:hAnsi="仿宋_GB2312" w:cs="仿宋_GB2312" w:eastAsia="仿宋_GB2312"/>
                <w:color w:val="000000"/>
              </w:rPr>
              <w:t>1、保险公司在汉中市应当有市级机构。</w:t>
            </w:r>
          </w:p>
          <w:p>
            <w:pPr>
              <w:pStyle w:val="null3"/>
              <w:ind w:firstLine="200"/>
            </w:pPr>
            <w:r>
              <w:rPr>
                <w:rFonts w:ascii="仿宋_GB2312" w:hAnsi="仿宋_GB2312" w:cs="仿宋_GB2312" w:eastAsia="仿宋_GB2312"/>
                <w:color w:val="000000"/>
              </w:rPr>
              <w:t>2、保险公司每年应当制定具体的学习、培训计划，定期邀请相关专家对全院职工进行医疗纠纷的预防及应对进行培训，减少医疗纠纷的发生。</w:t>
            </w:r>
          </w:p>
          <w:p>
            <w:pPr>
              <w:pStyle w:val="null3"/>
              <w:ind w:firstLine="200"/>
            </w:pPr>
            <w:r>
              <w:rPr>
                <w:rFonts w:ascii="仿宋_GB2312" w:hAnsi="仿宋_GB2312" w:cs="仿宋_GB2312" w:eastAsia="仿宋_GB2312"/>
                <w:color w:val="000000"/>
              </w:rPr>
              <w:t>3、在纠纷处理过程中，应当积极参与，做好患方、医方、医调委以及保险公司之间的沟通协调工作，同时对于纠纷的处理情况以及处理结果不得私自对外公开。</w:t>
            </w:r>
          </w:p>
          <w:p>
            <w:pPr>
              <w:pStyle w:val="null3"/>
              <w:ind w:firstLine="200"/>
            </w:pPr>
            <w:r>
              <w:rPr>
                <w:rFonts w:ascii="仿宋_GB2312" w:hAnsi="仿宋_GB2312" w:cs="仿宋_GB2312" w:eastAsia="仿宋_GB2312"/>
                <w:color w:val="000000"/>
              </w:rPr>
              <w:t>4、在医疗纠纷处理过程中需要进行尸检的，保险公司应当协助医疗机构联系尸检鉴定机构，并配合医院完成尸检相关事宜。</w:t>
            </w:r>
          </w:p>
          <w:p>
            <w:pPr>
              <w:pStyle w:val="null3"/>
              <w:ind w:firstLine="200"/>
            </w:pPr>
            <w:r>
              <w:rPr>
                <w:rFonts w:ascii="仿宋_GB2312" w:hAnsi="仿宋_GB2312" w:cs="仿宋_GB2312" w:eastAsia="仿宋_GB2312"/>
                <w:color w:val="000000"/>
              </w:rPr>
              <w:t>5.保险公司需同汉中市区域内的医疗纠纷调解机构有相应的协作关系，确保纠纷发生后能及时引导患方通过第三方调解处理。</w:t>
            </w:r>
          </w:p>
          <w:p>
            <w:pPr>
              <w:pStyle w:val="null3"/>
              <w:ind w:firstLine="201"/>
            </w:pPr>
            <w:r>
              <w:rPr>
                <w:rFonts w:ascii="仿宋_GB2312" w:hAnsi="仿宋_GB2312" w:cs="仿宋_GB2312" w:eastAsia="仿宋_GB2312"/>
                <w:b/>
                <w:color w:val="000000"/>
              </w:rPr>
              <w:t>六、保险人数及数额要求</w:t>
            </w:r>
          </w:p>
          <w:p>
            <w:pPr>
              <w:pStyle w:val="null3"/>
              <w:ind w:firstLine="2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医院目前</w:t>
            </w:r>
            <w:r>
              <w:rPr>
                <w:rFonts w:ascii="仿宋_GB2312" w:hAnsi="仿宋_GB2312" w:cs="仿宋_GB2312" w:eastAsia="仿宋_GB2312"/>
                <w:sz w:val="20"/>
                <w:color w:val="000000"/>
              </w:rPr>
              <w:t>，床位数：</w:t>
            </w:r>
            <w:r>
              <w:rPr>
                <w:rFonts w:ascii="仿宋_GB2312" w:hAnsi="仿宋_GB2312" w:cs="仿宋_GB2312" w:eastAsia="仿宋_GB2312"/>
                <w:sz w:val="20"/>
                <w:color w:val="000000"/>
              </w:rPr>
              <w:t>500，</w:t>
            </w:r>
            <w:r>
              <w:rPr>
                <w:rFonts w:ascii="仿宋_GB2312" w:hAnsi="仿宋_GB2312" w:cs="仿宋_GB2312" w:eastAsia="仿宋_GB2312"/>
                <w:sz w:val="20"/>
                <w:color w:val="000000"/>
              </w:rPr>
              <w:t>卫生技术人员：</w:t>
            </w:r>
            <w:r>
              <w:rPr>
                <w:rFonts w:ascii="仿宋_GB2312" w:hAnsi="仿宋_GB2312" w:cs="仿宋_GB2312" w:eastAsia="仿宋_GB2312"/>
                <w:sz w:val="20"/>
                <w:color w:val="000000"/>
              </w:rPr>
              <w:t>481人，其中医生：167人，医技：50人，护士：2</w:t>
            </w:r>
            <w:r>
              <w:rPr>
                <w:rFonts w:ascii="仿宋_GB2312" w:hAnsi="仿宋_GB2312" w:cs="仿宋_GB2312" w:eastAsia="仿宋_GB2312"/>
                <w:sz w:val="20"/>
                <w:color w:val="000000"/>
              </w:rPr>
              <w:t>64人。</w:t>
            </w:r>
          </w:p>
          <w:p>
            <w:pPr>
              <w:pStyle w:val="null3"/>
              <w:ind w:firstLine="2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2024年医院出院人次为：17475，手术人次：3394。</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自合同签订之日起一年。本项目采取一次招标三年沿用、实行一年一考核一签合同的办法，合同期满前一个月，医院主管部门将根据所提供服务的总体考核情况，决定是否续签后一年度合同。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①按国家现行项目实施规范和合同规定的验收标准等要求进行验收。 ②验收依据包含但不限于：本项目采购文件、响应文件；本合同及附件文本；合同履行时国家及行业现行的标准和技术规范。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签订合同后，出具一年期保单，保单生效后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一年服务期结束后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1.乙方应按合同约定时间完成各阶段合同义务，若发生延迟，乙方应向甲方支付合同总价款10%的违约金，且甲方有权单方解除本合同。但甲方书面同意延迟或因甲方原因导致延迟的，乙方不承担违约责任。 2.本次活动因乙方原因导致侵害甲方或第三方合法权益的，应由乙方承担相应赔偿责任，并向甲方支付合同总价款10%的违约金。 3.若乙方未经甲方同意泄露本合同约定的任何秘密信息的，乙方应按照合同总价款的10%向甲方支付违约金，并赔偿因此给甲方造成的损失。 4.乙方保证向甲方开具发票的真实性、合法性，若乙方向甲方开具的发票存在真实性、合法性问题，给甲方造成损失的，乙方应按合同总价款的10%向甲方支付违约金，违约金不足以弥补损失的，乙方还应承担相应赔偿责任。 二、解决争议的方法：执行本合同过程中发生争议，应友好协商解决，协商不成的，可协商或由有关部门调解解决，协商或调解不成的，可向采购方所在地汉中市仲裁委员会提起诉讼。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1.特别注意:为顺利推进政府采购电子化交易平台应用工作，供应商需要在线提交所有通过电子化交易平台实施的政府采购项目的磋商响应文件。 2.成交供应商在采购结果发布后3个工作日内向代理机构提交纸质版响应文件以便于存档，响应文件正本1份，副本2份，电子版文件2份（以U盘为载体，电子版内容包括Word版本、签字盖章扫描后的PDF版本响应文件）。纸质响应文件均须A4纸打印，分别各自装订成册并编制目录和页码。线下递交响应文件地点：汉中市汉台区西一环路蓝天御苑小区商铺二层门面房南侧。 3.如磋商文件中融资相关内容与新政策要求有出入，按照最新要求执行。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 《汉中市政府采购供应商资格承诺函》并进行电子签章。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供应商资格要求</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供应商应授权合法的人员参加本项目磋商活动全过程</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供应商须具有保险监督管理部门颁发的《经营保险业务许可证》或《保险许可证》。</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单位负责人为同一人或者存在直接控股、管理关系的不同供应商，不得同时参加本次采购活动。</w:t>
            </w:r>
          </w:p>
        </w:tc>
        <w:tc>
          <w:tcPr>
            <w:tcW w:type="dxa" w:w="3322"/>
          </w:tcPr>
          <w:p>
            <w:pPr>
              <w:pStyle w:val="null3"/>
            </w:pPr>
            <w:r>
              <w:rPr>
                <w:rFonts w:ascii="仿宋_GB2312" w:hAnsi="仿宋_GB2312" w:cs="仿宋_GB2312" w:eastAsia="仿宋_GB2312"/>
              </w:rPr>
              <w:t>提供承诺函。</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符合竞争性磋商文件内要求。</w:t>
            </w:r>
          </w:p>
        </w:tc>
        <w:tc>
          <w:tcPr>
            <w:tcW w:type="dxa" w:w="1661"/>
          </w:tcPr>
          <w:p>
            <w:pPr>
              <w:pStyle w:val="null3"/>
            </w:pPr>
            <w:r>
              <w:rPr>
                <w:rFonts w:ascii="仿宋_GB2312" w:hAnsi="仿宋_GB2312" w:cs="仿宋_GB2312" w:eastAsia="仿宋_GB2312"/>
              </w:rPr>
              <w:t>响应文件封面 分项报价表 中小企业声明函 残疾人福利性单位声明函 标的清单 供应商应提交的相关资格证明材料 报价表 其他材料及供应商认为有必要说明、阐述的事项 总服务方案等 响应函 磋商项目技术、服务、商务及其他要求应答表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签字及盖章</w:t>
            </w:r>
          </w:p>
        </w:tc>
        <w:tc>
          <w:tcPr>
            <w:tcW w:type="dxa" w:w="3322"/>
          </w:tcPr>
          <w:p>
            <w:pPr>
              <w:pStyle w:val="null3"/>
            </w:pPr>
            <w:r>
              <w:rPr>
                <w:rFonts w:ascii="仿宋_GB2312" w:hAnsi="仿宋_GB2312" w:cs="仿宋_GB2312" w:eastAsia="仿宋_GB2312"/>
              </w:rPr>
              <w:t>符合竞争性磋商文件中给出的格式要求。</w:t>
            </w:r>
          </w:p>
        </w:tc>
        <w:tc>
          <w:tcPr>
            <w:tcW w:type="dxa" w:w="1661"/>
          </w:tcPr>
          <w:p>
            <w:pPr>
              <w:pStyle w:val="null3"/>
            </w:pPr>
            <w:r>
              <w:rPr>
                <w:rFonts w:ascii="仿宋_GB2312" w:hAnsi="仿宋_GB2312" w:cs="仿宋_GB2312" w:eastAsia="仿宋_GB2312"/>
              </w:rPr>
              <w:t>响应文件封面 分项报价表 中小企业声明函 残疾人福利性单位声明函 标的清单 供应商应提交的相关资格证明材料 报价表 其他材料及供应商认为有必要说明、阐述的事项 总服务方案等 响应函 磋商项目技术、服务、商务及其他要求应答表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磋商项目技术、服务、商务及其他要求应答表</w:t>
            </w:r>
          </w:p>
        </w:tc>
        <w:tc>
          <w:tcPr>
            <w:tcW w:type="dxa" w:w="3322"/>
          </w:tcPr>
          <w:p>
            <w:pPr>
              <w:pStyle w:val="null3"/>
            </w:pPr>
            <w:r>
              <w:rPr>
                <w:rFonts w:ascii="仿宋_GB2312" w:hAnsi="仿宋_GB2312" w:cs="仿宋_GB2312" w:eastAsia="仿宋_GB2312"/>
              </w:rPr>
              <w:t>符合竞争性磋商文件中给出的格式填写要求。</w:t>
            </w:r>
          </w:p>
        </w:tc>
        <w:tc>
          <w:tcPr>
            <w:tcW w:type="dxa" w:w="1661"/>
          </w:tcPr>
          <w:p>
            <w:pPr>
              <w:pStyle w:val="null3"/>
            </w:pPr>
            <w:r>
              <w:rPr>
                <w:rFonts w:ascii="仿宋_GB2312" w:hAnsi="仿宋_GB2312" w:cs="仿宋_GB2312" w:eastAsia="仿宋_GB2312"/>
              </w:rPr>
              <w:t>响应文件封面 磋商项目技术、服务、商务及其他要求应答表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医疗责任险服务方案</w:t>
            </w:r>
          </w:p>
        </w:tc>
        <w:tc>
          <w:tcPr>
            <w:tcW w:type="dxa" w:w="2492"/>
          </w:tcPr>
          <w:p>
            <w:pPr>
              <w:pStyle w:val="null3"/>
            </w:pPr>
            <w:r>
              <w:rPr>
                <w:rFonts w:ascii="仿宋_GB2312" w:hAnsi="仿宋_GB2312" w:cs="仿宋_GB2312" w:eastAsia="仿宋_GB2312"/>
              </w:rPr>
              <w:t>一、评审内容:针对本项目提供详细的医疗责任险服务方案包括：①保险责任；②赔偿范围；③保险内容和保险金额；④服务流程；⑤风险管理。二、评审标准： （1）完整性：对上述各项内容均有描述，得5分；每缺1项扣1分，扣完为止。（2）针对性：上述各项内容针对性强，每项内容得2分；针对性一般，每项内容得1分；缺乏针对性，每项内容得0分。（3）可实施性：上述各项内容可实施性强，每项内容得2分；可实施性一般，每项内容得1分；缺乏可实施性，每项内容得0分。 此项不提供不得分。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总服务方案等</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一、评审内容：针对本项目提供详细的保障措施包括：①质量保障措施；②进度保障措施；③理赔保障措施。 二、评审标准：（1）完整性：对上述各项内容均有描述，得3分；每缺1项扣1分，扣完为止。（2）针对性：上述各项内容针对性强，每项内容得1分；针对性一般，每项内容得0.5分；缺乏针对性，每项内容得0分。（3）可实施性：上述各项内容可实施性强，每项内容得1分；可实施性一般，每项内容得0.5分；缺乏可实施性，每项内容得0分。 此项不提供不得分。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总服务方案等</w:t>
            </w:r>
          </w:p>
        </w:tc>
      </w:tr>
      <w:tr>
        <w:tc>
          <w:tcPr>
            <w:tcW w:type="dxa" w:w="831"/>
            <w:vMerge/>
          </w:tcPr>
          <w:p/>
        </w:tc>
        <w:tc>
          <w:tcPr>
            <w:tcW w:type="dxa" w:w="1661"/>
          </w:tcPr>
          <w:p>
            <w:pPr>
              <w:pStyle w:val="null3"/>
            </w:pPr>
            <w:r>
              <w:rPr>
                <w:rFonts w:ascii="仿宋_GB2312" w:hAnsi="仿宋_GB2312" w:cs="仿宋_GB2312" w:eastAsia="仿宋_GB2312"/>
              </w:rPr>
              <w:t>重难点分析及控制措施</w:t>
            </w:r>
          </w:p>
        </w:tc>
        <w:tc>
          <w:tcPr>
            <w:tcW w:type="dxa" w:w="2492"/>
          </w:tcPr>
          <w:p>
            <w:pPr>
              <w:pStyle w:val="null3"/>
            </w:pPr>
            <w:r>
              <w:rPr>
                <w:rFonts w:ascii="仿宋_GB2312" w:hAnsi="仿宋_GB2312" w:cs="仿宋_GB2312" w:eastAsia="仿宋_GB2312"/>
              </w:rPr>
              <w:t>一、评审内容：针对本项目提供详细的重难点分析及控制措施包括：①保险理赔服务绿色通道；②个别特殊（重大）理赔服务措施；③预防机制措施等内容。二、评审标准：（1）完整性：对上述各项内容均有描述，得3分；每缺1项扣1分，扣完为止。（2）针对性：上述各项内容针对性强，每项内容得1分；针对性一般，每项内容得0.5分；缺乏针对性，每项内容得0分。（3）可实施性：上述各项内容可实施性强，每项内容得1分；可实施性一般，每项内容得0.5分；缺乏可实施性，每项内容得0分。 此项不提供不得分。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总服务方案等</w:t>
            </w:r>
          </w:p>
        </w:tc>
      </w:tr>
      <w:tr>
        <w:tc>
          <w:tcPr>
            <w:tcW w:type="dxa" w:w="831"/>
            <w:vMerge/>
          </w:tcPr>
          <w:p/>
        </w:tc>
        <w:tc>
          <w:tcPr>
            <w:tcW w:type="dxa" w:w="1661"/>
          </w:tcPr>
          <w:p>
            <w:pPr>
              <w:pStyle w:val="null3"/>
            </w:pPr>
            <w:r>
              <w:rPr>
                <w:rFonts w:ascii="仿宋_GB2312" w:hAnsi="仿宋_GB2312" w:cs="仿宋_GB2312" w:eastAsia="仿宋_GB2312"/>
              </w:rPr>
              <w:t>法律费用赔偿方案</w:t>
            </w:r>
          </w:p>
        </w:tc>
        <w:tc>
          <w:tcPr>
            <w:tcW w:type="dxa" w:w="2492"/>
          </w:tcPr>
          <w:p>
            <w:pPr>
              <w:pStyle w:val="null3"/>
            </w:pPr>
            <w:r>
              <w:rPr>
                <w:rFonts w:ascii="仿宋_GB2312" w:hAnsi="仿宋_GB2312" w:cs="仿宋_GB2312" w:eastAsia="仿宋_GB2312"/>
              </w:rPr>
              <w:t>一、评审内容:针对本项目提供详细的法律费用赔偿方案包括：①诉讼费；②鉴定费；③律师费。二、评审标准： （1）完整性：对上述各项内容均有描述，得3分；每缺1项扣1分，扣完为止。（2）针对性：上述各项内容针对性强，每项内容得1分；针对性一般，每项内容得0.5分；缺乏针对性，每项内容得0分。（3）可实施性：上述各项内容可实施性强，每项内容得1分；可实施性一般，每项内容得0.5分；缺乏可实施性，每项内容得0分。 此项不提供不得分。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总服务方案等</w:t>
            </w:r>
          </w:p>
        </w:tc>
      </w:tr>
      <w:tr>
        <w:tc>
          <w:tcPr>
            <w:tcW w:type="dxa" w:w="831"/>
            <w:vMerge/>
          </w:tcPr>
          <w:p/>
        </w:tc>
        <w:tc>
          <w:tcPr>
            <w:tcW w:type="dxa" w:w="1661"/>
          </w:tcPr>
          <w:p>
            <w:pPr>
              <w:pStyle w:val="null3"/>
            </w:pPr>
            <w:r>
              <w:rPr>
                <w:rFonts w:ascii="仿宋_GB2312" w:hAnsi="仿宋_GB2312" w:cs="仿宋_GB2312" w:eastAsia="仿宋_GB2312"/>
              </w:rPr>
              <w:t>人员配备及培训方案</w:t>
            </w:r>
          </w:p>
        </w:tc>
        <w:tc>
          <w:tcPr>
            <w:tcW w:type="dxa" w:w="2492"/>
          </w:tcPr>
          <w:p>
            <w:pPr>
              <w:pStyle w:val="null3"/>
            </w:pPr>
            <w:r>
              <w:rPr>
                <w:rFonts w:ascii="仿宋_GB2312" w:hAnsi="仿宋_GB2312" w:cs="仿宋_GB2312" w:eastAsia="仿宋_GB2312"/>
              </w:rPr>
              <w:t>一、评审内容：针对本项目提供专业服务团队及定期组织团队进行专业化培训包括：①人员配备数量；②人员岗位安排；③培训方式；④培训内容。二、评审标准：（1）完整性：对上述各项内容均有描述，得4分；每缺1项扣1分，扣完为止。（2）针对性：上述各项内容针对性强，每项内容得1分；针对性一般，每项内容得0.5分；缺乏针对性，每项内容得0分。（3）可实施性：上述各项内容可实施性强，每项内容得1分；可实施性一般，每项内容得0.5分；缺乏可实施性，每项内容得0分。 此项不提供不得分。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总服务方案等</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一、评审内容：针对本项目制定详细的售后服务方案包括：①营业服务场所地点；②及时到场响应；③售后承诺。 二、评审标准：（1）完整性：对上述各项内容均有描述，得3分；每缺1项扣1分，扣完为止。（2）针对性：上述各项内容针对性强，每项内容得1.5分；针对性一般，每项内容得1分；缺乏针对性，每项内容得0分。（3）可实施性：上述各项内容可实施性强，每项内容得1.5分；可实施性一般，每项内容得1分；缺乏可实施性，每项内容得0分。 此项不提供不得分。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总服务方案等</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1日至今同类项目业绩，每份计2分，满分4分。无此项内容不得分。（注：业绩证明材料以中标（成交）通知书或合同协议书为准，响应文件中附中标（成交）通知书或合同协议书复印件并加盖企业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总服务方案等</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1、上限为采购预算价，即报价大于上限价视为无效响应；2、以满足本次磋商文件要求的最低报价为评审基准价，其价格为满分； 3、报价得分=（评审基准价/最终报价）×20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详见附件：磋商项目技术、服务、商务及其他要求应答表</w:t>
      </w:r>
    </w:p>
    <w:p>
      <w:pPr>
        <w:pStyle w:val="null3"/>
        <w:ind w:firstLine="960"/>
      </w:pPr>
      <w:r>
        <w:rPr>
          <w:rFonts w:ascii="仿宋_GB2312" w:hAnsi="仿宋_GB2312" w:cs="仿宋_GB2312" w:eastAsia="仿宋_GB2312"/>
        </w:rPr>
        <w:t>详见附件：总服务方案等</w:t>
      </w:r>
    </w:p>
    <w:p>
      <w:pPr>
        <w:pStyle w:val="null3"/>
        <w:ind w:firstLine="960"/>
      </w:pPr>
      <w:r>
        <w:rPr>
          <w:rFonts w:ascii="仿宋_GB2312" w:hAnsi="仿宋_GB2312" w:cs="仿宋_GB2312" w:eastAsia="仿宋_GB2312"/>
        </w:rPr>
        <w:t>详见附件：其他材料及供应商认为有必要说明、阐述的事项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