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版本号：ZCSP-汉中市-2025-0032220251224001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汉江源头流域（南郑区冷水河段）水污染治理项目工程监理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ZCSP-汉中市-2025-00322</w:t>
      </w:r>
      <w:r>
        <w:br/>
      </w:r>
      <w:r>
        <w:br/>
      </w:r>
      <w:r>
        <w:br/>
      </w:r>
    </w:p>
    <w:p>
      <w:pPr>
        <w:pStyle w:val="null3"/>
        <w:jc w:val="center"/>
        <w:outlineLvl w:val="2"/>
      </w:pPr>
      <w:r>
        <w:rPr>
          <w:rFonts w:ascii="仿宋_GB2312" w:hAnsi="仿宋_GB2312" w:cs="仿宋_GB2312" w:eastAsia="仿宋_GB2312"/>
          <w:sz w:val="28"/>
          <w:b/>
        </w:rPr>
        <w:t>汉中市生态环境局南郑分局</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汉中市生态环境局南郑分局</w:t>
      </w:r>
      <w:r>
        <w:rPr>
          <w:rFonts w:ascii="仿宋_GB2312" w:hAnsi="仿宋_GB2312" w:cs="仿宋_GB2312" w:eastAsia="仿宋_GB2312"/>
        </w:rPr>
        <w:t>委托，拟对</w:t>
      </w:r>
      <w:r>
        <w:rPr>
          <w:rFonts w:ascii="仿宋_GB2312" w:hAnsi="仿宋_GB2312" w:cs="仿宋_GB2312" w:eastAsia="仿宋_GB2312"/>
        </w:rPr>
        <w:t>汉江源头流域（南郑区冷水河段）水污染治理项目工程监理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ZCSP-汉中市-2025-00322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汉江源头流域（南郑区冷水河段）水污染治理项目工程监理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本项目进行全过程监理服务，包括实施过程的监督、验收阶段监理及竣工验收资料移交的监理等相关工作。该项目建设内容为：该项目主要在牟家坝镇新建30m³/d污水资源化利用设施2座，配套建设污水收集管网12100米，在小南海镇、胡家营镇建设污水收集管网47400米，配套建设相关附属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采购包1（汉江源头流域（南郑区冷水河段）水污染治理项目工程监理）：属于专门面向小微企业采购。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资质要求：供应商须具备建设行政主管部门核发的市政公用工程监理乙级及以上资质或工程监理综合资质；项目总监须具备市政公用工程专业国家注册监理工程师执业资格，在本单位注册，且未担任其他在建工程项目的总监理工程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陕西省汉中市南郑区汉山街道办水井巷4号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0916-5515502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陕西省汉中市南郑区大河坎镇电商产业园3号馆3-3室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0916-5309066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开户名称：中轩项目管理有限公司汉中分公司</w:t>
            </w:r>
          </w:p>
          <w:p>
            <w:pPr>
              <w:pStyle w:val="null3"/>
            </w:pPr>
            <w:r>
              <w:rPr>
                <w:rFonts w:ascii="仿宋_GB2312" w:hAnsi="仿宋_GB2312" w:cs="仿宋_GB2312" w:eastAsia="仿宋_GB2312"/>
              </w:rPr>
              <w:t>开户银行：交通银行汉中分行营业部</w:t>
            </w:r>
          </w:p>
          <w:p>
            <w:pPr>
              <w:pStyle w:val="null3"/>
            </w:pPr>
            <w:r>
              <w:rPr>
                <w:rFonts w:ascii="仿宋_GB2312" w:hAnsi="仿宋_GB2312" w:cs="仿宋_GB2312" w:eastAsia="仿宋_GB2312"/>
              </w:rPr>
              <w:t>银行账号：617899991010003106857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代理服务费收费标准：依据国家计委计价格[2002]1980号文件执行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汉中市生态环境局南郑分局</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联系电话：0916-5309066</w:t>
      </w:r>
    </w:p>
    <w:p>
      <w:pPr>
        <w:pStyle w:val="null3"/>
      </w:pPr>
      <w:r>
        <w:rPr>
          <w:rFonts w:ascii="仿宋_GB2312" w:hAnsi="仿宋_GB2312" w:cs="仿宋_GB2312" w:eastAsia="仿宋_GB2312"/>
        </w:rPr>
        <w:t>地址：陕西省汉中市南郑区大河坎镇电商产业园3号馆3-3室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本项目进行全过程监理服务，包括实施过程的监督、验收阶段监理及竣工验收资料移交的监理等相关工作。该项目建设内容为：该项目主要在牟家坝镇新建30m³/d污水资源化利用设施2座，配套建设污水收集管网12100米，在小南海镇、胡家营镇建设污水收集管网47400米，配套建设相关附属设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333333"/>
              </w:rPr>
              <w:t>项目概况</w:t>
            </w:r>
          </w:p>
          <w:p>
            <w:pPr>
              <w:pStyle w:val="null3"/>
              <w:ind w:firstLine="480"/>
              <w:jc w:val="both"/>
            </w:pPr>
            <w:r>
              <w:rPr>
                <w:rFonts w:ascii="仿宋_GB2312" w:hAnsi="仿宋_GB2312" w:cs="仿宋_GB2312" w:eastAsia="仿宋_GB2312"/>
                <w:sz w:val="21"/>
                <w:color w:val="333333"/>
              </w:rPr>
              <w:t>1、建设地点：项目建设地址位于位于南郑区濂水镇、黄官镇、红庙镇。</w:t>
            </w:r>
          </w:p>
          <w:p>
            <w:pPr>
              <w:pStyle w:val="null3"/>
              <w:ind w:firstLine="480"/>
              <w:jc w:val="both"/>
            </w:pPr>
            <w:r>
              <w:rPr>
                <w:rFonts w:ascii="仿宋_GB2312" w:hAnsi="仿宋_GB2312" w:cs="仿宋_GB2312" w:eastAsia="仿宋_GB2312"/>
                <w:sz w:val="21"/>
                <w:color w:val="333333"/>
              </w:rPr>
              <w:t>2、建设规模：该项目主要在牟家坝镇新建30m³/d污水资源化利用设施2座，配套建设污水收集管网12100米，在小南海镇、胡家营镇建设污水收集管网47400米，配套建设相关附属设施。</w:t>
            </w:r>
          </w:p>
          <w:p>
            <w:pPr>
              <w:pStyle w:val="null3"/>
              <w:ind w:firstLine="480"/>
              <w:jc w:val="both"/>
            </w:pPr>
            <w:r>
              <w:rPr>
                <w:rFonts w:ascii="仿宋_GB2312" w:hAnsi="仿宋_GB2312" w:cs="仿宋_GB2312" w:eastAsia="仿宋_GB2312"/>
                <w:sz w:val="21"/>
                <w:color w:val="333333"/>
              </w:rPr>
              <w:t>3、监理范围：拟对汉江源头流域(南郑区濂水河上游段)水污染治理项目开展施工阶段全过程监理服务，对项目实施过程进行监督、验收阶段监理及竣工验收资料移交的监理等相关工作。</w:t>
            </w:r>
          </w:p>
          <w:p>
            <w:pPr>
              <w:pStyle w:val="null3"/>
              <w:ind w:firstLine="480"/>
              <w:jc w:val="both"/>
            </w:pPr>
            <w:r>
              <w:rPr>
                <w:rFonts w:ascii="仿宋_GB2312" w:hAnsi="仿宋_GB2312" w:cs="仿宋_GB2312" w:eastAsia="仿宋_GB2312"/>
                <w:sz w:val="21"/>
                <w:color w:val="333333"/>
              </w:rPr>
              <w:t>4、监理内容：</w:t>
            </w:r>
          </w:p>
          <w:p>
            <w:pPr>
              <w:pStyle w:val="null3"/>
              <w:ind w:firstLine="480"/>
              <w:jc w:val="both"/>
            </w:pPr>
            <w:r>
              <w:rPr>
                <w:rFonts w:ascii="仿宋_GB2312" w:hAnsi="仿宋_GB2312" w:cs="仿宋_GB2312" w:eastAsia="仿宋_GB2312"/>
                <w:sz w:val="21"/>
                <w:color w:val="333333"/>
              </w:rPr>
              <w:t>（</w:t>
            </w:r>
            <w:r>
              <w:rPr>
                <w:rFonts w:ascii="仿宋_GB2312" w:hAnsi="仿宋_GB2312" w:cs="仿宋_GB2312" w:eastAsia="仿宋_GB2312"/>
                <w:sz w:val="21"/>
                <w:color w:val="333333"/>
              </w:rPr>
              <w:t>1）质量控制：必须严格依照国家有关规定，检查施工单位所施工的项目是否符合预定的质量要求，而且整个监理工作中应强调对工程质量的事前控制、事中监管和事后评估。</w:t>
            </w:r>
          </w:p>
          <w:p>
            <w:pPr>
              <w:pStyle w:val="null3"/>
              <w:ind w:firstLine="480"/>
              <w:jc w:val="both"/>
            </w:pPr>
            <w:r>
              <w:rPr>
                <w:rFonts w:ascii="仿宋_GB2312" w:hAnsi="仿宋_GB2312" w:cs="仿宋_GB2312" w:eastAsia="仿宋_GB2312"/>
                <w:sz w:val="21"/>
                <w:color w:val="333333"/>
              </w:rPr>
              <w:t>（</w:t>
            </w:r>
            <w:r>
              <w:rPr>
                <w:rFonts w:ascii="仿宋_GB2312" w:hAnsi="仿宋_GB2312" w:cs="仿宋_GB2312" w:eastAsia="仿宋_GB2312"/>
                <w:sz w:val="21"/>
                <w:color w:val="333333"/>
              </w:rPr>
              <w:t>2）进度控制：在工程实施过程中，监理工程师严格按照招标文件、合同、施工进度计划的要求，对施工进度进行跟进，确保整体施工有序进行。确保工程开、竣工时间进度计划按时完成。</w:t>
            </w:r>
          </w:p>
          <w:p>
            <w:pPr>
              <w:pStyle w:val="null3"/>
              <w:ind w:firstLine="480"/>
              <w:jc w:val="both"/>
            </w:pPr>
            <w:r>
              <w:rPr>
                <w:rFonts w:ascii="仿宋_GB2312" w:hAnsi="仿宋_GB2312" w:cs="仿宋_GB2312" w:eastAsia="仿宋_GB2312"/>
                <w:sz w:val="21"/>
                <w:color w:val="333333"/>
              </w:rPr>
              <w:t>（</w:t>
            </w:r>
            <w:r>
              <w:rPr>
                <w:rFonts w:ascii="仿宋_GB2312" w:hAnsi="仿宋_GB2312" w:cs="仿宋_GB2312" w:eastAsia="仿宋_GB2312"/>
                <w:sz w:val="21"/>
                <w:color w:val="333333"/>
              </w:rPr>
              <w:t>3）安全目标：不发生人身安全事故；不发生较大机械设备损坏事故；不发生较大火灾事故；不发生负主要责任的较大交通事故；不发生因工程项目建设而造成的电网停电事故,不发生重大环境污染事故。</w:t>
            </w:r>
          </w:p>
          <w:p>
            <w:pPr>
              <w:pStyle w:val="null3"/>
              <w:ind w:firstLine="480"/>
              <w:jc w:val="both"/>
            </w:pPr>
            <w:r>
              <w:rPr>
                <w:rFonts w:ascii="仿宋_GB2312" w:hAnsi="仿宋_GB2312" w:cs="仿宋_GB2312" w:eastAsia="仿宋_GB2312"/>
                <w:sz w:val="21"/>
                <w:color w:val="333333"/>
              </w:rPr>
              <w:t>工程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p>
          <w:p>
            <w:pPr>
              <w:pStyle w:val="null3"/>
              <w:ind w:firstLine="480"/>
              <w:jc w:val="both"/>
            </w:pPr>
            <w:r>
              <w:rPr>
                <w:rFonts w:ascii="仿宋_GB2312" w:hAnsi="仿宋_GB2312" w:cs="仿宋_GB2312" w:eastAsia="仿宋_GB2312"/>
                <w:sz w:val="21"/>
                <w:color w:val="333333"/>
              </w:rPr>
              <w:t>（</w:t>
            </w:r>
            <w:r>
              <w:rPr>
                <w:rFonts w:ascii="仿宋_GB2312" w:hAnsi="仿宋_GB2312" w:cs="仿宋_GB2312" w:eastAsia="仿宋_GB2312"/>
                <w:sz w:val="21"/>
                <w:color w:val="333333"/>
              </w:rPr>
              <w:t>4）监理人员名单组成：要求项目至少有一名总监理工程师及三名以上监理人员全程跟进，其余人员可根据施工进度派驻合理人数，所有参与监理人员须持证上岗，项目实施过程中，不得更换监理人员。</w:t>
            </w:r>
          </w:p>
          <w:p>
            <w:pPr>
              <w:pStyle w:val="null3"/>
              <w:ind w:firstLine="480"/>
              <w:jc w:val="both"/>
            </w:pPr>
            <w:r>
              <w:rPr>
                <w:rFonts w:ascii="仿宋_GB2312" w:hAnsi="仿宋_GB2312" w:cs="仿宋_GB2312" w:eastAsia="仿宋_GB2312"/>
                <w:sz w:val="21"/>
                <w:color w:val="333333"/>
              </w:rPr>
              <w:t>（</w:t>
            </w:r>
            <w:r>
              <w:rPr>
                <w:rFonts w:ascii="仿宋_GB2312" w:hAnsi="仿宋_GB2312" w:cs="仿宋_GB2312" w:eastAsia="仿宋_GB2312"/>
                <w:sz w:val="21"/>
                <w:color w:val="333333"/>
              </w:rPr>
              <w:t>5）所有程序必须符合国家相关监理规定和国家工程质量验收合格标准。</w:t>
            </w:r>
          </w:p>
          <w:p>
            <w:pPr>
              <w:pStyle w:val="null3"/>
              <w:ind w:firstLine="480"/>
              <w:jc w:val="both"/>
            </w:pPr>
            <w:r>
              <w:rPr>
                <w:rFonts w:ascii="仿宋_GB2312" w:hAnsi="仿宋_GB2312" w:cs="仿宋_GB2312" w:eastAsia="仿宋_GB2312"/>
                <w:sz w:val="21"/>
                <w:color w:val="333333"/>
              </w:rPr>
              <w:t>5、技术标准：</w:t>
            </w:r>
          </w:p>
          <w:p>
            <w:pPr>
              <w:pStyle w:val="null3"/>
              <w:ind w:firstLine="480"/>
              <w:jc w:val="both"/>
            </w:pPr>
            <w:r>
              <w:rPr>
                <w:rFonts w:ascii="仿宋_GB2312" w:hAnsi="仿宋_GB2312" w:cs="仿宋_GB2312" w:eastAsia="仿宋_GB2312"/>
                <w:sz w:val="21"/>
                <w:color w:val="333333"/>
              </w:rPr>
              <w:t>工程监理标准应执行国家最新频布的《建设工程监理规范》及省、市或行业的相关规定。工程质量要求应达到国家质量检验与评定标准合格质量等级，具体以采购人与供应商签订的合同为准</w:t>
            </w:r>
          </w:p>
          <w:p>
            <w:pPr>
              <w:pStyle w:val="null3"/>
              <w:ind w:firstLine="480"/>
              <w:jc w:val="both"/>
            </w:pPr>
            <w:r>
              <w:rPr>
                <w:rFonts w:ascii="仿宋_GB2312" w:hAnsi="仿宋_GB2312" w:cs="仿宋_GB2312" w:eastAsia="仿宋_GB2312"/>
                <w:sz w:val="21"/>
                <w:color w:val="333333"/>
              </w:rPr>
              <w:t>6、监理服务周期要求：</w:t>
            </w:r>
          </w:p>
          <w:p>
            <w:pPr>
              <w:pStyle w:val="null3"/>
            </w:pPr>
            <w:r>
              <w:rPr>
                <w:rFonts w:ascii="仿宋_GB2312" w:hAnsi="仿宋_GB2312" w:cs="仿宋_GB2312" w:eastAsia="仿宋_GB2312"/>
                <w:sz w:val="21"/>
                <w:color w:val="333333"/>
              </w:rPr>
              <w:t>180日历天(从工程施工之日起至竣工验收、资料归档备案、保修期满之日止)。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为保证本项目的顺利实施，响应供应商应满足国家相关法律法规要求，须保证所涉及本项目设备设施来源渠道合法，配置参数达到相应的标准要求的设备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项目建设地址位于位于南郑区小南海镇、牟家坝镇、湘水镇、大河坎镇、胡家营镇。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符合国家现行有关施工质量验收规范“合格”要求，满足合同约定和设计文件要求（如图纸、技术交底、变更单等）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监理进场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2、供应商领取成交通知书时，提交纸质响应文件正本壹份、副本壹份、电子版壹份（U盘壹份注明单位名称），内容和通过电子化交易平台实施的政府采购项目提交的响应文件一致。纸质响应文件正副本分别胶装（响应文件建议采用双面打印）。3、本项目所属行业为建筑业。4、乙方在项目实施过程中形成的所有原始资料、过程资料、最终成果及所涉知识产权归甲方所有，未经甲方书面同意，所有资料不得以任何方式、任何理由向第三方披露或提供，不得向任何人透露有关内容。5、服务标准达到国家及现行行业合格标准；成果交付根据委托人要求份数提供纸质及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市政公用工程监理乙级及以上资质或工程监理综合资质；项目总监须具备市政公用工程专业国家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响应文件签署、盖章均按招标文件要求签字、盖章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对本项目的服务特点提出总体的服务实施方案，内容包括：1、监理工作目标及监理依据；2、监理工作程序；3、质量控制目标及措施；4、进度控制目标及措施；5、投资控制目标及措施；6、合同与信息管理方案；7、现场组织和协调管理方案；8、安全文明控制措施；9、技术重点、难点监理控制措施；10、监理工作制度；1 1、监理资料的管理及保修阶段的服务工作；12、对本项目的合理化建议。二、评审标准：1、完整性：内容须全面，对评审内容中的各项要求详细描述；2、可实施性：切合本项目时间情况，实施步骤清晰、合理；3、针对性：内容能够紧扣项目实际情况，科学合理；三、赋分标准（满分54分）：1、每满足一个评审标准得1.5分，满分4.5分；针对评审标准内容不齐全、存在有不合理处的扣0.5分（12项内容评审标准相同）。</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一、评审内容：针对本项目特点有明确的组织架构，内容包括：①团队人员配置、组织机构管理制度及方案；②服务团队成员的工作职责及分工。二、评审标准：1、完整性：内容须全面，对评审内容中的各项要求详细描述；2、可实施性：切合本项目时间情况，实施步骤清晰、合理；3、针对性：内容能够紧扣项目实际情况，科学合理。三、赋分标准( 满分15分)：1、每满足一个评审标准得2.5分,满分7.5分；针对评审标准内容不齐全、存在有不合理处的扣0.5分(2项内容评审标准相同)。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后续服务承诺方案及相关保证措施，内容包括：①对服务的保证措施；②能够处理各类紧急事项的措施；③保证项目实施，能够保证在规定的时间解决问题。二、评审标准：1、完整性：内容须全面，对评审内容中的各项要求详细描述；2、可实施性：切合本项目时间情况，实施步骤清晰、合理；3、针对性：内容能够紧扣项目实际情况，科学合理。三、赋分标准(满分9分)：1、每满足一个评审标准得1分，满分3分；针对评审标准内容不齐全、存在有不合理处的扣0.5分(3项内容评审标准相同)</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提供2022年至今（以合同签订时间为准）类似项目业绩，每个业绩得2.5分，最高得5分。（提供合同或中标通知书扫描件加盖单位公章）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总监理工程师能力</w:t>
            </w:r>
          </w:p>
        </w:tc>
        <w:tc>
          <w:tcPr>
            <w:tcW w:type="dxa" w:w="2492"/>
          </w:tcPr>
          <w:p>
            <w:pPr>
              <w:pStyle w:val="null3"/>
            </w:pPr>
            <w:r>
              <w:rPr>
                <w:rFonts w:ascii="仿宋_GB2312" w:hAnsi="仿宋_GB2312" w:cs="仿宋_GB2312" w:eastAsia="仿宋_GB2312"/>
              </w:rPr>
              <w:t>1、总监理工程师具备工程类中级及以上职称得3分，其他不得分。（注:响应文件内附技术职称证）2、总监理工程师提供2022年至今（以合同签订时间为准）类似项目业绩，每个业绩得2分，最高得4分。（提供合同或中标通知书扫描件加盖单位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和经评审小组认定投标报价低于成本的，报价无效。满足招标文件要求且投标价格最低的投标报价为投标基准价。其他投标人的价格分统一按照下列公式计算：投标报价得分=（投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详见附件：建设工程监理合同（示范文本）.docx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