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版本号：GLD2025-122601Z20260106001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移动护理升级项目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GLD2025-122601Z</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陕西广联达招标有限公司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陕西广联达招标有限公司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移动护理升级项目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GLD2025-122601Z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移动护理升级项目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移动护理升级项目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采购包1（移动护理升级项目）：属于专门面向中小企业采购。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 ；</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供应商应具备《中华人民共和国政府采购法》第二十二条规定的条件：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0916-2682065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陕西广联达招标有限公司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陕西省西安市未央区西安经济技术开发区明光路 55 号天朗经开中心 6 层605室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15702908351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代理服务费收费标准：参照国家计委《招标代理服务收费管理暂行办法》(计价格〔2002〕1980号)及国家发展改革委《关于降低部分建设项目收费标准规范收费行为等有关问题的通知 》（发改价格[2011]534号）文件的规定向陕西广联达招标有限公司交纳招标服务费。名称：陕西广联达招标有限公司，开户行：中国银行股份有限公司西安万寿路支行， 账号：1028 4964 6773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陕西广联达招标有限公司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陕西广联达招标有限公司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陕西广联达招标有限公司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1.验收按照国家标准及行业标准要求执行； 2.成品软件完成部署实施，硬件全部交付采购人，由中标方提交验收申请后，采购人按照招标文件要求及投标文件的响应进行验收。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联系电话：15702908351</w:t>
      </w:r>
    </w:p>
    <w:p>
      <w:pPr>
        <w:pStyle w:val="null3"/>
      </w:pPr>
      <w:r>
        <w:rPr>
          <w:rFonts w:ascii="仿宋_GB2312" w:hAnsi="仿宋_GB2312" w:cs="仿宋_GB2312" w:eastAsia="仿宋_GB2312"/>
        </w:rPr>
        <w:t>地址：西安经济技术开发区明光路55号天朗经开中心6层605室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移动护理升级项目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移动护理升级</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标的名称：移动护理升级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rPr>
              <w:t>一、采购内容及要求</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1）项目背景与意义</w:t>
            </w:r>
          </w:p>
          <w:p>
            <w:pPr>
              <w:pStyle w:val="null3"/>
              <w:ind w:firstLine="480"/>
              <w:jc w:val="both"/>
            </w:pPr>
            <w:r>
              <w:rPr>
                <w:rFonts w:ascii="仿宋_GB2312" w:hAnsi="仿宋_GB2312" w:cs="仿宋_GB2312" w:eastAsia="仿宋_GB2312"/>
                <w:sz w:val="24"/>
              </w:rPr>
              <w:t>当前传统护理质控主要依赖纸质记录，存在数据滞后、易丢失及分析效率低下等问题；护理操作规范的执行缺乏实时监控，导致质控结果反馈周期长，难以实现闭环管理；此外，随着护理人员移动办公需求的增加，现有系统在临床场景中的适配性不足，制约了工作效率的提升。为响应国家关于推动公立医院高质量发展的政策《关于推动公立医院高质量发展的意见》以及国卫医政发﹝</w:t>
            </w:r>
            <w:r>
              <w:rPr>
                <w:rFonts w:ascii="仿宋_GB2312" w:hAnsi="仿宋_GB2312" w:cs="仿宋_GB2312" w:eastAsia="仿宋_GB2312"/>
                <w:sz w:val="24"/>
              </w:rPr>
              <w:t>2023﹞16号</w:t>
            </w:r>
            <w:r>
              <w:rPr>
                <w:rFonts w:ascii="仿宋_GB2312" w:hAnsi="仿宋_GB2312" w:cs="仿宋_GB2312" w:eastAsia="仿宋_GB2312"/>
                <w:sz w:val="21"/>
              </w:rPr>
              <w:t xml:space="preserve"> </w:t>
            </w:r>
            <w:r>
              <w:rPr>
                <w:rFonts w:ascii="仿宋_GB2312" w:hAnsi="仿宋_GB2312" w:cs="仿宋_GB2312" w:eastAsia="仿宋_GB2312"/>
                <w:sz w:val="24"/>
              </w:rPr>
              <w:t>《关于进一步改善护理服务行动计划（</w:t>
            </w:r>
            <w:r>
              <w:rPr>
                <w:rFonts w:ascii="仿宋_GB2312" w:hAnsi="仿宋_GB2312" w:cs="仿宋_GB2312" w:eastAsia="仿宋_GB2312"/>
                <w:sz w:val="24"/>
              </w:rPr>
              <w:t>2023-2025年）的通知》，我院积极推进护理服务的智慧化建设。目前，随着智慧护理项目全院推广，我院护理信息化水平显著提升，临床护理多端应用不断丰富，包括移动PDA设备、护理交互大屏等，有效提高了护士的工作效率。在管理方面，移动端应用广泛用于全院护士的培训、考试和满意度调查，为护士的多终端学习和考核提供了极大便利，推动了护理工作的数字化和智能化发展。</w:t>
            </w:r>
          </w:p>
          <w:p>
            <w:pPr>
              <w:pStyle w:val="null3"/>
              <w:ind w:firstLine="480"/>
              <w:jc w:val="both"/>
            </w:pPr>
            <w:r>
              <w:rPr>
                <w:rFonts w:ascii="仿宋_GB2312" w:hAnsi="仿宋_GB2312" w:cs="仿宋_GB2312" w:eastAsia="仿宋_GB2312"/>
                <w:sz w:val="24"/>
              </w:rPr>
              <w:t>在此背景下，申报采购护理管理端适配平板电脑软、硬件，以提供护理质控、护士长及护理部</w:t>
            </w:r>
            <w:r>
              <w:rPr>
                <w:rFonts w:ascii="仿宋_GB2312" w:hAnsi="仿宋_GB2312" w:cs="仿宋_GB2312" w:eastAsia="仿宋_GB2312"/>
                <w:sz w:val="24"/>
              </w:rPr>
              <w:t>PAD平板端应用。</w:t>
            </w:r>
          </w:p>
          <w:p>
            <w:pPr>
              <w:pStyle w:val="null3"/>
              <w:ind w:firstLine="480"/>
              <w:jc w:val="both"/>
            </w:pPr>
            <w:r>
              <w:rPr>
                <w:rFonts w:ascii="仿宋_GB2312" w:hAnsi="仿宋_GB2312" w:cs="仿宋_GB2312" w:eastAsia="仿宋_GB2312"/>
                <w:sz w:val="24"/>
              </w:rPr>
              <w:t>PAD平板端应用意义：1、能随时随地查看护理工作的实时状态，方便质控小组现场检查，进一步提高质控效率。2、在现场检查时能够即时录入检查结果、拍照记录问题、调取历史数据进行对比等，提升质控工作的即时性和准确性。3、护理部通过PAD平板端可以随时随地查看全院护理工作的实时状态，包括护理资源分配、人员排班等，便于快速响应突发情况，做出及时调整，为决策提供更加科学的依据，提升管理效率。</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2）采购清单</w:t>
            </w:r>
          </w:p>
          <w:tbl>
            <w:tblPr>
              <w:tblInd w:type="dxa" w:w="90"/>
              <w:tblBorders>
                <w:top w:val="none" w:color="000000" w:sz="4"/>
                <w:left w:val="none" w:color="000000" w:sz="4"/>
                <w:bottom w:val="none" w:color="000000" w:sz="4"/>
                <w:right w:val="none" w:color="000000" w:sz="4"/>
                <w:insideH w:val="none"/>
                <w:insideV w:val="none"/>
              </w:tblBorders>
            </w:tblPr>
            <w:tblGrid>
              <w:gridCol w:w="346"/>
              <w:gridCol w:w="1359"/>
              <w:gridCol w:w="860"/>
              <w:gridCol w:w="1256"/>
            </w:tblGrid>
            <w:tr>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货物名称</w:t>
                  </w:r>
                </w:p>
              </w:tc>
              <w:tc>
                <w:tcPr>
                  <w:tcW w:type="dxa" w:w="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交货期</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PAD端护理管理系统</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c>
                <w:tcPr>
                  <w:tcW w:type="dxa" w:w="12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合同签订后</w:t>
                  </w:r>
                  <w:r>
                    <w:rPr>
                      <w:rFonts w:ascii="仿宋_GB2312" w:hAnsi="仿宋_GB2312" w:cs="仿宋_GB2312" w:eastAsia="仿宋_GB2312"/>
                      <w:sz w:val="24"/>
                      <w:color w:val="000000"/>
                    </w:rPr>
                    <w:t>90天内完成安装、调试、验收并交付使用</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PAD设备</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70台</w:t>
                  </w:r>
                </w:p>
              </w:tc>
              <w:tc>
                <w:tcPr>
                  <w:tcW w:type="dxa" w:w="1256"/>
                  <w:vMerge/>
                  <w:tcBorders>
                    <w:top w:val="none" w:color="000000" w:sz="4"/>
                    <w:left w:val="none" w:color="000000" w:sz="4"/>
                    <w:bottom w:val="single" w:color="000000" w:sz="4"/>
                    <w:right w:val="single" w:color="000000" w:sz="4"/>
                  </w:tcBorders>
                </w:tcPr>
                <w:p/>
              </w:tc>
            </w:tr>
          </w:tbl>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3）总体要求</w:t>
            </w:r>
          </w:p>
          <w:p>
            <w:pPr>
              <w:pStyle w:val="null3"/>
              <w:ind w:firstLine="480"/>
            </w:pPr>
            <w:r>
              <w:rPr>
                <w:rFonts w:ascii="仿宋_GB2312" w:hAnsi="仿宋_GB2312" w:cs="仿宋_GB2312" w:eastAsia="仿宋_GB2312"/>
                <w:sz w:val="24"/>
                <w:color w:val="000000"/>
              </w:rPr>
              <w:t>投标人所投产品能够采用灵活的配置技术，以业务流程为导向整合客户端的应用程序协同完成整合业务。能够配合和协助我院实现护理业务流程中持续不断地改进和完善，以满足医院护理质量提升、护理工作效率提升、护理风险防范等管理的需要，满足医院系统安全、网络安全相关的总体要求，以及与医院总体信息系统建设目标保持同步。</w:t>
            </w:r>
          </w:p>
          <w:p>
            <w:pPr>
              <w:pStyle w:val="null3"/>
              <w:ind w:firstLine="480"/>
            </w:pPr>
            <w:r>
              <w:rPr>
                <w:rFonts w:ascii="仿宋_GB2312" w:hAnsi="仿宋_GB2312" w:cs="仿宋_GB2312" w:eastAsia="仿宋_GB2312"/>
                <w:sz w:val="24"/>
                <w:color w:val="000000"/>
              </w:rPr>
              <w:t>所提供产品应具有可复用性和扩展性，能适应用户业务需求变化，通过配置满足新的需求。</w:t>
            </w:r>
          </w:p>
          <w:p>
            <w:pPr>
              <w:pStyle w:val="null3"/>
              <w:jc w:val="both"/>
            </w:pPr>
            <w:r>
              <w:rPr>
                <w:rFonts w:ascii="仿宋_GB2312" w:hAnsi="仿宋_GB2312" w:cs="仿宋_GB2312" w:eastAsia="仿宋_GB2312"/>
                <w:sz w:val="32"/>
              </w:rPr>
              <w:t>二、详细要求</w:t>
            </w:r>
          </w:p>
          <w:p>
            <w:pPr>
              <w:pStyle w:val="null3"/>
              <w:jc w:val="both"/>
            </w:pPr>
            <w:r>
              <w:rPr>
                <w:rFonts w:ascii="仿宋_GB2312" w:hAnsi="仿宋_GB2312" w:cs="仿宋_GB2312" w:eastAsia="仿宋_GB2312"/>
                <w:sz w:val="28"/>
              </w:rPr>
              <w:t>(1)PAD端护理管理软件要求</w:t>
            </w:r>
          </w:p>
          <w:tbl>
            <w:tblPr>
              <w:tblBorders>
                <w:top w:val="none" w:color="000000" w:sz="4"/>
                <w:left w:val="none" w:color="000000" w:sz="4"/>
                <w:bottom w:val="none" w:color="000000" w:sz="4"/>
                <w:right w:val="none" w:color="000000" w:sz="4"/>
                <w:insideH w:val="none"/>
                <w:insideV w:val="none"/>
              </w:tblBorders>
            </w:tblPr>
            <w:tblGrid>
              <w:gridCol w:w="277"/>
              <w:gridCol w:w="414"/>
              <w:gridCol w:w="641"/>
              <w:gridCol w:w="2493"/>
            </w:tblGrid>
            <w:tr>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模块</w:t>
                  </w:r>
                </w:p>
              </w:tc>
              <w:tc>
                <w:tcPr>
                  <w:tcW w:type="dxa" w:w="105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功能点</w:t>
                  </w:r>
                </w:p>
              </w:tc>
              <w:tc>
                <w:tcPr>
                  <w:tcW w:type="dxa" w:w="2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详细描述</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总体要求</w:t>
                  </w:r>
                </w:p>
              </w:tc>
              <w:tc>
                <w:tcPr>
                  <w:tcW w:type="dxa" w:w="10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与电脑端、手机端护理管理适配</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w:t>
                  </w:r>
                  <w:r>
                    <w:rPr>
                      <w:rFonts w:ascii="仿宋_GB2312" w:hAnsi="仿宋_GB2312" w:cs="仿宋_GB2312" w:eastAsia="仿宋_GB2312"/>
                      <w:sz w:val="18"/>
                      <w:b/>
                      <w:color w:val="000000"/>
                    </w:rPr>
                    <w:t>编辑排班</w:t>
                  </w:r>
                  <w:r>
                    <w:rPr>
                      <w:rFonts w:ascii="仿宋_GB2312" w:hAnsi="仿宋_GB2312" w:cs="仿宋_GB2312" w:eastAsia="仿宋_GB2312"/>
                      <w:sz w:val="18"/>
                      <w:b/>
                      <w:color w:val="000000"/>
                    </w:rPr>
                    <w:t>”功能</w:t>
                  </w:r>
                  <w:r>
                    <w:rPr>
                      <w:rFonts w:ascii="仿宋_GB2312" w:hAnsi="仿宋_GB2312" w:cs="仿宋_GB2312" w:eastAsia="仿宋_GB2312"/>
                      <w:sz w:val="18"/>
                      <w:b/>
                      <w:color w:val="000000"/>
                    </w:rPr>
                    <w:t>需与医院现有护理管理系统电脑端功能及手机端护理管理功能相关联，做到数据互通，确保与电脑端、手机端</w:t>
                  </w:r>
                  <w:r>
                    <w:rPr>
                      <w:rFonts w:ascii="仿宋_GB2312" w:hAnsi="仿宋_GB2312" w:cs="仿宋_GB2312" w:eastAsia="仿宋_GB2312"/>
                      <w:sz w:val="18"/>
                      <w:b/>
                      <w:color w:val="000000"/>
                    </w:rPr>
                    <w:t>“三端一体、实时同步。</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40"/>
                    <w:jc w:val="center"/>
                  </w:pPr>
                  <w:r>
                    <w:rPr>
                      <w:rFonts w:ascii="仿宋_GB2312" w:hAnsi="仿宋_GB2312" w:cs="仿宋_GB2312" w:eastAsia="仿宋_GB2312"/>
                      <w:sz w:val="18"/>
                      <w:color w:val="000000"/>
                    </w:rPr>
                    <w:t>驾驶舱</w:t>
                  </w:r>
                </w:p>
              </w:tc>
              <w:tc>
                <w:tcPr>
                  <w:tcW w:type="dxa" w:w="1055"/>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数据看板</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支持人力资源统计；支持病区床护比统计；支持统计护士男女分布情况、护士职称分布情况、护士职务分布情况、护士层级分布情况、护士学历分布情况、护士职工性质分布情况、护士工作年限分布情况。</w:t>
                  </w:r>
                  <w:r>
                    <w:rPr>
                      <w:rFonts w:ascii="仿宋_GB2312" w:hAnsi="仿宋_GB2312" w:cs="仿宋_GB2312" w:eastAsia="仿宋_GB2312"/>
                      <w:sz w:val="18"/>
                    </w:rPr>
                    <w:t>输液扫码率。</w:t>
                  </w:r>
                </w:p>
              </w:tc>
            </w:tr>
            <w:tr>
              <w:tc>
                <w:tcPr>
                  <w:tcW w:type="dxa" w:w="2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护理人员动态档案管理</w:t>
                  </w:r>
                </w:p>
              </w:tc>
              <w:tc>
                <w:tcPr>
                  <w:tcW w:type="dxa" w:w="414"/>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护士档案管理</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人员档案多维度筛选查询</w:t>
                  </w:r>
                </w:p>
              </w:tc>
              <w:tc>
                <w:tcPr>
                  <w:tcW w:type="dxa" w:w="2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1.可按职工性质分类查询；2.提供工号、姓名、简码的快速查询；3.提供人员高级查询；4.可按科室显示人员；5.可自定义显示列及列显示顺序；6.可自定义每页记录显示数</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single" w:color="000000" w:sz="4"/>
                    <w:left w:val="none" w:color="000000" w:sz="4"/>
                    <w:bottom w:val="non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人员档案编辑</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权限控制，提供护理人员查询个人档案以及修改部分内容的功能。对已有护理人员档案信息进行修改编辑，包括对人员基础信息、职称信息、职务信息、护理层级、教育经历、工作经历、继续教育、科研成果、学术任职、获奖信息、证件信息的修改操作。</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single" w:color="000000" w:sz="4"/>
                    <w:left w:val="none" w:color="000000" w:sz="4"/>
                    <w:bottom w:val="non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人员档案查看</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查看护理人员档案详细信息。</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single" w:color="000000" w:sz="4"/>
                    <w:left w:val="none" w:color="000000" w:sz="4"/>
                    <w:bottom w:val="non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人员档案完善度</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可自定义配置完善度项，统计所有人员资料完善度，支持排序，并支持查看个人完善度详情</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single" w:color="000000" w:sz="4"/>
                    <w:left w:val="none" w:color="000000" w:sz="4"/>
                    <w:bottom w:val="non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档案照片上传</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可上传及导出护士证件照片。</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single" w:color="000000" w:sz="4"/>
                    <w:left w:val="none" w:color="000000" w:sz="4"/>
                    <w:bottom w:val="non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护士证件上传</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可上传护士证件信息，包括职称证书、学历证书、学位证书、执业证书、计算机等级证书、英语资格证书等。</w:t>
                  </w:r>
                </w:p>
              </w:tc>
            </w:tr>
            <w:tr>
              <w:tc>
                <w:tcPr>
                  <w:tcW w:type="dxa" w:w="2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护理质控检查管理</w:t>
                  </w:r>
                </w:p>
              </w:tc>
              <w:tc>
                <w:tcPr>
                  <w:tcW w:type="dxa" w:w="41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三级质控检查管理</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护理部</w:t>
                  </w:r>
                  <w:r>
                    <w:rPr>
                      <w:rFonts w:ascii="仿宋_GB2312" w:hAnsi="仿宋_GB2312" w:cs="仿宋_GB2312" w:eastAsia="仿宋_GB2312"/>
                      <w:sz w:val="18"/>
                      <w:color w:val="000000"/>
                    </w:rPr>
                    <w:t>/院级质控小组检查</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通过全院性综合检查，支持现场检査时能够即时录入检查结果、</w:t>
                  </w:r>
                  <w:r>
                    <w:rPr>
                      <w:rFonts w:ascii="仿宋_GB2312" w:hAnsi="仿宋_GB2312" w:cs="仿宋_GB2312" w:eastAsia="仿宋_GB2312"/>
                      <w:sz w:val="18"/>
                    </w:rPr>
                    <w:t>拍照记录问题、指定问题</w:t>
                  </w:r>
                  <w:r>
                    <w:rPr>
                      <w:rFonts w:ascii="仿宋_GB2312" w:hAnsi="仿宋_GB2312" w:cs="仿宋_GB2312" w:eastAsia="仿宋_GB2312"/>
                      <w:sz w:val="18"/>
                      <w:color w:val="000000"/>
                    </w:rPr>
                    <w:t>责任人，支持查看检查单汇总</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single" w:color="000000" w:sz="4"/>
                    <w:left w:val="none" w:color="000000" w:sz="4"/>
                    <w:bottom w:val="single" w:color="000000" w:sz="4"/>
                    <w:right w:val="single" w:color="000000" w:sz="4"/>
                  </w:tcBorders>
                </w:tcPr>
                <w:p/>
              </w:tc>
              <w:tc>
                <w:tcPr>
                  <w:tcW w:type="dxa" w:w="6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检查计划</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新建检查计划：选择检查范围（全部科室</w:t>
                  </w:r>
                  <w:r>
                    <w:rPr>
                      <w:rFonts w:ascii="仿宋_GB2312" w:hAnsi="仿宋_GB2312" w:cs="仿宋_GB2312" w:eastAsia="仿宋_GB2312"/>
                      <w:sz w:val="18"/>
                      <w:color w:val="000000"/>
                    </w:rPr>
                    <w:t>/指定科室/病区）、检查日期、检查模板（支持复用历史模板）</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single" w:color="000000" w:sz="4"/>
                    <w:left w:val="none" w:color="000000" w:sz="4"/>
                    <w:bottom w:val="single" w:color="000000" w:sz="4"/>
                    <w:right w:val="single" w:color="000000" w:sz="4"/>
                  </w:tcBorders>
                </w:tcPr>
                <w:p/>
              </w:tc>
              <w:tc>
                <w:tcPr>
                  <w:tcW w:type="dxa" w:w="641"/>
                  <w:vMerge/>
                  <w:tcBorders>
                    <w:top w:val="none" w:color="000000" w:sz="4"/>
                    <w:left w:val="none" w:color="000000" w:sz="4"/>
                    <w:bottom w:val="single" w:color="000000" w:sz="4"/>
                    <w:right w:val="single" w:color="000000" w:sz="4"/>
                  </w:tcBorders>
                </w:tcP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计划推送：一键推送至被检科室护士长端，自动同步检查时间、检查人信息</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single" w:color="000000" w:sz="4"/>
                    <w:left w:val="none" w:color="000000" w:sz="4"/>
                    <w:bottom w:val="single" w:color="000000" w:sz="4"/>
                    <w:right w:val="single" w:color="000000" w:sz="4"/>
                  </w:tcBorders>
                </w:tcPr>
                <w:p/>
              </w:tc>
              <w:tc>
                <w:tcPr>
                  <w:tcW w:type="dxa" w:w="64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现场检查</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针对检查条目按需检查，可针对患者、护士、病区进行专项检查，支持搜索用户工号</w:t>
                  </w:r>
                  <w:r>
                    <w:rPr>
                      <w:rFonts w:ascii="仿宋_GB2312" w:hAnsi="仿宋_GB2312" w:cs="仿宋_GB2312" w:eastAsia="仿宋_GB2312"/>
                      <w:sz w:val="18"/>
                      <w:color w:val="000000"/>
                    </w:rPr>
                    <w:t>/姓名，支持按床位搜索患者。</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single" w:color="000000" w:sz="4"/>
                    <w:left w:val="none" w:color="000000" w:sz="4"/>
                    <w:bottom w:val="single" w:color="000000" w:sz="4"/>
                    <w:right w:val="single" w:color="000000" w:sz="4"/>
                  </w:tcBorders>
                </w:tcPr>
                <w:p/>
              </w:tc>
              <w:tc>
                <w:tcPr>
                  <w:tcW w:type="dxa" w:w="641"/>
                  <w:vMerge/>
                  <w:tcBorders>
                    <w:top w:val="none" w:color="000000" w:sz="4"/>
                    <w:left w:val="none" w:color="000000" w:sz="4"/>
                    <w:bottom w:val="none" w:color="000000" w:sz="4"/>
                    <w:right w:val="single" w:color="000000" w:sz="4"/>
                  </w:tcBorders>
                </w:tcP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支持拍照：强制开启水印（时间、地点、检查人</w:t>
                  </w:r>
                  <w:r>
                    <w:rPr>
                      <w:rFonts w:ascii="仿宋_GB2312" w:hAnsi="仿宋_GB2312" w:cs="仿宋_GB2312" w:eastAsia="仿宋_GB2312"/>
                      <w:sz w:val="18"/>
                      <w:color w:val="000000"/>
                    </w:rPr>
                    <w:t>ID），支持连拍3张自动拼图</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single" w:color="000000" w:sz="4"/>
                    <w:left w:val="none" w:color="000000" w:sz="4"/>
                    <w:bottom w:val="single" w:color="000000" w:sz="4"/>
                    <w:right w:val="single" w:color="000000" w:sz="4"/>
                  </w:tcBorders>
                </w:tcPr>
                <w:p/>
              </w:tc>
              <w:tc>
                <w:tcPr>
                  <w:tcW w:type="dxa" w:w="641"/>
                  <w:vMerge/>
                  <w:tcBorders>
                    <w:top w:val="none" w:color="000000" w:sz="4"/>
                    <w:left w:val="none" w:color="000000" w:sz="4"/>
                    <w:bottom w:val="none" w:color="000000" w:sz="4"/>
                    <w:right w:val="single" w:color="000000" w:sz="4"/>
                  </w:tcBorders>
                </w:tcP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支持语音备注：语音说明特殊情况（自动转文字存档）</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single" w:color="000000" w:sz="4"/>
                    <w:left w:val="none" w:color="000000" w:sz="4"/>
                    <w:bottom w:val="single" w:color="000000" w:sz="4"/>
                    <w:right w:val="single" w:color="000000" w:sz="4"/>
                  </w:tcBorders>
                </w:tcPr>
                <w:p/>
              </w:tc>
              <w:tc>
                <w:tcPr>
                  <w:tcW w:type="dxa" w:w="64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结果查看</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可按照科室或按照检查单切换查看质控检查结果。</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single" w:color="000000" w:sz="4"/>
                    <w:left w:val="none" w:color="000000" w:sz="4"/>
                    <w:bottom w:val="single" w:color="000000" w:sz="4"/>
                    <w:right w:val="single" w:color="000000" w:sz="4"/>
                  </w:tcBorders>
                </w:tcPr>
                <w:p/>
              </w:tc>
              <w:tc>
                <w:tcPr>
                  <w:tcW w:type="dxa" w:w="641"/>
                  <w:vMerge/>
                  <w:tcBorders>
                    <w:top w:val="single" w:color="000000" w:sz="4"/>
                    <w:left w:val="none" w:color="000000" w:sz="4"/>
                    <w:bottom w:val="single" w:color="000000" w:sz="4"/>
                    <w:right w:val="single" w:color="000000" w:sz="4"/>
                  </w:tcBorders>
                </w:tcP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检查单结果可查看检查科室的得分率排行及总的检查单得分率情况</w:t>
                  </w:r>
                </w:p>
                <w:p>
                  <w:pPr>
                    <w:pStyle w:val="null3"/>
                  </w:pPr>
                  <w:r>
                    <w:rPr>
                      <w:rFonts w:ascii="仿宋_GB2312" w:hAnsi="仿宋_GB2312" w:cs="仿宋_GB2312" w:eastAsia="仿宋_GB2312"/>
                      <w:sz w:val="18"/>
                      <w:color w:val="000000"/>
                    </w:rPr>
                    <w:t>支持全院质量汇总分析查看、统计。</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single" w:color="000000" w:sz="4"/>
                    <w:left w:val="none" w:color="000000" w:sz="4"/>
                    <w:bottom w:val="single" w:color="000000" w:sz="4"/>
                    <w:right w:val="single" w:color="000000" w:sz="4"/>
                  </w:tcBorders>
                </w:tcPr>
                <w:p/>
              </w:tc>
              <w:tc>
                <w:tcPr>
                  <w:tcW w:type="dxa" w:w="641"/>
                  <w:vMerge/>
                  <w:tcBorders>
                    <w:top w:val="single" w:color="000000" w:sz="4"/>
                    <w:left w:val="none" w:color="000000" w:sz="4"/>
                    <w:bottom w:val="single" w:color="000000" w:sz="4"/>
                    <w:right w:val="single" w:color="000000" w:sz="4"/>
                  </w:tcBorders>
                </w:tcP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自定义查看检查单结果，包括检查人，检查开始日期时间，检查单检查明细，得分及得分率情况，缺陷条目。</w:t>
                  </w:r>
                </w:p>
              </w:tc>
            </w:tr>
            <w:tr>
              <w:tc>
                <w:tcPr>
                  <w:tcW w:type="dxa" w:w="277"/>
                  <w:vMerge/>
                  <w:tcBorders>
                    <w:top w:val="none" w:color="000000" w:sz="4"/>
                    <w:left w:val="single" w:color="000000" w:sz="4"/>
                    <w:bottom w:val="single" w:color="000000" w:sz="4"/>
                    <w:right w:val="single" w:color="000000" w:sz="4"/>
                  </w:tcBorders>
                </w:tcP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二级质控检查管理</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科护士长</w:t>
                  </w:r>
                  <w:r>
                    <w:rPr>
                      <w:rFonts w:ascii="仿宋_GB2312" w:hAnsi="仿宋_GB2312" w:cs="仿宋_GB2312" w:eastAsia="仿宋_GB2312"/>
                      <w:sz w:val="18"/>
                      <w:color w:val="000000"/>
                    </w:rPr>
                    <w:t>/</w:t>
                  </w:r>
                  <w:r>
                    <w:rPr>
                      <w:rFonts w:ascii="仿宋_GB2312" w:hAnsi="仿宋_GB2312" w:cs="仿宋_GB2312" w:eastAsia="仿宋_GB2312"/>
                      <w:sz w:val="18"/>
                      <w:color w:val="000000"/>
                    </w:rPr>
                    <w:t>片区质控检查</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定期抽查科室护理质量，重点评估关键环节，支持现场检査时能够即时录入检查结果、拍照记录问题、指定问题责任人，支持查看检查单汇总</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抽查计划</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根据检查计划建立质控任务，在我的任务界面查看任务，包括任务检查开始时间、检查任务名称、检查科室、检查单、检查人、检查状态、操作按钮自动生成（检查、片区总结、结果查看）。</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现场检查</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即时录入：评分滑杆便捷操作，手指一滑即录。语音转文字：按住麦克风说出问题，转为文字录入具体存在问题。</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结果查看</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可按照科室或按照检查单切换查看质控检查结果。</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vMerge/>
                  <w:tcBorders>
                    <w:top w:val="none" w:color="000000" w:sz="4"/>
                    <w:left w:val="none" w:color="000000" w:sz="4"/>
                    <w:bottom w:val="single" w:color="000000" w:sz="4"/>
                    <w:right w:val="single" w:color="000000" w:sz="4"/>
                  </w:tcBorders>
                </w:tcP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检查单结果可查看检查科室相应讲话的的得分率排行及总的检查单得分率情况</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vMerge/>
                  <w:tcBorders>
                    <w:top w:val="none" w:color="000000" w:sz="4"/>
                    <w:left w:val="none" w:color="000000" w:sz="4"/>
                    <w:bottom w:val="single" w:color="000000" w:sz="4"/>
                    <w:right w:val="single" w:color="000000" w:sz="4"/>
                  </w:tcBorders>
                </w:tcP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按科室查看检查单结果，包括检查人，检查开始日期时间，检查单检查明细，得分及得分率情况，缺陷条目。</w:t>
                  </w:r>
                </w:p>
                <w:p>
                  <w:pPr>
                    <w:pStyle w:val="null3"/>
                  </w:pPr>
                  <w:r>
                    <w:rPr>
                      <w:rFonts w:ascii="仿宋_GB2312" w:hAnsi="仿宋_GB2312" w:cs="仿宋_GB2312" w:eastAsia="仿宋_GB2312"/>
                      <w:sz w:val="18"/>
                      <w:color w:val="000000"/>
                    </w:rPr>
                    <w:t>图表分析（图表类型）</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一级</w:t>
                  </w:r>
                </w:p>
                <w:p>
                  <w:pPr>
                    <w:pStyle w:val="null3"/>
                    <w:jc w:val="center"/>
                  </w:pPr>
                  <w:r>
                    <w:rPr>
                      <w:rFonts w:ascii="仿宋_GB2312" w:hAnsi="仿宋_GB2312" w:cs="仿宋_GB2312" w:eastAsia="仿宋_GB2312"/>
                      <w:sz w:val="18"/>
                      <w:color w:val="000000"/>
                    </w:rPr>
                    <w:t>质控</w:t>
                  </w:r>
                </w:p>
              </w:tc>
              <w:tc>
                <w:tcPr>
                  <w:tcW w:type="dxa" w:w="64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科室护士长或质控员</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针对日常护理操作规范性、文书书写、基础护理落实等进行实时检查，支持现场检査时能够即时录入检查结果、拍照记录问题、指定问题责任人，支持查看检查单汇总。</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质控检查</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一键</w:t>
                  </w:r>
                  <w:r>
                    <w:rPr>
                      <w:rFonts w:ascii="仿宋_GB2312" w:hAnsi="仿宋_GB2312" w:cs="仿宋_GB2312" w:eastAsia="仿宋_GB2312"/>
                      <w:sz w:val="18"/>
                      <w:color w:val="000000"/>
                    </w:rPr>
                    <w:t>“开始床旁检查”：系统自动带入当前登录人（护士长/质控员）、当前病区、当前时间。对检查条目进行检查扣分并可拍照上传存在问题。</w:t>
                  </w:r>
                  <w:r>
                    <w:rPr>
                      <w:rFonts w:ascii="仿宋_GB2312" w:hAnsi="仿宋_GB2312" w:cs="仿宋_GB2312" w:eastAsia="仿宋_GB2312"/>
                      <w:sz w:val="18"/>
                    </w:rPr>
                    <w:t>检查结果按照扣分与护士挂钩，扣分到人。</w:t>
                  </w:r>
                </w:p>
              </w:tc>
            </w:tr>
            <w:tr>
              <w:tc>
                <w:tcPr>
                  <w:tcW w:type="dxa" w:w="277"/>
                  <w:vMerge/>
                  <w:tcBorders>
                    <w:top w:val="none" w:color="000000" w:sz="4"/>
                    <w:left w:val="single" w:color="000000" w:sz="4"/>
                    <w:bottom w:val="single" w:color="000000" w:sz="4"/>
                    <w:right w:val="single" w:color="000000" w:sz="4"/>
                  </w:tcBorders>
                </w:tcPr>
                <w:p/>
              </w:tc>
              <w:tc>
                <w:tcPr>
                  <w:tcW w:type="dxa" w:w="41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质控检查汇总统计分析</w:t>
                  </w:r>
                </w:p>
              </w:tc>
              <w:tc>
                <w:tcPr>
                  <w:tcW w:type="dxa" w:w="6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自定义汇总</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根据需要进行各级别检查汇总，可按日、月、季度、年等及自定义范围内对科室进行汇总统计，按照检查单汇总，查看检查单的缺陷条目，百分比及累计百分比及柏拉图等管理工具分析。</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none" w:color="000000" w:sz="4"/>
                    <w:right w:val="single" w:color="000000" w:sz="4"/>
                  </w:tcBorders>
                </w:tcPr>
                <w:p/>
              </w:tc>
              <w:tc>
                <w:tcPr>
                  <w:tcW w:type="dxa" w:w="641"/>
                  <w:vMerge/>
                  <w:tcBorders>
                    <w:top w:val="none" w:color="000000" w:sz="4"/>
                    <w:left w:val="none" w:color="000000" w:sz="4"/>
                    <w:bottom w:val="single" w:color="000000" w:sz="4"/>
                    <w:right w:val="single" w:color="000000" w:sz="4"/>
                  </w:tcBorders>
                </w:tcP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检查单详情缺陷汇总，可查看检查单详细标准的缺陷条目，百分比，累计百分比情况及柏拉图分析。</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none" w:color="000000" w:sz="4"/>
                    <w:right w:val="single" w:color="000000" w:sz="4"/>
                  </w:tcBorders>
                </w:tcPr>
                <w:p/>
              </w:tc>
              <w:tc>
                <w:tcPr>
                  <w:tcW w:type="dxa" w:w="641"/>
                  <w:vMerge/>
                  <w:tcBorders>
                    <w:top w:val="none" w:color="000000" w:sz="4"/>
                    <w:left w:val="none" w:color="000000" w:sz="4"/>
                    <w:bottom w:val="single" w:color="000000" w:sz="4"/>
                    <w:right w:val="single" w:color="000000" w:sz="4"/>
                  </w:tcBorders>
                </w:tcP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数据下钻：针对检查单详情可下钻查看缺陷指标检查时存在问题。</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non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按照每名护士质控总分排名汇总（满分</w:t>
                  </w:r>
                  <w:r>
                    <w:rPr>
                      <w:rFonts w:ascii="仿宋_GB2312" w:hAnsi="仿宋_GB2312" w:cs="仿宋_GB2312" w:eastAsia="仿宋_GB2312"/>
                      <w:sz w:val="18"/>
                    </w:rPr>
                    <w:t>100分）</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none" w:color="000000" w:sz="4"/>
                    <w:right w:val="single" w:color="000000" w:sz="4"/>
                  </w:tcBorders>
                </w:tcPr>
                <w:p/>
              </w:tc>
              <w:tc>
                <w:tcPr>
                  <w:tcW w:type="dxa" w:w="6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护理部质控</w:t>
                  </w:r>
                </w:p>
                <w:p>
                  <w:pPr>
                    <w:pStyle w:val="null3"/>
                    <w:jc w:val="center"/>
                  </w:pPr>
                  <w:r>
                    <w:rPr>
                      <w:rFonts w:ascii="仿宋_GB2312" w:hAnsi="仿宋_GB2312" w:cs="仿宋_GB2312" w:eastAsia="仿宋_GB2312"/>
                      <w:sz w:val="18"/>
                      <w:color w:val="000000"/>
                    </w:rPr>
                    <w:t>统计汇总</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数据筛选：查看不同级别、检查科室、检查单、检查日期及及检查人等进行自定义筛选。</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none" w:color="000000" w:sz="4"/>
                    <w:right w:val="single" w:color="000000" w:sz="4"/>
                  </w:tcBorders>
                </w:tcPr>
                <w:p/>
              </w:tc>
              <w:tc>
                <w:tcPr>
                  <w:tcW w:type="dxa" w:w="641"/>
                  <w:vMerge/>
                  <w:tcBorders>
                    <w:top w:val="none" w:color="000000" w:sz="4"/>
                    <w:left w:val="none" w:color="000000" w:sz="4"/>
                    <w:bottom w:val="single" w:color="000000" w:sz="4"/>
                    <w:right w:val="single" w:color="000000" w:sz="4"/>
                  </w:tcBorders>
                </w:tcP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得分率统计：可按科室或检查单维度进行同比、环比统计查看。</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none" w:color="000000" w:sz="4"/>
                    <w:right w:val="single" w:color="000000" w:sz="4"/>
                  </w:tcBorders>
                </w:tcPr>
                <w:p/>
              </w:tc>
              <w:tc>
                <w:tcPr>
                  <w:tcW w:type="dxa" w:w="641"/>
                  <w:vMerge/>
                  <w:tcBorders>
                    <w:top w:val="none" w:color="000000" w:sz="4"/>
                    <w:left w:val="none" w:color="000000" w:sz="4"/>
                    <w:bottom w:val="single" w:color="000000" w:sz="4"/>
                    <w:right w:val="single" w:color="000000" w:sz="4"/>
                  </w:tcBorders>
                </w:tcP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符合率统计可按照科室进行符合率统计，查看检查单各个科室的得分及平均符合率查看。</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none" w:color="000000" w:sz="4"/>
                    <w:right w:val="single" w:color="000000" w:sz="4"/>
                  </w:tcBorders>
                </w:tcPr>
                <w:p/>
              </w:tc>
              <w:tc>
                <w:tcPr>
                  <w:tcW w:type="dxa" w:w="641"/>
                  <w:vMerge/>
                  <w:tcBorders>
                    <w:top w:val="none" w:color="000000" w:sz="4"/>
                    <w:left w:val="none" w:color="000000" w:sz="4"/>
                    <w:bottom w:val="single" w:color="000000" w:sz="4"/>
                    <w:right w:val="single" w:color="000000" w:sz="4"/>
                  </w:tcBorders>
                </w:tcP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柱状图统计：筛选范围内检查单的柱状统计图及平均符合率统计图查看。包括各个检查单的柏拉图分析，包括缺陷条目，累计百分比查看。</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none" w:color="000000" w:sz="4"/>
                    <w:right w:val="single" w:color="000000" w:sz="4"/>
                  </w:tcBorders>
                </w:tcPr>
                <w:p/>
              </w:tc>
              <w:tc>
                <w:tcPr>
                  <w:tcW w:type="dxa" w:w="641"/>
                  <w:vMerge/>
                  <w:tcBorders>
                    <w:top w:val="none" w:color="000000" w:sz="4"/>
                    <w:left w:val="none" w:color="000000" w:sz="4"/>
                    <w:bottom w:val="single" w:color="000000" w:sz="4"/>
                    <w:right w:val="single" w:color="000000" w:sz="4"/>
                  </w:tcBorders>
                </w:tcP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检查单存在问题缺陷汇总：针对检查单的缺陷汇总，包括存在问题、缺陷条目、百分比、累计百分及数据下钻查看详情，详情包括缺陷指标、存在问题及当时责任人。</w:t>
                  </w:r>
                </w:p>
              </w:tc>
            </w:tr>
            <w:tr>
              <w:tc>
                <w:tcPr>
                  <w:tcW w:type="dxa" w:w="277"/>
                  <w:vMerge/>
                  <w:tcBorders>
                    <w:top w:val="none" w:color="000000" w:sz="4"/>
                    <w:left w:val="single" w:color="000000" w:sz="4"/>
                    <w:bottom w:val="single" w:color="000000" w:sz="4"/>
                    <w:right w:val="single" w:color="000000" w:sz="4"/>
                  </w:tcBorders>
                </w:tcPr>
                <w:p/>
              </w:tc>
              <w:tc>
                <w:tcPr>
                  <w:tcW w:type="dxa" w:w="41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辅助</w:t>
                  </w:r>
                </w:p>
                <w:p>
                  <w:pPr>
                    <w:pStyle w:val="null3"/>
                    <w:jc w:val="center"/>
                  </w:pPr>
                  <w:r>
                    <w:rPr>
                      <w:rFonts w:ascii="仿宋_GB2312" w:hAnsi="仿宋_GB2312" w:cs="仿宋_GB2312" w:eastAsia="仿宋_GB2312"/>
                      <w:sz w:val="18"/>
                      <w:color w:val="000000"/>
                    </w:rPr>
                    <w:t>功能</w:t>
                  </w:r>
                </w:p>
              </w:tc>
              <w:tc>
                <w:tcPr>
                  <w:tcW w:type="dxa" w:w="6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权限控制</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三级质控员：可查看全院数据</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single" w:color="000000" w:sz="4"/>
                    <w:left w:val="none" w:color="000000" w:sz="4"/>
                    <w:bottom w:val="single" w:color="000000" w:sz="4"/>
                    <w:right w:val="single" w:color="000000" w:sz="4"/>
                  </w:tcBorders>
                </w:tcPr>
                <w:p/>
              </w:tc>
              <w:tc>
                <w:tcPr>
                  <w:tcW w:type="dxa" w:w="641"/>
                  <w:vMerge/>
                  <w:tcBorders>
                    <w:top w:val="none" w:color="000000" w:sz="4"/>
                    <w:left w:val="none" w:color="000000" w:sz="4"/>
                    <w:bottom w:val="single" w:color="000000" w:sz="4"/>
                    <w:right w:val="single" w:color="000000" w:sz="4"/>
                  </w:tcBorders>
                </w:tcP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二级质控员：仅查看管辖片区</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single" w:color="000000" w:sz="4"/>
                    <w:left w:val="none" w:color="000000" w:sz="4"/>
                    <w:bottom w:val="single" w:color="000000" w:sz="4"/>
                    <w:right w:val="single" w:color="000000" w:sz="4"/>
                  </w:tcBorders>
                </w:tcPr>
                <w:p/>
              </w:tc>
              <w:tc>
                <w:tcPr>
                  <w:tcW w:type="dxa" w:w="641"/>
                  <w:vMerge/>
                  <w:tcBorders>
                    <w:top w:val="none" w:color="000000" w:sz="4"/>
                    <w:left w:val="none" w:color="000000" w:sz="4"/>
                    <w:bottom w:val="single" w:color="000000" w:sz="4"/>
                    <w:right w:val="single" w:color="000000" w:sz="4"/>
                  </w:tcBorders>
                </w:tcP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护士长：仅本科室数据</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singl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数据安全</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操作日志记录。</w:t>
                  </w:r>
                </w:p>
              </w:tc>
            </w:tr>
            <w:tr>
              <w:tc>
                <w:tcPr>
                  <w:tcW w:type="dxa" w:w="2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科室</w:t>
                  </w:r>
                </w:p>
                <w:p>
                  <w:pPr>
                    <w:pStyle w:val="null3"/>
                    <w:jc w:val="center"/>
                  </w:pPr>
                  <w:r>
                    <w:rPr>
                      <w:rFonts w:ascii="仿宋_GB2312" w:hAnsi="仿宋_GB2312" w:cs="仿宋_GB2312" w:eastAsia="仿宋_GB2312"/>
                      <w:sz w:val="18"/>
                      <w:color w:val="000000"/>
                    </w:rPr>
                    <w:t>排班</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排班查看</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根据不同筛选条件查看不同病区指定周内护理人员排班情况。</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编辑排班</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可对病区内可排班人员进行班次配置。可添加班次、更换班次。</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单班次快速</w:t>
                  </w:r>
                </w:p>
                <w:p>
                  <w:pPr>
                    <w:pStyle w:val="null3"/>
                    <w:jc w:val="center"/>
                  </w:pPr>
                  <w:r>
                    <w:rPr>
                      <w:rFonts w:ascii="仿宋_GB2312" w:hAnsi="仿宋_GB2312" w:cs="仿宋_GB2312" w:eastAsia="仿宋_GB2312"/>
                      <w:sz w:val="18"/>
                      <w:color w:val="000000"/>
                    </w:rPr>
                    <w:t>排班</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可对某类排班类型快速复制排班。</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批量快速排班</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可对上周或上上周已排版班次进行快速的复制班次操作</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组合排班</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支持配置班次组合，快速排班</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排班分组</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支持设置人员分组，支持根据分组展示排班</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人员借调</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支持对人员进行排班借调，并设置调动病区、调动开始和结束时间，并生成调动记录，调动结束后自动返回原科室</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人员排序</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根据不同条件对可排班人员进行排序和分组，可快捷实现各班次人员分组管理。</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排班合理性</w:t>
                  </w:r>
                </w:p>
                <w:p>
                  <w:pPr>
                    <w:pStyle w:val="null3"/>
                    <w:jc w:val="center"/>
                  </w:pPr>
                  <w:r>
                    <w:rPr>
                      <w:rFonts w:ascii="仿宋_GB2312" w:hAnsi="仿宋_GB2312" w:cs="仿宋_GB2312" w:eastAsia="仿宋_GB2312"/>
                      <w:sz w:val="18"/>
                      <w:color w:val="000000"/>
                    </w:rPr>
                    <w:t>分析</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可按人统计分析班次是否合理</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vMerge/>
                  <w:tcBorders>
                    <w:top w:val="none" w:color="000000" w:sz="4"/>
                    <w:left w:val="none" w:color="000000" w:sz="4"/>
                    <w:bottom w:val="single" w:color="000000" w:sz="4"/>
                    <w:right w:val="single" w:color="000000" w:sz="4"/>
                  </w:tcBorders>
                </w:tcP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可按班次统计班次是否合理</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个人排班意愿查看</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可查看班次内护理人员排班需求，合理安排人员排班。</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病区排班备注</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可对本周排班进行备注，支持对重点内容进行颜色标识</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引用历史排班</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排班时可对上周或上上周已排版班次进行快速的复制班次操作，支持引用任意周的历史排班记录。</w:t>
                  </w:r>
                </w:p>
              </w:tc>
            </w:tr>
            <w:tr>
              <w:tc>
                <w:tcPr>
                  <w:tcW w:type="dxa" w:w="27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个人需求管理</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个人需求提交</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护士个人需求情况说明及提交至上级管理部门</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请假</w:t>
                  </w:r>
                </w:p>
                <w:p>
                  <w:pPr>
                    <w:pStyle w:val="null3"/>
                    <w:jc w:val="center"/>
                  </w:pPr>
                  <w:r>
                    <w:rPr>
                      <w:rFonts w:ascii="仿宋_GB2312" w:hAnsi="仿宋_GB2312" w:cs="仿宋_GB2312" w:eastAsia="仿宋_GB2312"/>
                      <w:sz w:val="18"/>
                      <w:color w:val="000000"/>
                    </w:rPr>
                    <w:t>管理</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请假审批查询</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根据不同筛选条件及模糊搜索查看护士请假情况。</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请假审批查看</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可查看某护理人员请假情况。</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请假审批提交</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按照请假审批模板提交请假审批，提交后上级部门进行审核和批准。</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请假审批审核</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护士长对病区内已提交请假的审批进行审核，给予审核意见。</w:t>
                  </w:r>
                </w:p>
              </w:tc>
            </w:tr>
            <w:tr>
              <w:tc>
                <w:tcPr>
                  <w:tcW w:type="dxa" w:w="277"/>
                  <w:vMerge/>
                  <w:tcBorders>
                    <w:top w:val="none" w:color="000000" w:sz="4"/>
                    <w:left w:val="single" w:color="000000" w:sz="4"/>
                    <w:bottom w:val="single" w:color="000000" w:sz="4"/>
                    <w:right w:val="single" w:color="000000" w:sz="4"/>
                  </w:tcBorders>
                </w:tcP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我的</w:t>
                  </w:r>
                </w:p>
                <w:p>
                  <w:pPr>
                    <w:pStyle w:val="null3"/>
                    <w:jc w:val="center"/>
                  </w:pPr>
                  <w:r>
                    <w:rPr>
                      <w:rFonts w:ascii="仿宋_GB2312" w:hAnsi="仿宋_GB2312" w:cs="仿宋_GB2312" w:eastAsia="仿宋_GB2312"/>
                      <w:sz w:val="18"/>
                      <w:color w:val="000000"/>
                    </w:rPr>
                    <w:t>排班</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我的排班</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护士人员查看自己本周、上周、下周及其他自定义筛选周的排班情况。</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科室排班</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查看科室所有已排班人员的本周、上周、下周及其他自定义周的排班情况及科室排班备忘录内容。</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请假查看</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根据不同筛选条件查看护士个人请假情况。包括我的请假、已审核请假、待审核请假（护士长权限）。</w:t>
                  </w:r>
                </w:p>
              </w:tc>
            </w:tr>
            <w:tr>
              <w:tc>
                <w:tcPr>
                  <w:tcW w:type="dxa" w:w="277"/>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新增请假</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新增请假审批申请，填写请假类型、护理单元、请假时长及内容，可上传图片，提交后到上一级部门审批。</w:t>
                  </w:r>
                </w:p>
              </w:tc>
            </w:tr>
            <w:tr>
              <w:tc>
                <w:tcPr>
                  <w:tcW w:type="dxa" w:w="27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资料管理</w:t>
                  </w:r>
                </w:p>
              </w:tc>
              <w:tc>
                <w:tcPr>
                  <w:tcW w:type="dxa" w:w="105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院级资料</w:t>
                  </w:r>
                </w:p>
              </w:tc>
              <w:tc>
                <w:tcPr>
                  <w:tcW w:type="dxa" w:w="2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用户可根据资料（视频、文本</w:t>
                  </w:r>
                  <w:r>
                    <w:rPr>
                      <w:rFonts w:ascii="仿宋_GB2312" w:hAnsi="仿宋_GB2312" w:cs="仿宋_GB2312" w:eastAsia="仿宋_GB2312"/>
                      <w:sz w:val="18"/>
                      <w:color w:val="000000"/>
                    </w:rPr>
                    <w:t>..）分类标签进行院级资料上传、查看，方便护士学习、增加学习记录（时长、人员等）、权限限</w:t>
                  </w:r>
                  <w:r>
                    <w:rPr>
                      <w:rFonts w:ascii="仿宋_GB2312" w:hAnsi="仿宋_GB2312" w:cs="仿宋_GB2312" w:eastAsia="仿宋_GB2312"/>
                      <w:sz w:val="18"/>
                      <w:color w:val="000000"/>
                    </w:rPr>
                    <w:t>制</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single" w:color="000000" w:sz="4"/>
                    <w:right w:val="single" w:color="000000" w:sz="4"/>
                  </w:tcBorders>
                </w:tcPr>
                <w:p/>
              </w:tc>
              <w:tc>
                <w:tcPr>
                  <w:tcW w:type="dxa" w:w="105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科室资料</w:t>
                  </w:r>
                </w:p>
              </w:tc>
              <w:tc>
                <w:tcPr>
                  <w:tcW w:type="dxa" w:w="2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用户可根据资料分类标签进行科内资料上传、查看，方便护士学习</w:t>
                  </w:r>
                </w:p>
                <w:p>
                  <w:pPr>
                    <w:pStyle w:val="null3"/>
                  </w:pPr>
                  <w:r>
                    <w:rPr>
                      <w:rFonts w:ascii="仿宋_GB2312" w:hAnsi="仿宋_GB2312" w:cs="仿宋_GB2312" w:eastAsia="仿宋_GB2312"/>
                      <w:sz w:val="18"/>
                      <w:color w:val="000000"/>
                    </w:rPr>
                    <w:t>增加学习记录（时长、人员等）（视频、文本）</w:t>
                  </w:r>
                  <w:r>
                    <w:rPr>
                      <w:rFonts w:ascii="仿宋_GB2312" w:hAnsi="仿宋_GB2312" w:cs="仿宋_GB2312" w:eastAsia="仿宋_GB2312"/>
                      <w:sz w:val="18"/>
                      <w:color w:val="000000"/>
                    </w:rPr>
                    <w:t>。</w:t>
                  </w:r>
                </w:p>
              </w:tc>
            </w:tr>
            <w:tr>
              <w:tc>
                <w:tcPr>
                  <w:tcW w:type="dxa" w:w="277"/>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在职培训</w:t>
                  </w:r>
                </w:p>
              </w:tc>
              <w:tc>
                <w:tcPr>
                  <w:tcW w:type="dxa" w:w="41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课程</w:t>
                  </w:r>
                </w:p>
                <w:p>
                  <w:pPr>
                    <w:pStyle w:val="null3"/>
                    <w:jc w:val="center"/>
                  </w:pPr>
                  <w:r>
                    <w:rPr>
                      <w:rFonts w:ascii="仿宋_GB2312" w:hAnsi="仿宋_GB2312" w:cs="仿宋_GB2312" w:eastAsia="仿宋_GB2312"/>
                      <w:sz w:val="18"/>
                      <w:color w:val="000000"/>
                    </w:rPr>
                    <w:t>预约</w:t>
                  </w:r>
                </w:p>
              </w:tc>
              <w:tc>
                <w:tcPr>
                  <w:tcW w:type="dxa" w:w="6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培训课程查看</w:t>
                  </w:r>
                </w:p>
              </w:tc>
              <w:tc>
                <w:tcPr>
                  <w:tcW w:type="dxa" w:w="249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护士可在企业微信或钉钉端可查看院级、科级培训内容、新增学习记录</w:t>
                  </w:r>
                  <w:r>
                    <w:rPr>
                      <w:rFonts w:ascii="仿宋_GB2312" w:hAnsi="仿宋_GB2312" w:cs="仿宋_GB2312" w:eastAsia="仿宋_GB2312"/>
                      <w:sz w:val="18"/>
                    </w:rPr>
                    <w:t>。</w:t>
                  </w:r>
                </w:p>
              </w:tc>
            </w:tr>
            <w:tr>
              <w:tc>
                <w:tcPr>
                  <w:tcW w:type="dxa" w:w="277"/>
                  <w:vMerge/>
                  <w:tcBorders>
                    <w:top w:val="none" w:color="000000" w:sz="4"/>
                    <w:left w:val="single" w:color="000000" w:sz="4"/>
                    <w:bottom w:val="non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培训课程预约</w:t>
                  </w:r>
                </w:p>
              </w:tc>
              <w:tc>
                <w:tcPr>
                  <w:tcW w:type="dxa" w:w="2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根据自身层级、科室选择课程并进行预约及取消预约</w:t>
                  </w:r>
                  <w:r>
                    <w:rPr>
                      <w:rFonts w:ascii="仿宋_GB2312" w:hAnsi="仿宋_GB2312" w:cs="仿宋_GB2312" w:eastAsia="仿宋_GB2312"/>
                      <w:sz w:val="18"/>
                    </w:rPr>
                    <w:t>。</w:t>
                  </w:r>
                </w:p>
              </w:tc>
            </w:tr>
            <w:tr>
              <w:tc>
                <w:tcPr>
                  <w:tcW w:type="dxa" w:w="277"/>
                  <w:vMerge/>
                  <w:tcBorders>
                    <w:top w:val="none" w:color="000000" w:sz="4"/>
                    <w:left w:val="single" w:color="000000" w:sz="4"/>
                    <w:bottom w:val="none" w:color="000000" w:sz="4"/>
                    <w:right w:val="single" w:color="000000" w:sz="4"/>
                  </w:tcBorders>
                </w:tcPr>
                <w:p/>
              </w:tc>
              <w:tc>
                <w:tcPr>
                  <w:tcW w:type="dxa" w:w="105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培训资料查看</w:t>
                  </w:r>
                </w:p>
              </w:tc>
              <w:tc>
                <w:tcPr>
                  <w:tcW w:type="dxa" w:w="2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支持学习培训课件以及查看学习进度</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none" w:color="000000" w:sz="4"/>
                    <w:right w:val="single" w:color="000000" w:sz="4"/>
                  </w:tcBorders>
                </w:tcPr>
                <w:p/>
              </w:tc>
              <w:tc>
                <w:tcPr>
                  <w:tcW w:type="dxa" w:w="105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我的培训查看</w:t>
                  </w:r>
                </w:p>
              </w:tc>
              <w:tc>
                <w:tcPr>
                  <w:tcW w:type="dxa" w:w="2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支持查看已培训课程及获得学分</w:t>
                  </w:r>
                  <w:r>
                    <w:rPr>
                      <w:rFonts w:ascii="仿宋_GB2312" w:hAnsi="仿宋_GB2312" w:cs="仿宋_GB2312" w:eastAsia="仿宋_GB2312"/>
                      <w:sz w:val="18"/>
                      <w:color w:val="000000"/>
                    </w:rPr>
                    <w:t>/学时情况，支持查看学分是否达标</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none" w:color="000000" w:sz="4"/>
                    <w:right w:val="single" w:color="000000" w:sz="4"/>
                  </w:tcBorders>
                </w:tcPr>
                <w:p/>
              </w:tc>
              <w:tc>
                <w:tcPr>
                  <w:tcW w:type="dxa" w:w="105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培训统计</w:t>
                  </w:r>
                </w:p>
              </w:tc>
              <w:tc>
                <w:tcPr>
                  <w:tcW w:type="dxa" w:w="2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支持按人、科室等汇总培训、考核记录，统计分析，支持按人员、科室等考核信息汇总查看、导出，可自定义时间。</w:t>
                  </w:r>
                </w:p>
              </w:tc>
            </w:tr>
            <w:tr>
              <w:tc>
                <w:tcPr>
                  <w:tcW w:type="dxa" w:w="277"/>
                  <w:vMerge/>
                  <w:tcBorders>
                    <w:top w:val="none" w:color="000000" w:sz="4"/>
                    <w:left w:val="single" w:color="000000" w:sz="4"/>
                    <w:bottom w:val="none" w:color="000000" w:sz="4"/>
                    <w:right w:val="single" w:color="000000" w:sz="4"/>
                  </w:tcBorders>
                </w:tcPr>
                <w:p/>
              </w:tc>
              <w:tc>
                <w:tcPr>
                  <w:tcW w:type="dxa" w:w="105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操作考核</w:t>
                  </w:r>
                </w:p>
              </w:tc>
              <w:tc>
                <w:tcPr>
                  <w:tcW w:type="dxa" w:w="2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与培训考核区分</w:t>
                  </w:r>
                  <w:r>
                    <w:rPr>
                      <w:rFonts w:ascii="仿宋_GB2312" w:hAnsi="仿宋_GB2312" w:cs="仿宋_GB2312" w:eastAsia="仿宋_GB2312"/>
                      <w:sz w:val="18"/>
                      <w:color w:val="000000"/>
                    </w:rPr>
                    <w:t>。</w:t>
                  </w:r>
                </w:p>
              </w:tc>
            </w:tr>
            <w:tr>
              <w:tc>
                <w:tcPr>
                  <w:tcW w:type="dxa" w:w="277"/>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问卷调查</w:t>
                  </w: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调查</w:t>
                  </w:r>
                </w:p>
                <w:p>
                  <w:pPr>
                    <w:pStyle w:val="null3"/>
                    <w:jc w:val="center"/>
                  </w:pPr>
                  <w:r>
                    <w:rPr>
                      <w:rFonts w:ascii="仿宋_GB2312" w:hAnsi="仿宋_GB2312" w:cs="仿宋_GB2312" w:eastAsia="仿宋_GB2312"/>
                      <w:sz w:val="18"/>
                      <w:color w:val="000000"/>
                    </w:rPr>
                    <w:t>任务</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任务操作</w:t>
                  </w:r>
                </w:p>
              </w:tc>
              <w:tc>
                <w:tcPr>
                  <w:tcW w:type="dxa" w:w="2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支持新增、新建、自定义调查任务及复制调查任务操作</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non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新增问卷任务</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支持设置问卷调查期限、问卷、调查对象、调查人、计划调查分数</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non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我的问卷填写</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填写问卷内容并提交。</w:t>
                  </w:r>
                </w:p>
              </w:tc>
            </w:tr>
            <w:tr>
              <w:tc>
                <w:tcPr>
                  <w:tcW w:type="dxa" w:w="277"/>
                  <w:vMerge/>
                  <w:tcBorders>
                    <w:top w:val="none" w:color="000000" w:sz="4"/>
                    <w:left w:val="single" w:color="000000" w:sz="4"/>
                    <w:bottom w:val="non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查看答卷</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支持查看调查任务中已提交的答卷</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non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删除答卷</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支持删除已提交的答卷</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问卷记录</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问卷记录</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记录导出、结果汇总、分析（支持图表）</w:t>
                  </w:r>
                  <w:r>
                    <w:rPr>
                      <w:rFonts w:ascii="仿宋_GB2312" w:hAnsi="仿宋_GB2312" w:cs="仿宋_GB2312" w:eastAsia="仿宋_GB2312"/>
                      <w:sz w:val="18"/>
                      <w:color w:val="000000"/>
                    </w:rPr>
                    <w:t>。</w:t>
                  </w:r>
                </w:p>
              </w:tc>
            </w:tr>
            <w:tr>
              <w:tc>
                <w:tcPr>
                  <w:tcW w:type="dxa" w:w="2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护士长台账</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护士长台账</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工作计划总结（月计划周安排、月护理工作小结、季度护理工作计划、季度护理工作小结）2.会议记录（护士/护士长会议）、护士长例会记录）3.行政查房（行政查房记录、片区行政查房记录、输液配置中心护士长行政查房记录4.科室大事件（科室护理安全管理、科室护理安全风险排查报告）5.台账进度监控板6.（备忘录）</w:t>
                  </w:r>
                  <w:r>
                    <w:rPr>
                      <w:rFonts w:ascii="仿宋_GB2312" w:hAnsi="仿宋_GB2312" w:cs="仿宋_GB2312" w:eastAsia="仿宋_GB2312"/>
                      <w:sz w:val="18"/>
                      <w:color w:val="000000"/>
                    </w:rPr>
                    <w:t>。</w:t>
                  </w:r>
                </w:p>
              </w:tc>
            </w:tr>
            <w:tr>
              <w:tc>
                <w:tcPr>
                  <w:tcW w:type="dxa" w:w="2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护理文书调阅</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临床护理文书调阅查看</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支持护理文书调阅</w:t>
                  </w:r>
                  <w:r>
                    <w:rPr>
                      <w:rFonts w:ascii="仿宋_GB2312" w:hAnsi="仿宋_GB2312" w:cs="仿宋_GB2312" w:eastAsia="仿宋_GB2312"/>
                      <w:sz w:val="18"/>
                      <w:color w:val="000000"/>
                    </w:rPr>
                    <w:t>。</w:t>
                  </w:r>
                </w:p>
              </w:tc>
            </w:tr>
            <w:tr>
              <w:tc>
                <w:tcPr>
                  <w:tcW w:type="dxa" w:w="2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敏感指标</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敏感指标</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护理级别配置相关数据（日）2.身体约束相关数据3.导管非计划拔管相关数据4.导管相关性感染相关数据5.跌倒相关数据6.病区压力性损伤相关数据7.职业暴露相关数据8.护士数量配置相关数据（季）9.人力资源结构-职称相关数据10.人力资源结构-学历相关数据11.人力资源结构-工作年限相关数据12.离职相关数据</w:t>
                  </w:r>
                  <w:r>
                    <w:rPr>
                      <w:rFonts w:ascii="仿宋_GB2312" w:hAnsi="仿宋_GB2312" w:cs="仿宋_GB2312" w:eastAsia="仿宋_GB2312"/>
                      <w:sz w:val="18"/>
                      <w:color w:val="000000"/>
                    </w:rPr>
                    <w:t>。</w:t>
                  </w:r>
                </w:p>
              </w:tc>
            </w:tr>
            <w:tr>
              <w:tc>
                <w:tcPr>
                  <w:tcW w:type="dxa" w:w="277"/>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操作考核</w:t>
                  </w:r>
                </w:p>
              </w:tc>
              <w:tc>
                <w:tcPr>
                  <w:tcW w:type="dxa" w:w="41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操作考核</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临床常见基础护理操作和专科护理操作考核（如心肺复苏、静脉输液、无菌技术、穿脱隔离衣、吸痰术、皮试液的配置、鼻饲法、留置导尿、胃肠减压术、肌肉注射、皮内注射、皮下注射、口腔护理、吸氧、雾化吸入等等）</w:t>
                  </w:r>
                  <w:r>
                    <w:rPr>
                      <w:rFonts w:ascii="仿宋_GB2312" w:hAnsi="仿宋_GB2312" w:cs="仿宋_GB2312" w:eastAsia="仿宋_GB2312"/>
                      <w:sz w:val="18"/>
                      <w:color w:val="000000"/>
                    </w:rPr>
                    <w:t>。</w:t>
                  </w:r>
                </w:p>
              </w:tc>
            </w:tr>
            <w:tr>
              <w:tc>
                <w:tcPr>
                  <w:tcW w:type="dxa" w:w="277"/>
                  <w:vMerge/>
                  <w:tcBorders>
                    <w:top w:val="none" w:color="000000" w:sz="4"/>
                    <w:left w:val="single" w:color="000000" w:sz="4"/>
                    <w:bottom w:val="none" w:color="000000" w:sz="4"/>
                    <w:right w:val="single" w:color="000000" w:sz="4"/>
                  </w:tcBorders>
                </w:tcPr>
                <w:p/>
              </w:tc>
              <w:tc>
                <w:tcPr>
                  <w:tcW w:type="dxa" w:w="414"/>
                  <w:vMerge/>
                  <w:tcBorders>
                    <w:top w:val="none" w:color="000000" w:sz="4"/>
                    <w:left w:val="none" w:color="000000" w:sz="4"/>
                    <w:bottom w:val="non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考核统计</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支持按人、科室等汇总考核记录，统计分析，支持按人员、科室等考核信息汇总查看、导出，可自定义时间。</w:t>
                  </w:r>
                </w:p>
              </w:tc>
            </w:tr>
            <w:tr>
              <w:tc>
                <w:tcPr>
                  <w:tcW w:type="dxa" w:w="2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软件安全管理</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水印功能</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系统支持水印功能。提供全系统界面的水印用于系统信息泄露溯源，包括并不限于：登录工号、姓名、时间、设备信息（</w:t>
                  </w:r>
                  <w:r>
                    <w:rPr>
                      <w:rFonts w:ascii="仿宋_GB2312" w:hAnsi="仿宋_GB2312" w:cs="仿宋_GB2312" w:eastAsia="仿宋_GB2312"/>
                      <w:sz w:val="18"/>
                      <w:color w:val="000000"/>
                    </w:rPr>
                    <w:t>IP或MAC地址）等。</w:t>
                  </w:r>
                </w:p>
              </w:tc>
            </w:tr>
          </w:tbl>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2）PAD设备要求</w:t>
            </w:r>
          </w:p>
          <w:tbl>
            <w:tblPr>
              <w:tblBorders>
                <w:top w:val="none" w:color="000000" w:sz="4"/>
                <w:left w:val="none" w:color="000000" w:sz="4"/>
                <w:bottom w:val="none" w:color="000000" w:sz="4"/>
                <w:right w:val="none" w:color="000000" w:sz="4"/>
                <w:insideH w:val="none"/>
                <w:insideV w:val="none"/>
              </w:tblBorders>
            </w:tblPr>
            <w:tblGrid>
              <w:gridCol w:w="200"/>
              <w:gridCol w:w="257"/>
              <w:gridCol w:w="401"/>
              <w:gridCol w:w="1695"/>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类别</w:t>
                  </w:r>
                </w:p>
              </w:tc>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指标项目</w:t>
                  </w:r>
                </w:p>
              </w:tc>
              <w:tc>
                <w:tcPr>
                  <w:tcW w:type="dxa" w:w="1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技术要求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基础</w:t>
                  </w:r>
                </w:p>
                <w:p>
                  <w:pPr>
                    <w:pStyle w:val="null3"/>
                    <w:jc w:val="center"/>
                  </w:pPr>
                  <w:r>
                    <w:rPr>
                      <w:rFonts w:ascii="仿宋_GB2312" w:hAnsi="仿宋_GB2312" w:cs="仿宋_GB2312" w:eastAsia="仿宋_GB2312"/>
                      <w:sz w:val="18"/>
                    </w:rPr>
                    <w:t>参数</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处理器</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八核处理器，频率</w:t>
                  </w:r>
                  <w:r>
                    <w:rPr>
                      <w:rFonts w:ascii="仿宋_GB2312" w:hAnsi="仿宋_GB2312" w:cs="仿宋_GB2312" w:eastAsia="仿宋_GB2312"/>
                      <w:sz w:val="18"/>
                    </w:rPr>
                    <w:t>≥2.0GHZ</w:t>
                  </w:r>
                  <w:r>
                    <w:rPr>
                      <w:rFonts w:ascii="仿宋_GB2312" w:hAnsi="仿宋_GB2312" w:cs="仿宋_GB2312" w:eastAsia="仿宋_GB2312"/>
                      <w:sz w:val="18"/>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运行内存</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≥8GB RAM</w:t>
                  </w:r>
                  <w:r>
                    <w:rPr>
                      <w:rFonts w:ascii="仿宋_GB2312" w:hAnsi="仿宋_GB2312" w:cs="仿宋_GB2312" w:eastAsia="仿宋_GB2312"/>
                      <w:sz w:val="18"/>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储存内存</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≥128GB</w:t>
                  </w:r>
                  <w:r>
                    <w:rPr>
                      <w:rFonts w:ascii="仿宋_GB2312" w:hAnsi="仿宋_GB2312" w:cs="仿宋_GB2312" w:eastAsia="仿宋_GB2312"/>
                      <w:sz w:val="18"/>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续航能力</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可充电的锂离子电池，容量</w:t>
                  </w:r>
                  <w:r>
                    <w:rPr>
                      <w:rFonts w:ascii="仿宋_GB2312" w:hAnsi="仿宋_GB2312" w:cs="仿宋_GB2312" w:eastAsia="仿宋_GB2312"/>
                      <w:sz w:val="18"/>
                    </w:rPr>
                    <w:t>≥9800mAh，为避免后期电池接触不良等问题，电池采用一体化设计，不可拆卸</w:t>
                  </w:r>
                  <w:r>
                    <w:rPr>
                      <w:rFonts w:ascii="仿宋_GB2312" w:hAnsi="仿宋_GB2312" w:cs="仿宋_GB2312" w:eastAsia="仿宋_GB2312"/>
                      <w:sz w:val="18"/>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Type-C接口，支持QC3.0快充技术，支持OTG。</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屏幕</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标配</w:t>
                  </w:r>
                  <w:r>
                    <w:rPr>
                      <w:rFonts w:ascii="仿宋_GB2312" w:hAnsi="仿宋_GB2312" w:cs="仿宋_GB2312" w:eastAsia="仿宋_GB2312"/>
                      <w:sz w:val="18"/>
                    </w:rPr>
                    <w:t>4096级压感电容屏，屏幕尺寸≥10英寸，多点触控，支持戴手套/带水触摸</w:t>
                  </w:r>
                  <w:r>
                    <w:rPr>
                      <w:rFonts w:ascii="仿宋_GB2312" w:hAnsi="仿宋_GB2312" w:cs="仿宋_GB2312" w:eastAsia="仿宋_GB2312"/>
                      <w:sz w:val="18"/>
                    </w:rPr>
                    <w:t>。</w:t>
                  </w:r>
                  <w:r>
                    <w:rPr>
                      <w:rFonts w:ascii="仿宋_GB2312" w:hAnsi="仿宋_GB2312" w:cs="仿宋_GB2312" w:eastAsia="仿宋_GB2312"/>
                      <w:sz w:val="21"/>
                    </w:rPr>
                    <w:t xml:space="preserve"> </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屏幕分辨率</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分辨率</w:t>
                  </w:r>
                  <w:r>
                    <w:rPr>
                      <w:rFonts w:ascii="仿宋_GB2312" w:hAnsi="仿宋_GB2312" w:cs="仿宋_GB2312" w:eastAsia="仿宋_GB2312"/>
                      <w:sz w:val="18"/>
                    </w:rPr>
                    <w:t>≥1920*1200</w:t>
                  </w:r>
                  <w:r>
                    <w:rPr>
                      <w:rFonts w:ascii="仿宋_GB2312" w:hAnsi="仿宋_GB2312" w:cs="仿宋_GB2312" w:eastAsia="仿宋_GB2312"/>
                      <w:sz w:val="18"/>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摄像头</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前置</w:t>
                  </w:r>
                  <w:r>
                    <w:rPr>
                      <w:rFonts w:ascii="仿宋_GB2312" w:hAnsi="仿宋_GB2312" w:cs="仿宋_GB2312" w:eastAsia="仿宋_GB2312"/>
                      <w:sz w:val="18"/>
                    </w:rPr>
                    <w:t>≥500万像素；后置≥1300万像素，自动对焦摄像头</w:t>
                  </w:r>
                  <w:r>
                    <w:rPr>
                      <w:rFonts w:ascii="仿宋_GB2312" w:hAnsi="仿宋_GB2312" w:cs="仿宋_GB2312" w:eastAsia="仿宋_GB2312"/>
                      <w:sz w:val="18"/>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防摔抗震</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可承受</w:t>
                  </w:r>
                  <w:r>
                    <w:rPr>
                      <w:rFonts w:ascii="仿宋_GB2312" w:hAnsi="仿宋_GB2312" w:cs="仿宋_GB2312" w:eastAsia="仿宋_GB2312"/>
                      <w:sz w:val="18"/>
                    </w:rPr>
                    <w:t>≥1.8m高处到地面的多次跌落</w:t>
                  </w:r>
                  <w:r>
                    <w:rPr>
                      <w:rFonts w:ascii="仿宋_GB2312" w:hAnsi="仿宋_GB2312" w:cs="仿宋_GB2312" w:eastAsia="仿宋_GB2312"/>
                      <w:sz w:val="18"/>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防水防尘工业等级</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≥IP65</w:t>
                  </w:r>
                  <w:r>
                    <w:rPr>
                      <w:rFonts w:ascii="仿宋_GB2312" w:hAnsi="仿宋_GB2312" w:cs="仿宋_GB2312" w:eastAsia="仿宋_GB2312"/>
                      <w:sz w:val="18"/>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尺寸</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≤260 mm *175 mm *12mm</w:t>
                  </w:r>
                  <w:r>
                    <w:rPr>
                      <w:rFonts w:ascii="仿宋_GB2312" w:hAnsi="仿宋_GB2312" w:cs="仿宋_GB2312" w:eastAsia="仿宋_GB2312"/>
                      <w:sz w:val="18"/>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外壳材料</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医用白色抑菌材料外壳，可耐受医用酒精、医用过氧化氢、丹尼尔手消液、新洁尔灭医院常用消毒剂擦拭</w:t>
                  </w:r>
                  <w:r>
                    <w:rPr>
                      <w:rFonts w:ascii="仿宋_GB2312" w:hAnsi="仿宋_GB2312" w:cs="仿宋_GB2312" w:eastAsia="仿宋_GB2312"/>
                      <w:sz w:val="18"/>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手电筒</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支持手电功能</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2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网络</w:t>
                  </w:r>
                </w:p>
                <w:p>
                  <w:pPr>
                    <w:pStyle w:val="null3"/>
                    <w:jc w:val="center"/>
                  </w:pPr>
                  <w:r>
                    <w:rPr>
                      <w:rFonts w:ascii="仿宋_GB2312" w:hAnsi="仿宋_GB2312" w:cs="仿宋_GB2312" w:eastAsia="仿宋_GB2312"/>
                      <w:sz w:val="18"/>
                    </w:rPr>
                    <w:t>参数</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WIFI网络</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802.11a/b/g/n/ac/ax Ready协议，支持wifi6 Ready，满足国内无线局域网WAPI安全协议标准</w:t>
                  </w:r>
                  <w:r>
                    <w:rPr>
                      <w:rFonts w:ascii="仿宋_GB2312" w:hAnsi="仿宋_GB2312" w:cs="仿宋_GB2312" w:eastAsia="仿宋_GB2312"/>
                      <w:sz w:val="18"/>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4G网络</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支持</w:t>
                  </w:r>
                  <w:r>
                    <w:rPr>
                      <w:rFonts w:ascii="仿宋_GB2312" w:hAnsi="仿宋_GB2312" w:cs="仿宋_GB2312" w:eastAsia="仿宋_GB2312"/>
                      <w:sz w:val="18"/>
                    </w:rPr>
                    <w:t>4G全网通</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蓝牙网络</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Bluetooth 5.0（支持BLE）</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定位系统</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支持主流定位服务，</w:t>
                  </w:r>
                  <w:r>
                    <w:rPr>
                      <w:rFonts w:ascii="仿宋_GB2312" w:hAnsi="仿宋_GB2312" w:cs="仿宋_GB2312" w:eastAsia="仿宋_GB2312"/>
                      <w:sz w:val="18"/>
                    </w:rPr>
                    <w:t>GPS，北斗等</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2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数据</w:t>
                  </w:r>
                </w:p>
                <w:p>
                  <w:pPr>
                    <w:pStyle w:val="null3"/>
                    <w:jc w:val="center"/>
                  </w:pPr>
                  <w:r>
                    <w:rPr>
                      <w:rFonts w:ascii="仿宋_GB2312" w:hAnsi="仿宋_GB2312" w:cs="仿宋_GB2312" w:eastAsia="仿宋_GB2312"/>
                      <w:sz w:val="18"/>
                    </w:rPr>
                    <w:t>采集</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条码扫描引擎</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二维图像扫描引擎</w:t>
                  </w:r>
                  <w:r>
                    <w:rPr>
                      <w:rFonts w:ascii="仿宋_GB2312" w:hAnsi="仿宋_GB2312" w:cs="仿宋_GB2312" w:eastAsia="仿宋_GB2312"/>
                      <w:sz w:val="18"/>
                    </w:rPr>
                    <w:t>。</w:t>
                  </w:r>
                  <w:r>
                    <w:rPr>
                      <w:rFonts w:ascii="仿宋_GB2312" w:hAnsi="仿宋_GB2312" w:cs="仿宋_GB2312" w:eastAsia="仿宋_GB2312"/>
                      <w:sz w:val="18"/>
                    </w:rPr>
                    <w:t>扫描引擎要求由</w:t>
                  </w:r>
                  <w:r>
                    <w:rPr>
                      <w:rFonts w:ascii="仿宋_GB2312" w:hAnsi="仿宋_GB2312" w:cs="仿宋_GB2312" w:eastAsia="仿宋_GB2312"/>
                      <w:sz w:val="18"/>
                    </w:rPr>
                    <w:t>PDA厂家原厂生产</w:t>
                  </w:r>
                  <w:r>
                    <w:rPr>
                      <w:rFonts w:ascii="仿宋_GB2312" w:hAnsi="仿宋_GB2312" w:cs="仿宋_GB2312" w:eastAsia="仿宋_GB2312"/>
                      <w:sz w:val="18"/>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准心扫描</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可实现</w:t>
                  </w:r>
                  <w:r>
                    <w:rPr>
                      <w:rFonts w:ascii="仿宋_GB2312" w:hAnsi="仿宋_GB2312" w:cs="仿宋_GB2312" w:eastAsia="仿宋_GB2312"/>
                      <w:sz w:val="18"/>
                    </w:rPr>
                    <w:t>PDA准心扫描，防止相邻条码的误读</w:t>
                  </w:r>
                  <w:r>
                    <w:rPr>
                      <w:rFonts w:ascii="仿宋_GB2312" w:hAnsi="仿宋_GB2312" w:cs="仿宋_GB2312" w:eastAsia="仿宋_GB2312"/>
                      <w:sz w:val="18"/>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按键</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支持屏幕虚拟扫描按键，为方便清洁机器正面无实体按键</w:t>
                  </w:r>
                  <w:r>
                    <w:rPr>
                      <w:rFonts w:ascii="仿宋_GB2312" w:hAnsi="仿宋_GB2312" w:cs="仿宋_GB2312" w:eastAsia="仿宋_GB2312"/>
                      <w:sz w:val="18"/>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2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软件</w:t>
                  </w:r>
                </w:p>
                <w:p>
                  <w:pPr>
                    <w:pStyle w:val="null3"/>
                    <w:jc w:val="center"/>
                  </w:pPr>
                  <w:r>
                    <w:rPr>
                      <w:rFonts w:ascii="仿宋_GB2312" w:hAnsi="仿宋_GB2312" w:cs="仿宋_GB2312" w:eastAsia="仿宋_GB2312"/>
                      <w:sz w:val="18"/>
                    </w:rPr>
                    <w:t>平台</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操作系统</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Android 11.0或以上</w:t>
                  </w:r>
                  <w:r>
                    <w:rPr>
                      <w:rFonts w:ascii="仿宋_GB2312" w:hAnsi="仿宋_GB2312" w:cs="仿宋_GB2312" w:eastAsia="仿宋_GB2312"/>
                      <w:sz w:val="18"/>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二维码快捷设置</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通过扫描二维码快速实现复制其他设备部分设置，如条码、</w:t>
                  </w:r>
                  <w:r>
                    <w:rPr>
                      <w:rFonts w:ascii="仿宋_GB2312" w:hAnsi="仿宋_GB2312" w:cs="仿宋_GB2312" w:eastAsia="仿宋_GB2312"/>
                      <w:sz w:val="18"/>
                    </w:rPr>
                    <w:t>WiFi等设置</w:t>
                  </w:r>
                  <w:r>
                    <w:rPr>
                      <w:rFonts w:ascii="仿宋_GB2312" w:hAnsi="仿宋_GB2312" w:cs="仿宋_GB2312" w:eastAsia="仿宋_GB2312"/>
                      <w:sz w:val="18"/>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桌面管理</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提供相关桌管软件可限制终端网络接入，实现桌面管理，提供采购范围内的设备使用授权。</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系统安全设计</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具有密码验证机制，在安装新的</w:t>
                  </w:r>
                  <w:r>
                    <w:rPr>
                      <w:rFonts w:ascii="仿宋_GB2312" w:hAnsi="仿宋_GB2312" w:cs="仿宋_GB2312" w:eastAsia="仿宋_GB2312"/>
                      <w:sz w:val="18"/>
                    </w:rPr>
                    <w:t>APP需要输入密码方可确认、可设置APP使用权限，禁止使用非法APP应用</w:t>
                  </w:r>
                  <w:r>
                    <w:rPr>
                      <w:rFonts w:ascii="仿宋_GB2312" w:hAnsi="仿宋_GB2312" w:cs="仿宋_GB2312" w:eastAsia="仿宋_GB2312"/>
                      <w:sz w:val="18"/>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杀毒</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适配院内现有杀毒软件，保障网络接入安全</w:t>
                  </w:r>
                  <w:r>
                    <w:rPr>
                      <w:rFonts w:ascii="仿宋_GB2312" w:hAnsi="仿宋_GB2312" w:cs="仿宋_GB2312" w:eastAsia="仿宋_GB2312"/>
                      <w:sz w:val="18"/>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6</w:t>
                  </w:r>
                </w:p>
              </w:tc>
              <w:tc>
                <w:tcPr>
                  <w:tcW w:type="dxa" w:w="257"/>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时间同步</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支持</w:t>
                  </w:r>
                  <w:r>
                    <w:rPr>
                      <w:rFonts w:ascii="仿宋_GB2312" w:hAnsi="仿宋_GB2312" w:cs="仿宋_GB2312" w:eastAsia="仿宋_GB2312"/>
                      <w:sz w:val="18"/>
                    </w:rPr>
                    <w:t>NTP服务器时间同步</w:t>
                  </w:r>
                  <w:r>
                    <w:rPr>
                      <w:rFonts w:ascii="仿宋_GB2312" w:hAnsi="仿宋_GB2312" w:cs="仿宋_GB2312" w:eastAsia="仿宋_GB2312"/>
                      <w:sz w:val="18"/>
                    </w:rPr>
                    <w:t>。</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7</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配件</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配件</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提供手带和保护壳。</w:t>
                  </w:r>
                </w:p>
              </w:tc>
            </w:tr>
          </w:tbl>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3）系统对接</w:t>
            </w:r>
          </w:p>
          <w:p>
            <w:pPr>
              <w:pStyle w:val="null3"/>
              <w:ind w:firstLine="480"/>
            </w:pP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的投标报价</w:t>
            </w:r>
            <w:r>
              <w:rPr>
                <w:rFonts w:ascii="仿宋_GB2312" w:hAnsi="仿宋_GB2312" w:cs="仿宋_GB2312" w:eastAsia="仿宋_GB2312"/>
                <w:sz w:val="24"/>
                <w:color w:val="000000"/>
              </w:rPr>
              <w:t>包含与现有医院</w:t>
            </w:r>
            <w:r>
              <w:rPr>
                <w:rFonts w:ascii="仿宋_GB2312" w:hAnsi="仿宋_GB2312" w:cs="仿宋_GB2312" w:eastAsia="仿宋_GB2312"/>
                <w:sz w:val="24"/>
                <w:color w:val="000000"/>
              </w:rPr>
              <w:t>信息系统（或信息集成平台）接口改造费用、临床护理、护理管理业务系统的接入费用，各系统接口改造费用均由投标供应商与现有医院信息系统厂商协调；投标供应商不得以系统集成</w:t>
            </w:r>
            <w:r>
              <w:rPr>
                <w:rFonts w:ascii="仿宋_GB2312" w:hAnsi="仿宋_GB2312" w:cs="仿宋_GB2312" w:eastAsia="仿宋_GB2312"/>
                <w:sz w:val="24"/>
                <w:color w:val="000000"/>
              </w:rPr>
              <w:t>/接口改造难度、费用为由，要求医院更换现有系统、拖延项目实施与交付进度，须配合医院对现有流程和数据进行优化改造，保证在实施过程中须保持医院现有数据的完整性及连续</w:t>
            </w:r>
            <w:r>
              <w:rPr>
                <w:rFonts w:ascii="仿宋_GB2312" w:hAnsi="仿宋_GB2312" w:cs="仿宋_GB2312" w:eastAsia="仿宋_GB2312"/>
                <w:sz w:val="24"/>
                <w:color w:val="000000"/>
              </w:rPr>
              <w:t>性</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1"/>
                <w:b/>
              </w:rPr>
              <w:t>备注：</w:t>
            </w:r>
            <w:r>
              <w:rPr>
                <w:rFonts w:ascii="仿宋_GB2312" w:hAnsi="仿宋_GB2312" w:cs="仿宋_GB2312" w:eastAsia="仿宋_GB2312"/>
                <w:sz w:val="21"/>
                <w:b/>
              </w:rPr>
              <w:t>投标人在投标时需提供承诺函需加盖投标人公章，否则为无效标处理。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合同签订后90天内完成安装、调试、验收并交付使用</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1.验收按照国家标准及行业标准要求执行； 2.成品软件完成部署实施，硬件全部交付采购人，由中标方提交验收申请后，采购人按照招标文件要求及投标文件的响应进行验收。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验收满一年后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售后服务： 1.本次项目中涉及的产品提供软件原厂叁年质保服务，硬件叁年质保服务，质保期满后年运维费≤10%； 2.投标人具有良好的售后服务能力，提供软件叁年免费服务及软件升级服务，硬件叁年质保服务，需提供7天24小时服务（电话、远程或现场），并在接到采购方通知后4小时内到达现场。项目验收合格后，每年不低于4次的例行维护及巡检。例行维护内容包括：软件的功能增强性维护等应用软件系统扩充升级（其中包括系统维护、跟踪检测），保证投标方所开发的软件正常运行。 3.投标人应提供培训服务，培训对象包括系统管理员、医院管理人员、操作员，系统管理人员培训内容为系统中涉及的相关技术内容；医院管理人员培训内容为系统流程和相关管理思想；操作员为系统的操作培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 ；</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商务应答表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只能有一个有效报价，不得提交选择性报价，且报价不超过采购预算金额或最高限价及单价最高限价。</w:t>
            </w:r>
          </w:p>
        </w:tc>
        <w:tc>
          <w:tcPr>
            <w:tcW w:type="dxa" w:w="1661"/>
          </w:tcPr>
          <w:p>
            <w:pPr>
              <w:pStyle w:val="null3"/>
            </w:pPr>
            <w:r>
              <w:rPr>
                <w:rFonts w:ascii="仿宋_GB2312" w:hAnsi="仿宋_GB2312" w:cs="仿宋_GB2312" w:eastAsia="仿宋_GB2312"/>
              </w:rPr>
              <w:t>服务内容及服务邀请应答表 商务应答表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 根据各投标人所投系统功能(性能)及配置、对采购文件各项技术参数及配置要求的逐项响应情况评定，供应商所投产品技术参数及配置要求均满足采购需求的得满分15分，其中“▲”标注参数为重要技术参数。二、评审依据 （带“▲”的技术参数一项不满足扣1分，其他技术参数一项不满足扣0.5分。扣完为止） 注：带“▲”的技术参数须提供佐证材料。（佐证材料包括但不限于：检测报告、功能说明书、功能截图等内容，未提供相关佐证材料按不满足处理。）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配置方案</w:t>
            </w:r>
          </w:p>
        </w:tc>
        <w:tc>
          <w:tcPr>
            <w:tcW w:type="dxa" w:w="2492"/>
          </w:tcPr>
          <w:p>
            <w:pPr>
              <w:pStyle w:val="null3"/>
            </w:pPr>
            <w:r>
              <w:rPr>
                <w:rFonts w:ascii="仿宋_GB2312" w:hAnsi="仿宋_GB2312" w:cs="仿宋_GB2312" w:eastAsia="仿宋_GB2312"/>
              </w:rPr>
              <w:t>一、评审内容 供应商提供针对本项目的配置方案。包括但不限于①系统操作技术、配套设施；②对后期兼容性、扩展性考虑；③方案设计合理性。 二、评审依据 各项内容全面详细、阐述条理清晰、技术先进、功能配置合理，能有效保障本项目实施的得12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配置方案.docx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针对本项目提供总体实施方案，包括但不限于①项目理解；②服务流程；③进度计划和保证措施；④重难点分析；⑤组织机构人员配置、协调能力等。二、评审依据 各项内容全面详细、阐述条理清晰、技术先进、功能配置合理，能有效保障本项目实施的得15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一、评审内容 针对本项目提供合理的培训方案，包括但不限于①培训内容；②培训方式；③培训时间安排；④培训人员等。二、评审依据 各项内容全面详细、阐述条理清晰，能有效保障本项目实施的得16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培训措施.docx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针对本项目提供详细的质量保障措施，包括但不限于：①质量问题分析；②保障措施；③应急处理措施 。 二、评审依据 各项内容全面详细、阐述条理清晰，能有效保障本项目实施的得12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针对本项目提供详细的售后服务方案，包括但不限于：①售后服务内容及现有服务体系；②服务场所；③系统故障解决方案；④响应时间；⑤售后人员安排等。 二、评审依据 各项内容全面详细、阐述条理清晰、能有效保障本项目实施的得15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供应商提供2023年01月01日至今所完成的类似项目业绩的，每提供一项得1分，最高得5分。 注： ①日期以合同签订之日为准； ②证明材料须提供项目完整合同复印件并加盖公章。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满足磋商采购文件要求，通过资格审查且在规定时间内提交最终报价的为有效报价；价格最低的磋商总报价为评审基准价，其价格分为满分。其他供应商的价格分统一按照下列公式计算： 磋商报价得分=（评审基准价/磋商总报价）×价格权值；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详见附件：配置方案.docx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详见附件：培训措施.docx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