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F1A0D">
      <w:pPr>
        <w:keepNext/>
        <w:keepLines/>
        <w:widowControl w:val="0"/>
        <w:spacing w:before="0" w:after="0" w:line="460" w:lineRule="exact"/>
        <w:jc w:val="center"/>
        <w:outlineLvl w:val="0"/>
        <w:rPr>
          <w:rFonts w:hint="eastAsia" w:ascii="楷体" w:hAnsi="楷体" w:eastAsia="楷体" w:cs="楷体"/>
          <w:b/>
          <w:bCs/>
          <w:kern w:val="44"/>
          <w:sz w:val="44"/>
          <w:szCs w:val="21"/>
          <w:highlight w:val="none"/>
          <w:lang w:val="en-US" w:eastAsia="zh-CN" w:bidi="ar-SA"/>
        </w:rPr>
      </w:pPr>
      <w:r>
        <w:rPr>
          <w:rFonts w:hint="eastAsia" w:ascii="仿宋" w:hAnsi="仿宋" w:eastAsia="仿宋" w:cs="仿宋"/>
          <w:b/>
          <w:bCs/>
          <w:kern w:val="44"/>
          <w:sz w:val="44"/>
          <w:szCs w:val="44"/>
          <w:highlight w:val="none"/>
          <w:lang w:val="en-US" w:eastAsia="zh-CN" w:bidi="ar-SA"/>
        </w:rPr>
        <w:t>合同条款</w:t>
      </w:r>
    </w:p>
    <w:p w14:paraId="4E0F0FBA">
      <w:pPr>
        <w:spacing w:line="500" w:lineRule="exact"/>
        <w:ind w:firstLine="280" w:firstLineChars="100"/>
        <w:rPr>
          <w:rFonts w:hint="eastAsia" w:ascii="仿宋" w:hAnsi="仿宋" w:eastAsia="仿宋" w:cs="仿宋"/>
          <w:sz w:val="28"/>
          <w:szCs w:val="28"/>
        </w:rPr>
      </w:pPr>
    </w:p>
    <w:p w14:paraId="2A32A76E">
      <w:pPr>
        <w:keepNext w:val="0"/>
        <w:keepLines w:val="0"/>
        <w:pageBreakBefore w:val="0"/>
        <w:widowControl w:val="0"/>
        <w:kinsoku/>
        <w:wordWrap/>
        <w:overflowPunct/>
        <w:topLinePunct w:val="0"/>
        <w:autoSpaceDE/>
        <w:autoSpaceDN/>
        <w:bidi w:val="0"/>
        <w:adjustRightInd/>
        <w:snapToGrid/>
        <w:spacing w:line="600" w:lineRule="exact"/>
        <w:ind w:firstLine="280" w:firstLineChars="100"/>
        <w:textAlignment w:val="auto"/>
        <w:rPr>
          <w:rFonts w:hint="eastAsia" w:ascii="仿宋" w:hAnsi="仿宋" w:eastAsia="仿宋" w:cs="仿宋"/>
          <w:sz w:val="28"/>
          <w:szCs w:val="28"/>
        </w:rPr>
      </w:pPr>
      <w:r>
        <w:rPr>
          <w:rFonts w:hint="eastAsia" w:ascii="仿宋" w:hAnsi="仿宋" w:eastAsia="仿宋" w:cs="仿宋"/>
          <w:sz w:val="28"/>
          <w:szCs w:val="28"/>
        </w:rPr>
        <w:t>一、合同格式</w:t>
      </w:r>
    </w:p>
    <w:p w14:paraId="24623810">
      <w:pPr>
        <w:ind w:firstLine="840" w:firstLineChars="300"/>
        <w:rPr>
          <w:rFonts w:hint="eastAsia" w:ascii="仿宋" w:hAnsi="仿宋" w:eastAsia="仿宋" w:cs="仿宋"/>
          <w:spacing w:val="-20"/>
          <w:sz w:val="28"/>
          <w:szCs w:val="28"/>
        </w:rPr>
      </w:pPr>
      <w:r>
        <w:rPr>
          <w:rFonts w:hint="eastAsia" w:ascii="仿宋" w:hAnsi="仿宋" w:eastAsia="仿宋" w:cs="仿宋"/>
          <w:color w:val="000000"/>
          <w:sz w:val="28"/>
          <w:szCs w:val="28"/>
          <w:u w:val="single"/>
          <w:lang w:val="en-US" w:eastAsia="zh-CN"/>
        </w:rPr>
        <w:t>汉中市中心医院移动护理升级项目(项目编号：GLD2025-122601Z</w:t>
      </w:r>
      <w:r>
        <w:rPr>
          <w:rFonts w:hint="eastAsia" w:ascii="仿宋" w:hAnsi="仿宋" w:eastAsia="仿宋" w:cs="仿宋"/>
          <w:color w:val="000000"/>
          <w:sz w:val="28"/>
          <w:szCs w:val="28"/>
          <w:u w:val="single"/>
        </w:rPr>
        <w:t>)</w:t>
      </w:r>
      <w:r>
        <w:rPr>
          <w:rFonts w:hint="eastAsia" w:ascii="仿宋" w:hAnsi="仿宋" w:eastAsia="仿宋" w:cs="仿宋"/>
          <w:color w:val="000000"/>
          <w:sz w:val="28"/>
          <w:szCs w:val="28"/>
        </w:rPr>
        <w:t>，在</w:t>
      </w:r>
      <w:r>
        <w:rPr>
          <w:rFonts w:hint="eastAsia" w:ascii="仿宋" w:hAnsi="仿宋" w:eastAsia="仿宋" w:cs="仿宋"/>
          <w:color w:val="000000"/>
          <w:sz w:val="28"/>
          <w:szCs w:val="28"/>
          <w:u w:val="single"/>
          <w:lang w:val="en-US" w:eastAsia="zh-CN"/>
        </w:rPr>
        <w:t>汉中市</w:t>
      </w:r>
      <w:r>
        <w:rPr>
          <w:rFonts w:hint="eastAsia" w:ascii="仿宋" w:hAnsi="仿宋" w:eastAsia="仿宋" w:cs="仿宋"/>
          <w:color w:val="000000"/>
          <w:sz w:val="28"/>
          <w:szCs w:val="28"/>
          <w:u w:val="single"/>
        </w:rPr>
        <w:t>财政局</w:t>
      </w:r>
      <w:r>
        <w:rPr>
          <w:rFonts w:hint="eastAsia" w:ascii="仿宋" w:hAnsi="仿宋" w:eastAsia="仿宋" w:cs="仿宋"/>
          <w:color w:val="000000"/>
          <w:sz w:val="28"/>
          <w:szCs w:val="28"/>
        </w:rPr>
        <w:t>的监督管理下，由</w:t>
      </w:r>
      <w:r>
        <w:rPr>
          <w:rFonts w:hint="eastAsia" w:ascii="仿宋" w:hAnsi="仿宋" w:eastAsia="仿宋" w:cs="仿宋"/>
          <w:color w:val="000000"/>
          <w:sz w:val="28"/>
          <w:szCs w:val="28"/>
          <w:lang w:eastAsia="zh-CN"/>
        </w:rPr>
        <w:t>陕西广联达招标有限公司</w:t>
      </w:r>
      <w:r>
        <w:rPr>
          <w:rFonts w:hint="eastAsia" w:ascii="仿宋" w:hAnsi="仿宋" w:eastAsia="仿宋" w:cs="仿宋"/>
          <w:color w:val="000000"/>
          <w:sz w:val="28"/>
          <w:szCs w:val="28"/>
        </w:rPr>
        <w:t>组织</w:t>
      </w:r>
      <w:r>
        <w:rPr>
          <w:rFonts w:hint="eastAsia" w:ascii="仿宋" w:hAnsi="仿宋" w:eastAsia="仿宋" w:cs="仿宋"/>
          <w:sz w:val="28"/>
          <w:szCs w:val="28"/>
          <w:lang w:eastAsia="zh-CN"/>
        </w:rPr>
        <w:t>竞争性磋商</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lang w:eastAsia="zh-CN"/>
        </w:rPr>
        <w:t>采购</w:t>
      </w:r>
      <w:r>
        <w:rPr>
          <w:rFonts w:hint="eastAsia" w:ascii="仿宋" w:hAnsi="仿宋" w:eastAsia="仿宋" w:cs="仿宋"/>
          <w:sz w:val="28"/>
          <w:szCs w:val="28"/>
          <w:u w:val="single"/>
        </w:rPr>
        <w:t xml:space="preserve">人 </w:t>
      </w:r>
      <w:r>
        <w:rPr>
          <w:rFonts w:hint="eastAsia" w:ascii="仿宋" w:hAnsi="仿宋" w:eastAsia="仿宋" w:cs="仿宋"/>
          <w:sz w:val="28"/>
          <w:szCs w:val="28"/>
        </w:rPr>
        <w:t xml:space="preserve">(以下简称“甲方”)确定 </w:t>
      </w:r>
      <w:r>
        <w:rPr>
          <w:rFonts w:hint="eastAsia" w:ascii="仿宋" w:hAnsi="仿宋" w:eastAsia="仿宋" w:cs="仿宋"/>
          <w:sz w:val="28"/>
          <w:szCs w:val="28"/>
          <w:u w:val="single"/>
        </w:rPr>
        <w:t>(</w:t>
      </w:r>
      <w:r>
        <w:rPr>
          <w:rFonts w:hint="eastAsia" w:ascii="仿宋" w:hAnsi="仿宋" w:eastAsia="仿宋" w:cs="仿宋"/>
          <w:sz w:val="28"/>
          <w:szCs w:val="28"/>
          <w:u w:val="single"/>
          <w:lang w:eastAsia="zh-CN"/>
        </w:rPr>
        <w:t>成交</w:t>
      </w:r>
      <w:r>
        <w:rPr>
          <w:rFonts w:hint="eastAsia" w:ascii="仿宋" w:hAnsi="仿宋" w:eastAsia="仿宋" w:cs="仿宋"/>
          <w:sz w:val="28"/>
          <w:szCs w:val="28"/>
          <w:u w:val="single"/>
        </w:rPr>
        <w:t xml:space="preserve">单位名称) </w:t>
      </w:r>
      <w:r>
        <w:rPr>
          <w:rFonts w:hint="eastAsia" w:ascii="仿宋" w:hAnsi="仿宋" w:eastAsia="仿宋" w:cs="仿宋"/>
          <w:sz w:val="28"/>
          <w:szCs w:val="28"/>
        </w:rPr>
        <w:t>（以下简称“乙方”）为</w:t>
      </w:r>
      <w:r>
        <w:rPr>
          <w:rFonts w:hint="eastAsia" w:ascii="仿宋" w:hAnsi="仿宋" w:eastAsia="仿宋" w:cs="仿宋"/>
          <w:sz w:val="28"/>
          <w:szCs w:val="28"/>
          <w:lang w:eastAsia="zh-CN"/>
        </w:rPr>
        <w:t>成交</w:t>
      </w:r>
      <w:r>
        <w:rPr>
          <w:rFonts w:hint="eastAsia" w:ascii="仿宋" w:hAnsi="仿宋" w:eastAsia="仿宋" w:cs="仿宋"/>
          <w:sz w:val="28"/>
          <w:szCs w:val="28"/>
        </w:rPr>
        <w:t>单位。</w:t>
      </w:r>
    </w:p>
    <w:p w14:paraId="59088A14">
      <w:pPr>
        <w:keepNext w:val="0"/>
        <w:keepLines w:val="0"/>
        <w:pageBreakBefore w:val="0"/>
        <w:widowControl w:val="0"/>
        <w:kinsoku/>
        <w:wordWrap/>
        <w:overflowPunct/>
        <w:topLinePunct w:val="0"/>
        <w:autoSpaceDE/>
        <w:autoSpaceDN/>
        <w:bidi w:val="0"/>
        <w:adjustRightInd/>
        <w:snapToGrid/>
        <w:spacing w:line="600" w:lineRule="exact"/>
        <w:ind w:firstLine="840" w:firstLineChars="300"/>
        <w:textAlignment w:val="auto"/>
        <w:rPr>
          <w:rFonts w:hint="eastAsia" w:ascii="仿宋" w:hAnsi="仿宋" w:eastAsia="仿宋" w:cs="仿宋"/>
          <w:kern w:val="0"/>
          <w:sz w:val="28"/>
          <w:szCs w:val="28"/>
        </w:rPr>
      </w:pPr>
      <w:r>
        <w:rPr>
          <w:rFonts w:hint="eastAsia" w:ascii="仿宋" w:hAnsi="仿宋" w:eastAsia="仿宋" w:cs="仿宋"/>
          <w:sz w:val="28"/>
          <w:szCs w:val="28"/>
        </w:rPr>
        <w:t>依据《中华人民共和国民法典》和《中华人民共和国政府采购法》，甲方通过</w:t>
      </w:r>
      <w:r>
        <w:rPr>
          <w:rFonts w:hint="eastAsia" w:ascii="仿宋" w:hAnsi="仿宋" w:eastAsia="仿宋" w:cs="仿宋"/>
          <w:sz w:val="28"/>
          <w:szCs w:val="28"/>
          <w:lang w:eastAsia="zh-CN"/>
        </w:rPr>
        <w:t>竞争性磋商</w:t>
      </w:r>
      <w:r>
        <w:rPr>
          <w:rFonts w:hint="eastAsia" w:ascii="仿宋" w:hAnsi="仿宋" w:eastAsia="仿宋" w:cs="仿宋"/>
          <w:sz w:val="28"/>
          <w:szCs w:val="28"/>
        </w:rPr>
        <w:t>采购</w:t>
      </w:r>
      <w:r>
        <w:rPr>
          <w:rFonts w:hint="eastAsia" w:ascii="仿宋" w:hAnsi="仿宋" w:eastAsia="仿宋" w:cs="仿宋"/>
          <w:sz w:val="28"/>
          <w:szCs w:val="28"/>
          <w:u w:val="single"/>
        </w:rPr>
        <w:t xml:space="preserve">（服务项目名称） </w:t>
      </w:r>
      <w:r>
        <w:rPr>
          <w:rFonts w:hint="eastAsia" w:ascii="仿宋" w:hAnsi="仿宋" w:eastAsia="仿宋" w:cs="仿宋"/>
          <w:sz w:val="28"/>
          <w:szCs w:val="28"/>
        </w:rPr>
        <w:t>，并接受了乙方以</w:t>
      </w:r>
      <w:r>
        <w:rPr>
          <w:rFonts w:hint="eastAsia" w:ascii="仿宋" w:hAnsi="仿宋" w:eastAsia="仿宋" w:cs="仿宋"/>
          <w:kern w:val="0"/>
          <w:sz w:val="28"/>
          <w:szCs w:val="28"/>
        </w:rPr>
        <w:t>价格</w:t>
      </w:r>
      <w:r>
        <w:rPr>
          <w:rFonts w:hint="eastAsia" w:ascii="仿宋" w:hAnsi="仿宋" w:eastAsia="仿宋" w:cs="仿宋"/>
          <w:kern w:val="0"/>
          <w:sz w:val="28"/>
          <w:szCs w:val="28"/>
          <w:u w:val="single"/>
        </w:rPr>
        <w:t>(</w:t>
      </w:r>
      <w:r>
        <w:rPr>
          <w:rFonts w:hint="eastAsia" w:ascii="仿宋" w:hAnsi="仿宋" w:eastAsia="仿宋" w:cs="仿宋"/>
          <w:sz w:val="28"/>
          <w:szCs w:val="28"/>
          <w:u w:val="single"/>
          <w:lang w:eastAsia="zh-CN"/>
        </w:rPr>
        <w:t>成交</w:t>
      </w:r>
      <w:r>
        <w:rPr>
          <w:rFonts w:hint="eastAsia" w:ascii="仿宋" w:hAnsi="仿宋" w:eastAsia="仿宋" w:cs="仿宋"/>
          <w:kern w:val="0"/>
          <w:sz w:val="28"/>
          <w:szCs w:val="28"/>
          <w:u w:val="single"/>
        </w:rPr>
        <w:t>金额大写)</w:t>
      </w:r>
      <w:r>
        <w:rPr>
          <w:rFonts w:hint="eastAsia" w:ascii="仿宋" w:hAnsi="仿宋" w:eastAsia="仿宋" w:cs="仿宋"/>
          <w:kern w:val="0"/>
          <w:sz w:val="28"/>
          <w:szCs w:val="28"/>
        </w:rPr>
        <w:t>(以下简称“合同价”)提供的产品及服务。</w:t>
      </w:r>
    </w:p>
    <w:p w14:paraId="4EEC8B7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28"/>
        </w:rPr>
      </w:pPr>
      <w:bookmarkStart w:id="0" w:name="_Toc193187095"/>
      <w:bookmarkStart w:id="1" w:name="_Toc193126879"/>
      <w:bookmarkStart w:id="2" w:name="_Toc188808831"/>
      <w:bookmarkStart w:id="3" w:name="_Toc194663916"/>
      <w:r>
        <w:rPr>
          <w:rFonts w:hint="eastAsia" w:ascii="仿宋" w:hAnsi="仿宋" w:eastAsia="仿宋" w:cs="仿宋"/>
          <w:sz w:val="28"/>
          <w:szCs w:val="28"/>
        </w:rPr>
        <w:t>本合同在此声明如下：</w:t>
      </w:r>
    </w:p>
    <w:p w14:paraId="0128C38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textAlignment w:val="auto"/>
        <w:rPr>
          <w:rFonts w:hint="eastAsia" w:ascii="仿宋" w:hAnsi="仿宋" w:eastAsia="仿宋" w:cs="仿宋"/>
          <w:sz w:val="28"/>
        </w:rPr>
      </w:pPr>
      <w:r>
        <w:rPr>
          <w:rFonts w:hint="eastAsia" w:ascii="仿宋" w:hAnsi="仿宋" w:eastAsia="仿宋" w:cs="仿宋"/>
          <w:kern w:val="2"/>
          <w:sz w:val="28"/>
          <w:szCs w:val="24"/>
          <w:lang w:val="en-US" w:eastAsia="zh-CN" w:bidi="ar-SA"/>
        </w:rPr>
        <w:t>1、</w:t>
      </w:r>
      <w:r>
        <w:rPr>
          <w:rFonts w:hint="eastAsia" w:ascii="仿宋" w:hAnsi="仿宋" w:eastAsia="仿宋" w:cs="仿宋"/>
          <w:sz w:val="28"/>
          <w:szCs w:val="28"/>
        </w:rPr>
        <w:t>本合同中的词语和术语的含义与合同条款中定义的相同。</w:t>
      </w:r>
    </w:p>
    <w:bookmarkEnd w:id="0"/>
    <w:bookmarkEnd w:id="1"/>
    <w:bookmarkEnd w:id="2"/>
    <w:bookmarkEnd w:id="3"/>
    <w:p w14:paraId="79DCE2B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textAlignment w:val="auto"/>
        <w:rPr>
          <w:rFonts w:ascii="仿宋" w:hAnsi="仿宋" w:eastAsia="仿宋" w:cs="仿宋"/>
          <w:sz w:val="28"/>
          <w:szCs w:val="28"/>
        </w:rPr>
      </w:pPr>
      <w:r>
        <w:rPr>
          <w:rFonts w:ascii="仿宋" w:hAnsi="仿宋" w:eastAsia="仿宋" w:cs="仿宋"/>
          <w:kern w:val="2"/>
          <w:sz w:val="28"/>
          <w:szCs w:val="28"/>
          <w:lang w:val="en-US" w:eastAsia="zh-CN" w:bidi="ar-SA"/>
        </w:rPr>
        <w:t>2、</w:t>
      </w:r>
      <w:r>
        <w:rPr>
          <w:rFonts w:hint="eastAsia" w:ascii="仿宋" w:hAnsi="仿宋" w:eastAsia="仿宋" w:cs="仿宋"/>
          <w:sz w:val="28"/>
          <w:szCs w:val="28"/>
        </w:rPr>
        <w:t>下述合同附件为本合同不可分割的部分并与本合同具有同等效力：</w:t>
      </w:r>
    </w:p>
    <w:p w14:paraId="514E935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（1）服务范围及分项价格表</w:t>
      </w:r>
    </w:p>
    <w:p w14:paraId="118DA46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竞争性磋商</w:t>
      </w:r>
      <w:r>
        <w:rPr>
          <w:rFonts w:hint="eastAsia" w:ascii="仿宋" w:hAnsi="仿宋" w:eastAsia="仿宋" w:cs="仿宋"/>
          <w:sz w:val="28"/>
          <w:szCs w:val="28"/>
        </w:rPr>
        <w:t>文件、</w:t>
      </w:r>
      <w:r>
        <w:rPr>
          <w:rFonts w:hint="eastAsia" w:ascii="仿宋" w:hAnsi="仿宋" w:eastAsia="仿宋" w:cs="仿宋"/>
          <w:sz w:val="28"/>
          <w:szCs w:val="28"/>
          <w:lang w:eastAsia="zh-CN"/>
        </w:rPr>
        <w:t>竞争性磋商</w:t>
      </w:r>
      <w:r>
        <w:rPr>
          <w:rFonts w:hint="eastAsia" w:ascii="仿宋" w:hAnsi="仿宋" w:eastAsia="仿宋" w:cs="仿宋"/>
          <w:sz w:val="28"/>
          <w:szCs w:val="28"/>
        </w:rPr>
        <w:t>文件澄清文件</w:t>
      </w:r>
    </w:p>
    <w:p w14:paraId="11081E8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竞争性磋商响应</w:t>
      </w:r>
      <w:r>
        <w:rPr>
          <w:rFonts w:hint="eastAsia" w:ascii="仿宋" w:hAnsi="仿宋" w:eastAsia="仿宋" w:cs="仿宋"/>
          <w:sz w:val="28"/>
          <w:szCs w:val="28"/>
        </w:rPr>
        <w:t>、投标人在评标期间的承诺文件</w:t>
      </w:r>
    </w:p>
    <w:p w14:paraId="77557642">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1295" w:hanging="735"/>
        <w:textAlignment w:val="auto"/>
        <w:rPr>
          <w:rFonts w:hint="eastAsia" w:ascii="仿宋" w:hAnsi="仿宋" w:eastAsia="仿宋" w:cs="仿宋"/>
          <w:sz w:val="28"/>
          <w:szCs w:val="28"/>
        </w:rPr>
      </w:pPr>
      <w:r>
        <w:rPr>
          <w:rFonts w:hint="eastAsia" w:ascii="仿宋" w:hAnsi="仿宋" w:eastAsia="仿宋" w:cs="仿宋"/>
          <w:sz w:val="28"/>
          <w:szCs w:val="28"/>
          <w:lang w:eastAsia="zh-CN"/>
        </w:rPr>
        <w:t>成交</w:t>
      </w:r>
      <w:r>
        <w:rPr>
          <w:rFonts w:hint="eastAsia" w:ascii="仿宋" w:hAnsi="仿宋" w:eastAsia="仿宋" w:cs="仿宋"/>
          <w:sz w:val="28"/>
          <w:szCs w:val="28"/>
        </w:rPr>
        <w:t>通知书</w:t>
      </w:r>
    </w:p>
    <w:p w14:paraId="05A3F81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b w:val="0"/>
          <w:bCs w:val="0"/>
          <w:sz w:val="28"/>
          <w:szCs w:val="28"/>
        </w:rPr>
        <w:t>3、</w:t>
      </w:r>
      <w:r>
        <w:rPr>
          <w:rFonts w:hint="eastAsia" w:ascii="仿宋" w:hAnsi="仿宋" w:eastAsia="仿宋" w:cs="仿宋"/>
          <w:b w:val="0"/>
          <w:bCs w:val="0"/>
          <w:sz w:val="28"/>
          <w:szCs w:val="28"/>
          <w:lang w:eastAsia="zh-CN"/>
        </w:rPr>
        <w:t>付款方式：</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none"/>
          <w:lang w:val="en-US" w:eastAsia="zh-CN"/>
        </w:rPr>
        <w:t xml:space="preserve">  </w:t>
      </w:r>
      <w:r>
        <w:rPr>
          <w:rFonts w:hint="eastAsia" w:ascii="仿宋" w:hAnsi="仿宋" w:eastAsia="仿宋" w:cs="仿宋"/>
          <w:sz w:val="28"/>
          <w:szCs w:val="28"/>
          <w:lang w:val="en-US" w:eastAsia="zh-CN"/>
        </w:rPr>
        <w:t xml:space="preserve"> </w:t>
      </w:r>
    </w:p>
    <w:p w14:paraId="7A8C47E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仿宋"/>
          <w:sz w:val="28"/>
          <w:szCs w:val="28"/>
          <w:u w:val="none"/>
          <w:lang w:val="en-US" w:eastAsia="zh-CN"/>
        </w:rPr>
      </w:pPr>
      <w:r>
        <w:rPr>
          <w:rFonts w:hint="eastAsia" w:ascii="仿宋" w:hAnsi="仿宋" w:eastAsia="仿宋" w:cs="仿宋"/>
          <w:sz w:val="28"/>
          <w:szCs w:val="28"/>
          <w:lang w:val="en-US" w:eastAsia="zh-CN"/>
        </w:rPr>
        <w:t>4、服务期限：</w:t>
      </w:r>
      <w:r>
        <w:rPr>
          <w:rFonts w:hint="eastAsia" w:ascii="仿宋" w:hAnsi="仿宋" w:eastAsia="仿宋" w:cs="仿宋"/>
          <w:sz w:val="28"/>
          <w:szCs w:val="28"/>
          <w:u w:val="single"/>
          <w:lang w:val="en-US" w:eastAsia="zh-CN"/>
        </w:rPr>
        <w:t xml:space="preserve">                   。</w:t>
      </w:r>
    </w:p>
    <w:p w14:paraId="23EE49F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考虑到甲方将按照本合同规定向乙方支付款项，乙方再次保证全部按照合同的规定向甲方提供服务、验收。</w:t>
      </w:r>
    </w:p>
    <w:p w14:paraId="5119A3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、考虑到乙方提供的货物和服务并修补缺陷，甲方在此</w:t>
      </w:r>
      <w:bookmarkStart w:id="5" w:name="_GoBack"/>
      <w:bookmarkEnd w:id="5"/>
      <w:r>
        <w:rPr>
          <w:rFonts w:hint="eastAsia" w:ascii="仿宋" w:hAnsi="仿宋" w:eastAsia="仿宋" w:cs="仿宋"/>
          <w:sz w:val="28"/>
          <w:szCs w:val="28"/>
        </w:rPr>
        <w:t>保证按照合同规定的时间和方式向乙方支付合同价或其它按合同规定支付的金额。</w:t>
      </w:r>
    </w:p>
    <w:p w14:paraId="0B88CD7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二、商业保密条款</w:t>
      </w:r>
    </w:p>
    <w:p w14:paraId="69A177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商业秘密：任何一方公开或未公开的任何技术信息和经营信息，包括但不限于：产品计划、销售计划、奖励政策、客户资料、财务信息等，以及非专利技术、设计、程序、技术数据、制作方法、资讯来源等，均构成该方的商业秘密。</w:t>
      </w:r>
    </w:p>
    <w:p w14:paraId="30B6E81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保密：双方对在本协议下知悉的另一方的任何商业秘密均负有保密义务，任何一方在任何时候均不得向第三方披露另一方的商业秘密，非经另一方书面许可不得向任何第三方泄露。任何一方违反本条规定的，应全额赔偿另一方因此遭受的全部直接和间接损失。</w:t>
      </w:r>
    </w:p>
    <w:p w14:paraId="5676DA9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三、违约责任</w:t>
      </w:r>
    </w:p>
    <w:p w14:paraId="182D50E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由于一方不履行本协议规定的义务，或严重违反协议，造成该业务无法经营或无法达到协议的相关约定，视作违约方单方终止协议，另一方除有权向违约的一方索赔外，并有权按协议规定通过法律程序终止协议。如双方同意继续合作，违约方仍应赔偿非违约方的经济损失。</w:t>
      </w:r>
    </w:p>
    <w:p w14:paraId="1BDA459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乙方存在下列行为，乙方应自行承担由此造成的一切损失：</w:t>
      </w:r>
    </w:p>
    <w:p w14:paraId="66E862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乙方所提供的产品没有正当合法来源的；</w:t>
      </w:r>
    </w:p>
    <w:p w14:paraId="4EBBBE4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乙方提供的产品存在质量缺陷使购买者人身权和财产权收到损害的；</w:t>
      </w:r>
    </w:p>
    <w:p w14:paraId="529E713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乙方提供或故意编造虚假的进货凭证或进货渠道说明；</w:t>
      </w:r>
    </w:p>
    <w:p w14:paraId="3A67EBA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乙方存在下列行为，乙方需按照以下方式承担由此对甲方造成的损失：</w:t>
      </w:r>
    </w:p>
    <w:p w14:paraId="779F57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四、争议解决方式</w:t>
      </w:r>
    </w:p>
    <w:p w14:paraId="35058F2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一切由执行合同引起或者与合同有关的争议，均应友好协商解决，协商不成时应按照《中华人民共和国仲裁法》的有关规定提交当地仲裁委员会申请仲裁。</w:t>
      </w:r>
    </w:p>
    <w:p w14:paraId="582893A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当一方当事人不履行仲裁裁决时，另一方当事人有权向甲方公司所在地人民法院提出申请，请求人民法院予以强制执行。</w:t>
      </w:r>
    </w:p>
    <w:p w14:paraId="6FEBEB4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除判决书另有规定外，仲裁费用由败诉方承担。</w:t>
      </w:r>
    </w:p>
    <w:p w14:paraId="139E842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仲裁进行过程中，双方将继续履行仲裁部分以外的合同条款。</w:t>
      </w:r>
    </w:p>
    <w:p w14:paraId="296CFDB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本合同未涉及的部分，均按《</w:t>
      </w:r>
      <w:r>
        <w:rPr>
          <w:rFonts w:hint="eastAsia" w:ascii="仿宋" w:hAnsi="仿宋" w:eastAsia="仿宋" w:cs="仿宋"/>
          <w:sz w:val="28"/>
          <w:szCs w:val="28"/>
          <w:lang w:eastAsia="zh-CN"/>
        </w:rPr>
        <w:t>中华人民共和国民法典</w:t>
      </w:r>
      <w:r>
        <w:rPr>
          <w:rFonts w:hint="eastAsia" w:ascii="仿宋" w:hAnsi="仿宋" w:eastAsia="仿宋" w:cs="仿宋"/>
          <w:sz w:val="28"/>
          <w:szCs w:val="28"/>
        </w:rPr>
        <w:t>》及其它相关法律法规的有关规定执行。</w:t>
      </w:r>
    </w:p>
    <w:p w14:paraId="2B7E5FC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五、协议的生效、终止及其他</w:t>
      </w:r>
    </w:p>
    <w:p w14:paraId="762755A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协议自双方授权代表签字、盖章之日起正式生效。在有效期内如一方要求中止协议，须提前两个月向另一方提出解除本协议的书面通知，如果对方同意解除协议，则协议自对方在书面通知上签字起两个月后自动废止。协议期满前一个月若双方均未以书面形式提出异议，则本协议自动延期一年，延期期数没有限制，直到双方提出异议为止。</w:t>
      </w:r>
    </w:p>
    <w:p w14:paraId="514D5EF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经甲乙双方书面同意的协议附件是本协议不可分割的部分，与协议正文具有同等法律效力。任何变更事宜，均需书面文件。</w:t>
      </w:r>
    </w:p>
    <w:p w14:paraId="2246E0C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对本协议内容做出的任何修改和补充应为书面形式，由双方授权代表签字后成为协议不可分割的部分。</w:t>
      </w:r>
    </w:p>
    <w:p w14:paraId="0C90824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本协议及其附件为中文本，共肆份原件，均具同等法律效力，双方各执两份为凭。</w:t>
      </w:r>
    </w:p>
    <w:p w14:paraId="2EF9B96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本协议未尽事宜，须经双方另行协商并签署书面文件，与本协议具有同等法律效力。</w:t>
      </w:r>
    </w:p>
    <w:p w14:paraId="31AA744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对协议及附件的任何变更或修改均以书面形式确认，并需甲乙双方代表签字方为有效。</w:t>
      </w: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649"/>
        <w:gridCol w:w="4423"/>
      </w:tblGrid>
      <w:tr w14:paraId="4454228C">
        <w:tblPrEx>
          <w:tblCellMar>
            <w:top w:w="0" w:type="dxa"/>
            <w:left w:w="108" w:type="dxa"/>
            <w:bottom w:w="0" w:type="dxa"/>
            <w:right w:w="108" w:type="dxa"/>
          </w:tblCellMar>
        </w:tblPrEx>
        <w:trPr>
          <w:trHeight w:val="3093" w:hRule="atLeast"/>
        </w:trPr>
        <w:tc>
          <w:tcPr>
            <w:tcW w:w="4649" w:type="dxa"/>
            <w:noWrap w:val="0"/>
            <w:tcMar>
              <w:top w:w="113" w:type="dxa"/>
              <w:left w:w="113" w:type="dxa"/>
              <w:bottom w:w="113" w:type="dxa"/>
              <w:right w:w="113" w:type="dxa"/>
            </w:tcMar>
            <w:vAlign w:val="top"/>
          </w:tcPr>
          <w:p w14:paraId="367AFFAF">
            <w:pPr>
              <w:autoSpaceDE w:val="0"/>
              <w:autoSpaceDN w:val="0"/>
              <w:spacing w:line="460" w:lineRule="exact"/>
              <w:ind w:left="210" w:leftChars="100"/>
              <w:rPr>
                <w:rFonts w:hint="eastAsia" w:ascii="仿宋" w:hAnsi="仿宋" w:eastAsia="仿宋" w:cs="仿宋"/>
                <w:sz w:val="28"/>
                <w:szCs w:val="28"/>
              </w:rPr>
            </w:pPr>
            <w:bookmarkStart w:id="4" w:name="OLE_LINK14"/>
            <w:r>
              <w:rPr>
                <w:rFonts w:hint="eastAsia" w:ascii="仿宋" w:hAnsi="仿宋" w:eastAsia="仿宋" w:cs="仿宋"/>
                <w:sz w:val="28"/>
                <w:szCs w:val="28"/>
              </w:rPr>
              <w:t xml:space="preserve">甲方名称（盖章）： </w:t>
            </w:r>
          </w:p>
          <w:p w14:paraId="77E4F99A">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地    址： </w:t>
            </w:r>
          </w:p>
          <w:p w14:paraId="3684B27D">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电    话：</w:t>
            </w:r>
          </w:p>
          <w:p w14:paraId="2FE52F0B">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传    真：</w:t>
            </w:r>
          </w:p>
          <w:p w14:paraId="4F6A1711">
            <w:pPr>
              <w:autoSpaceDE w:val="0"/>
              <w:autoSpaceDN w:val="0"/>
              <w:spacing w:line="460" w:lineRule="exact"/>
              <w:ind w:left="210" w:leftChars="100"/>
              <w:rPr>
                <w:rFonts w:hint="eastAsia" w:ascii="仿宋" w:hAnsi="仿宋" w:eastAsia="仿宋" w:cs="仿宋"/>
                <w:sz w:val="28"/>
                <w:szCs w:val="28"/>
              </w:rPr>
            </w:pPr>
          </w:p>
          <w:p w14:paraId="6972DA02">
            <w:pPr>
              <w:autoSpaceDE w:val="0"/>
              <w:autoSpaceDN w:val="0"/>
              <w:spacing w:line="460" w:lineRule="exact"/>
              <w:ind w:left="210" w:leftChars="100"/>
              <w:rPr>
                <w:rFonts w:hint="eastAsia" w:ascii="仿宋" w:hAnsi="仿宋" w:eastAsia="仿宋" w:cs="仿宋"/>
                <w:sz w:val="28"/>
                <w:szCs w:val="28"/>
              </w:rPr>
            </w:pPr>
          </w:p>
          <w:p w14:paraId="12BEEF94">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代表签字：</w:t>
            </w:r>
          </w:p>
          <w:p w14:paraId="53B833F9">
            <w:pPr>
              <w:spacing w:line="460" w:lineRule="exact"/>
              <w:ind w:left="210" w:leftChars="100"/>
              <w:rPr>
                <w:rFonts w:hint="eastAsia" w:ascii="仿宋" w:hAnsi="仿宋" w:eastAsia="仿宋" w:cs="仿宋"/>
                <w:sz w:val="28"/>
                <w:szCs w:val="28"/>
              </w:rPr>
            </w:pPr>
          </w:p>
          <w:p w14:paraId="2305BBB7">
            <w:pPr>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  年   月   日 </w:t>
            </w:r>
          </w:p>
          <w:bookmarkEnd w:id="4"/>
          <w:p w14:paraId="235BE7FA">
            <w:pPr>
              <w:spacing w:line="460" w:lineRule="exact"/>
              <w:rPr>
                <w:rFonts w:hint="eastAsia" w:ascii="仿宋" w:hAnsi="仿宋" w:eastAsia="仿宋" w:cs="仿宋"/>
                <w:sz w:val="28"/>
                <w:szCs w:val="28"/>
              </w:rPr>
            </w:pPr>
          </w:p>
        </w:tc>
        <w:tc>
          <w:tcPr>
            <w:tcW w:w="4423" w:type="dxa"/>
            <w:noWrap w:val="0"/>
            <w:tcMar>
              <w:top w:w="113" w:type="dxa"/>
              <w:left w:w="113" w:type="dxa"/>
              <w:bottom w:w="113" w:type="dxa"/>
              <w:right w:w="113" w:type="dxa"/>
            </w:tcMar>
            <w:vAlign w:val="top"/>
          </w:tcPr>
          <w:p w14:paraId="151B6A76">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乙方名称（盖章）：</w:t>
            </w:r>
          </w:p>
          <w:p w14:paraId="706D9F44">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地    址： </w:t>
            </w:r>
          </w:p>
          <w:p w14:paraId="1C31285E">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电    话： </w:t>
            </w:r>
          </w:p>
          <w:p w14:paraId="2A788771">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传    真：  </w:t>
            </w:r>
          </w:p>
          <w:p w14:paraId="43FE0789">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开户银行：</w:t>
            </w:r>
          </w:p>
          <w:p w14:paraId="10E4DCCC">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帐    号：</w:t>
            </w:r>
          </w:p>
          <w:p w14:paraId="2A2C743B">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代表签字：</w:t>
            </w:r>
          </w:p>
          <w:p w14:paraId="713ED408">
            <w:pPr>
              <w:spacing w:line="460" w:lineRule="exact"/>
              <w:ind w:left="210" w:leftChars="100"/>
              <w:rPr>
                <w:rFonts w:hint="eastAsia" w:ascii="仿宋" w:hAnsi="仿宋" w:eastAsia="仿宋" w:cs="仿宋"/>
                <w:sz w:val="28"/>
                <w:szCs w:val="28"/>
              </w:rPr>
            </w:pPr>
          </w:p>
          <w:p w14:paraId="51CEE605">
            <w:pPr>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   年    月    日</w:t>
            </w:r>
          </w:p>
        </w:tc>
      </w:tr>
    </w:tbl>
    <w:p w14:paraId="51D6FA6A">
      <w:pPr>
        <w:spacing w:line="500" w:lineRule="exact"/>
        <w:ind w:firstLine="280" w:firstLineChars="100"/>
        <w:rPr>
          <w:rFonts w:hint="eastAsia" w:ascii="仿宋" w:hAnsi="仿宋" w:eastAsia="仿宋" w:cs="仿宋"/>
          <w:sz w:val="28"/>
          <w:szCs w:val="28"/>
        </w:rPr>
      </w:pPr>
    </w:p>
    <w:p w14:paraId="6B6EDF9E"/>
    <w:p w14:paraId="6111191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655718"/>
    <w:multiLevelType w:val="multilevel"/>
    <w:tmpl w:val="12655718"/>
    <w:lvl w:ilvl="0" w:tentative="0">
      <w:start w:val="4"/>
      <w:numFmt w:val="decimal"/>
      <w:lvlText w:val="（%1）"/>
      <w:lvlJc w:val="left"/>
      <w:pPr>
        <w:ind w:left="1295" w:hanging="73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BF197B"/>
    <w:rsid w:val="12CF69D1"/>
    <w:rsid w:val="1D2C2932"/>
    <w:rsid w:val="6CEA1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keepLines/>
      <w:spacing w:before="340" w:after="330" w:line="576" w:lineRule="auto"/>
      <w:outlineLvl w:val="0"/>
    </w:pPr>
    <w:rPr>
      <w:b/>
      <w:bCs/>
      <w:kern w:val="44"/>
      <w:sz w:val="44"/>
      <w:szCs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1593</Words>
  <Characters>1610</Characters>
  <Lines>0</Lines>
  <Paragraphs>0</Paragraphs>
  <TotalTime>4</TotalTime>
  <ScaleCrop>false</ScaleCrop>
  <LinksUpToDate>false</LinksUpToDate>
  <CharactersWithSpaces>1709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2025-10-30T08:25:00Z</dcterms:created>
  <dc:creator>Administrator</dc:creator>
  <cp:lastModifiedBy>田颖</cp:lastModifiedBy>
  <dcterms:modified xsi:type="dcterms:W3CDTF">2026-01-07T10:04:17Z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eyJoZGlkIjoiN2IwYjZlNmRiZjVjODYzZTEwNjBiZDc4NzZjNWNhMDAiLCJ1c2VySWQiOiI0MjYwNTYzMzIifQ==</vt:lpwstr>
  </property>
  <property fmtid="{D5CDD505-2E9C-101B-9397-08002B2CF9AE}" pid="4" name="ICV">
    <vt:lpwstr>FE46CD006912470298D029EBC3C26DB4_12</vt:lpwstr>
  </property>
</Properties>
</file>