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版本号：JXRZ-HC-2025-15720251205001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汉中市公共信用信息平台技术运维服务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JXRZ-HC-2025-157</w:t>
      </w:r>
      <w:r>
        <w:br/>
      </w:r>
      <w:r>
        <w:br/>
      </w:r>
      <w:r>
        <w:br/>
      </w:r>
    </w:p>
    <w:p>
      <w:pPr>
        <w:pStyle w:val="null3"/>
        <w:jc w:val="center"/>
        <w:outlineLvl w:val="5"/>
      </w:pPr>
      <w:r>
        <w:rPr>
          <w:rFonts w:ascii="仿宋_GB2312" w:hAnsi="仿宋_GB2312" w:cs="仿宋_GB2312" w:eastAsia="仿宋_GB2312"/>
          <w:sz w:val="15"/>
          <w:b/>
        </w:rPr>
        <w:t>汉中市发展和改革委员会</w:t>
      </w:r>
    </w:p>
    <w:p>
      <w:pPr>
        <w:pStyle w:val="null3"/>
        <w:jc w:val="center"/>
        <w:outlineLvl w:val="5"/>
      </w:pPr>
      <w:r>
        <w:rPr>
          <w:rFonts w:ascii="仿宋_GB2312" w:hAnsi="仿宋_GB2312" w:cs="仿宋_GB2312" w:eastAsia="仿宋_GB2312"/>
          <w:sz w:val="15"/>
          <w:b/>
        </w:rPr>
        <w:t>陕西锦鑫睿泽项目管理有限公司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汉中市发展和改革委员会</w:t>
      </w:r>
      <w:r>
        <w:rPr>
          <w:rFonts w:ascii="仿宋_GB2312" w:hAnsi="仿宋_GB2312" w:cs="仿宋_GB2312" w:eastAsia="仿宋_GB2312"/>
        </w:rPr>
        <w:t>委托，拟对</w:t>
      </w:r>
      <w:r>
        <w:rPr>
          <w:rFonts w:ascii="仿宋_GB2312" w:hAnsi="仿宋_GB2312" w:cs="仿宋_GB2312" w:eastAsia="仿宋_GB2312"/>
        </w:rPr>
        <w:t>汉中市公共信用信息平台技术运维服务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JXRZ-HC-2025-157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汉中市公共信用信息平台技术运维服务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汉中市公共信用信息平台技术运维服务包含应用支持与指导、数据归集支持、业务系统巡检服务、基础环境巡检服务、标准服务现场协助、数据治理服务、网站内容采编服务、信用工作考核辅助、业务支撑服务、安全等级保护测评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采购包1（汉中市公共信用信息平台技术运维服务）：属于专门面向中小企业采购。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陕西省汉中市汉台区汉中路民主街43号汉中市人民政府9号楼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0916-2639727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15719163880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汉中市发展和改革委员会</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功能达标：核心功能模块运行正常，功能达标率≥99.9%；抽样测试功能无重大缺陷，轻微缺陷需在 24 小时内修复。 安全达标：符合《信息安全技术 网络安全等级保护基本要求》三级及以上标准；数据传输、存储加密率 100%，无数据泄露事件；漏洞扫描每月至少 1 次，高危漏洞修复率 100%，中低危漏洞修复率≥95%。 数据达标：数据采集覆盖约定信用信息类别≥99%；常规数据更新延迟≤24 小时，紧急信用信息（如失信被执行人信息）更新延迟≤1 小时；数据格式规范符合约定标准，数据错误率≤0.01%。</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汉中市公共信用信息平台技术运维服务项目为单一来源采购，包含应用支持与指导、数据归集支持、业务系统巡检服务、基础环境巡检服务、标准服务现场协助、数据治理服务、网站内容采编服务、信用工作考核辅助、业务支撑服务、安全等级保护测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汉中市公共信用信息平台技术运维服务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标的名称：汉中市公共信用信息平台技术运维服务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项目概况</w:t>
            </w:r>
          </w:p>
          <w:p>
            <w:pPr>
              <w:pStyle w:val="null3"/>
              <w:ind w:firstLine="560"/>
              <w:jc w:val="both"/>
            </w:pPr>
            <w:r>
              <w:rPr>
                <w:rFonts w:ascii="仿宋_GB2312" w:hAnsi="仿宋_GB2312" w:cs="仿宋_GB2312" w:eastAsia="仿宋_GB2312"/>
                <w:sz w:val="21"/>
              </w:rPr>
              <w:t>2019年，由市大数据服务中心通过政府采购，确定与江苏新蝶数字科技有限公司合作，建设汉中市公共信用信息平台，中标合同金额为269.6万元，合同于2023年12月31日到期。2021年因机构改革职能调整，社会信用体系建设职能划转至市发展改革委，信用平台移交市发展改革委管理。</w:t>
            </w:r>
          </w:p>
          <w:p>
            <w:pPr>
              <w:pStyle w:val="null3"/>
              <w:jc w:val="both"/>
            </w:pPr>
            <w:r>
              <w:rPr>
                <w:rFonts w:ascii="仿宋_GB2312" w:hAnsi="仿宋_GB2312" w:cs="仿宋_GB2312" w:eastAsia="仿宋_GB2312"/>
                <w:sz w:val="21"/>
              </w:rPr>
              <w:t>二、服务内容</w:t>
            </w:r>
          </w:p>
          <w:tbl>
            <w:tblPr>
              <w:tblInd w:type="dxa" w:w="90"/>
              <w:tblBorders>
                <w:top w:val="none" w:color="000000" w:sz="4"/>
                <w:left w:val="none" w:color="000000" w:sz="4"/>
                <w:bottom w:val="none" w:color="000000" w:sz="4"/>
                <w:right w:val="none" w:color="000000" w:sz="4"/>
                <w:insideH w:val="none"/>
                <w:insideV w:val="none"/>
              </w:tblBorders>
            </w:tblPr>
            <w:tblGrid>
              <w:gridCol w:w="131"/>
              <w:gridCol w:w="238"/>
              <w:gridCol w:w="332"/>
              <w:gridCol w:w="1592"/>
              <w:gridCol w:w="252"/>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服务分类</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服务事项</w:t>
                  </w:r>
                </w:p>
              </w:tc>
              <w:tc>
                <w:tcPr>
                  <w:tcW w:type="dxa" w:w="1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应用支持与指导</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热线支持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365*24小时的服务热线，由客户服务中心服务人员通过电话向用户提供技术问题解答、应用指导。</w:t>
                  </w:r>
                </w:p>
              </w:tc>
              <w:tc>
                <w:tcPr>
                  <w:tcW w:type="dxa" w:w="2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提供一人的驻场服务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在线支持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365*12小时的线上服务，由客户服务中心服务人员通过微信、QQ等线上平台向用户提供技术问题解答、应用指导。</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远程维护</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由客户服务中心服务人员通过远程控制系统</w:t>
                  </w:r>
                  <w:r>
                    <w:rPr>
                      <w:rFonts w:ascii="仿宋_GB2312" w:hAnsi="仿宋_GB2312" w:cs="仿宋_GB2312" w:eastAsia="仿宋_GB2312"/>
                      <w:sz w:val="21"/>
                      <w:color w:val="000000"/>
                    </w:rPr>
                    <w:t>(Pcanywhere)对用户提供支持，包括对相关操作进行展示、对用户的应用进行指导、调试系统参数等。</w:t>
                  </w:r>
                </w:p>
              </w:tc>
              <w:tc>
                <w:tcPr>
                  <w:tcW w:type="dxa" w:w="252"/>
                  <w:vMerge/>
                  <w:tcBorders>
                    <w:top w:val="none" w:color="000000" w:sz="4"/>
                    <w:left w:val="none" w:color="000000" w:sz="4"/>
                    <w:bottom w:val="single" w:color="000000" w:sz="4"/>
                    <w:right w:val="single" w:color="000000" w:sz="4"/>
                  </w:tcBorders>
                </w:tcP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8"/>
                  <w:vMerge/>
                  <w:tcBorders>
                    <w:top w:val="none" w:color="000000" w:sz="4"/>
                    <w:left w:val="none" w:color="000000" w:sz="4"/>
                    <w:bottom w:val="single" w:color="000000" w:sz="4"/>
                    <w:right w:val="single" w:color="000000" w:sz="4"/>
                  </w:tcBorders>
                </w:tcPr>
                <w:p/>
              </w:tc>
              <w:tc>
                <w:tcPr>
                  <w:tcW w:type="dxa" w:w="3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信用系统</w:t>
                  </w:r>
                  <w:r>
                    <w:rPr>
                      <w:rFonts w:ascii="仿宋_GB2312" w:hAnsi="仿宋_GB2312" w:cs="仿宋_GB2312" w:eastAsia="仿宋_GB2312"/>
                      <w:sz w:val="21"/>
                      <w:color w:val="000000"/>
                    </w:rPr>
                    <w:t>bug修复</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1.针对巡检中的异常项进行处理，修复系统bug或处理异常数据。</w:t>
                  </w:r>
                </w:p>
              </w:tc>
              <w:tc>
                <w:tcPr>
                  <w:tcW w:type="dxa" w:w="252"/>
                  <w:vMerge/>
                  <w:tcBorders>
                    <w:top w:val="none" w:color="000000" w:sz="4"/>
                    <w:left w:val="none" w:color="000000" w:sz="4"/>
                    <w:bottom w:val="single" w:color="000000" w:sz="4"/>
                    <w:right w:val="single" w:color="000000" w:sz="4"/>
                  </w:tcBorders>
                </w:tcPr>
                <w:p/>
              </w:tc>
            </w:tr>
            <w:tr>
              <w:tc>
                <w:tcPr>
                  <w:tcW w:type="dxa" w:w="131"/>
                  <w:vMerge/>
                  <w:tcBorders>
                    <w:top w:val="none" w:color="000000" w:sz="4"/>
                    <w:left w:val="single" w:color="000000" w:sz="4"/>
                    <w:bottom w:val="single" w:color="000000" w:sz="4"/>
                    <w:right w:val="single" w:color="000000" w:sz="4"/>
                  </w:tcBorders>
                </w:tcPr>
                <w:p/>
              </w:tc>
              <w:tc>
                <w:tcPr>
                  <w:tcW w:type="dxa" w:w="238"/>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2.对日常使用中出现的系统bug进行修复。</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紧急故障诊断与修复</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在用户方系统出现紧急故障后，由技术人员即时提供诊断服务，并出具修复方案。信用平台自身问题导致的故障，将根据故障紧急程度，于</w:t>
                  </w:r>
                  <w:r>
                    <w:rPr>
                      <w:rFonts w:ascii="仿宋_GB2312" w:hAnsi="仿宋_GB2312" w:cs="仿宋_GB2312" w:eastAsia="仿宋_GB2312"/>
                      <w:sz w:val="21"/>
                      <w:color w:val="000000"/>
                    </w:rPr>
                    <w:t>4、12、24、48小时内予以修复。如由第三方系统问题导致的，将提供必要的协作配合。</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回访服务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由客户服务中心服务人员主动开展回访服务，了解系统运行情况、服务满意度，沟通服务优化机制等。</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专属服务报告</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按季度提供专属服务报告，就系统使用情况、系统数据情况、系统巡检情况、系统问题处理情况等予以报告，并提出关注事项建议。</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数据治理支持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数据归集入库技术支持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为各部门高效归集数据提供技术支持、工作指导，有效解决数据归集中的相关问题。如：不规范数据系统打回后由对应部门人员进行核对、修正、重新上报，技术人员提供指导，帮助各部门掌握数据归集技能。</w:t>
                  </w:r>
                </w:p>
              </w:tc>
              <w:tc>
                <w:tcPr>
                  <w:tcW w:type="dxa" w:w="2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提供一人的驻场服务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大批量数据人工入库</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对于未建立前置机、接口等自动共享渠道的大批量数据源，且无法通过数据模板批量报送的，定期由人工进行批量清洗入库（仅针对特定部门的大批量数据）。</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数据共享推送支持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在既有数据报送要求或数据报送要求出现变化时，管理和维护信用平台与各业务系统间的数据推送任务，包括与上下级、相关业务部门等的对接，为数据互联互通提供技术支撑。</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接口数据对接支持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在既有数据报送要求出现变化时，管理和维护原有接口，并检查接口数据调用情况，为数据互联互通提供技术支撑。</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信用信息月度统计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按用户需要，定期（一般为按月）生成数据考核统计报表（双公示、特定信用信息、信用承诺、合同履约等），部分内容需人工核对修正，同时导出部分原始数据，提供给用户使用。</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业务系统巡检服务</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信用系统巡检</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业务系统巡检。巡检业务系统的工作状态，包括：网站运行情况巡检、平台运行情况巡检、网站栏目更新情况、证书到期预警、域名到期预警、周期性数据归集情况、网站错敏词检查、数据报送情况巡检、开展日常运维服务，每周巡检一次，根据巡检结果，每季度输出报告。</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基础环境巡检服务</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基础环境巡检</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对服务器和数据库软件运行状况每周人工巡检一次，包括服务器硬件状态（</w:t>
                  </w:r>
                  <w:r>
                    <w:rPr>
                      <w:rFonts w:ascii="仿宋_GB2312" w:hAnsi="仿宋_GB2312" w:cs="仿宋_GB2312" w:eastAsia="仿宋_GB2312"/>
                      <w:sz w:val="21"/>
                      <w:color w:val="000000"/>
                    </w:rPr>
                    <w:t>CPU、内存、硬盘等使用情况）、数据库软件健康指标、数据备份执行情况。对异常问题进行及时提醒，并定期出具报告。</w:t>
                  </w:r>
                </w:p>
              </w:tc>
              <w:tc>
                <w:tcPr>
                  <w:tcW w:type="dxa" w:w="2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提供一人的驻场服务</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38"/>
                  <w:vMerge/>
                  <w:tcBorders>
                    <w:top w:val="none" w:color="000000" w:sz="4"/>
                    <w:left w:val="none" w:color="000000" w:sz="4"/>
                    <w:bottom w:val="single" w:color="000000" w:sz="4"/>
                    <w:right w:val="single" w:color="000000" w:sz="4"/>
                  </w:tcBorders>
                </w:tcPr>
                <w:p/>
              </w:tc>
              <w:tc>
                <w:tcPr>
                  <w:tcW w:type="dxa" w:w="3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数据安全巡检</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重大活动保障安全加固。在重大活动等值守期间，如“两会”、“护网行动”。协助客户提前对信息系统进行安全检查和加固。结合具体需求和安全风险，制定并实施针对性的安全防护策略，确保活动期间的网络与信息安全不受威胁。</w:t>
                  </w:r>
                </w:p>
              </w:tc>
              <w:tc>
                <w:tcPr>
                  <w:tcW w:type="dxa" w:w="252"/>
                  <w:vMerge/>
                  <w:tcBorders>
                    <w:top w:val="none" w:color="000000" w:sz="4"/>
                    <w:left w:val="none" w:color="000000" w:sz="4"/>
                    <w:bottom w:val="single" w:color="000000" w:sz="4"/>
                    <w:right w:val="single" w:color="000000" w:sz="4"/>
                  </w:tcBorders>
                </w:tcPr>
                <w:p/>
              </w:tc>
            </w:tr>
            <w:tr>
              <w:tc>
                <w:tcPr>
                  <w:tcW w:type="dxa" w:w="131"/>
                  <w:vMerge/>
                  <w:tcBorders>
                    <w:top w:val="none" w:color="000000" w:sz="4"/>
                    <w:left w:val="single" w:color="000000" w:sz="4"/>
                    <w:bottom w:val="single" w:color="000000" w:sz="4"/>
                    <w:right w:val="single" w:color="000000" w:sz="4"/>
                  </w:tcBorders>
                </w:tcPr>
                <w:p/>
              </w:tc>
              <w:tc>
                <w:tcPr>
                  <w:tcW w:type="dxa" w:w="238"/>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安全漏洞修复建议。根据漏洞扫描发现的问题提出修复方案及建议（由第三方服务商负责的部分，提供建议并协助执行），确保漏洞得到有效修复与补救。对于我方系统应用层面的漏洞，采取源码级修复，提升系统的整体防御能力。</w:t>
                  </w:r>
                </w:p>
              </w:tc>
              <w:tc>
                <w:tcPr>
                  <w:tcW w:type="dxa" w:w="252"/>
                  <w:vMerge/>
                  <w:tcBorders>
                    <w:top w:val="none" w:color="000000" w:sz="4"/>
                    <w:left w:val="none" w:color="000000" w:sz="4"/>
                    <w:bottom w:val="single" w:color="000000" w:sz="4"/>
                    <w:right w:val="single" w:color="000000" w:sz="4"/>
                  </w:tcBorders>
                </w:tcPr>
                <w:p/>
              </w:tc>
            </w:tr>
            <w:tr>
              <w:tc>
                <w:tcPr>
                  <w:tcW w:type="dxa" w:w="131"/>
                  <w:vMerge/>
                  <w:tcBorders>
                    <w:top w:val="none" w:color="000000" w:sz="4"/>
                    <w:left w:val="single" w:color="000000" w:sz="4"/>
                    <w:bottom w:val="single" w:color="000000" w:sz="4"/>
                    <w:right w:val="single" w:color="000000" w:sz="4"/>
                  </w:tcBorders>
                </w:tcPr>
                <w:p/>
              </w:tc>
              <w:tc>
                <w:tcPr>
                  <w:tcW w:type="dxa" w:w="238"/>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安全策略调优与建议。根据当前信息系统的安全情况，综合分析系统的安全策略，提出优化方案及建议（由第三方服务商负责的部分，提供建议并协助执行），包括防火墙配置、密码复杂度要求、登录安全控制等多个维度，以达到最佳的安全防护效果。</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标准服务现场协助</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标准服务现场协助</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指定专人在用户现场办公，协助远程服务团队开展各项标准服务工作，及时向用户汇报，进一步提升用户服务体验。</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数据治理服务</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上级返回疑问数据及错误修改并上报</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国家双公示考核系统定期展示本地双公示疑问数据，本地接收并人工处理后，回推上级平台。</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网站内容采编服务</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网站、门户新闻更新</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实时更新门户网站文章和每类新闻栏目，包含对新闻稿的搜集、校对、发布</w:t>
                  </w:r>
                </w:p>
              </w:tc>
              <w:tc>
                <w:tcPr>
                  <w:tcW w:type="dxa" w:w="252"/>
                  <w:vMerge/>
                  <w:tcBorders>
                    <w:top w:val="non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信用工作考核辅助</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双公示工作通报</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对于双公示上报率、迟报率、合规率进行统计、分析、问题定位和分派，修正相关问题，上报至上级平台，争取考核名次。</w:t>
                  </w:r>
                </w:p>
              </w:tc>
              <w:tc>
                <w:tcPr>
                  <w:tcW w:type="dxa" w:w="2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提供一人的驻场服务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开展本级考核数据统计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定期（每月</w:t>
                  </w:r>
                  <w:r>
                    <w:rPr>
                      <w:rFonts w:ascii="仿宋_GB2312" w:hAnsi="仿宋_GB2312" w:cs="仿宋_GB2312" w:eastAsia="仿宋_GB2312"/>
                      <w:sz w:val="21"/>
                      <w:color w:val="000000"/>
                    </w:rPr>
                    <w:t>/每季度）生成信用考核统计报表（数据层面、制度层面、专项工作层面等），生成考核报告，人工核对修正后，提供给用户。</w:t>
                  </w:r>
                </w:p>
              </w:tc>
              <w:tc>
                <w:tcPr>
                  <w:tcW w:type="dxa" w:w="252"/>
                  <w:vMerge/>
                  <w:tcBorders>
                    <w:top w:val="none" w:color="000000" w:sz="4"/>
                    <w:left w:val="none" w:color="000000" w:sz="4"/>
                    <w:bottom w:val="non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协助信用工作考核迎评</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协助用户对照考核指标（如：年终工作考核指标、政府综合考核中涉信用部分考核指标等），完成指标分析、信息报送，提供证明材料等。</w:t>
                  </w:r>
                </w:p>
              </w:tc>
              <w:tc>
                <w:tcPr>
                  <w:tcW w:type="dxa" w:w="252"/>
                  <w:vMerge/>
                  <w:tcBorders>
                    <w:top w:val="none" w:color="000000" w:sz="4"/>
                    <w:left w:val="none" w:color="000000" w:sz="4"/>
                    <w:bottom w:val="none" w:color="000000" w:sz="4"/>
                    <w:right w:val="single" w:color="000000" w:sz="4"/>
                  </w:tcBorders>
                </w:tcP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业务支撑服务</w:t>
                  </w:r>
                </w:p>
              </w:tc>
              <w:tc>
                <w:tcPr>
                  <w:tcW w:type="dxa" w:w="3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业务指导与培训</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1.面向平台用户，提供问题受理、响应、处理、操作指导等服务；</w:t>
                  </w:r>
                </w:p>
              </w:tc>
              <w:tc>
                <w:tcPr>
                  <w:tcW w:type="dxa" w:w="252"/>
                  <w:vMerge/>
                  <w:tcBorders>
                    <w:top w:val="none" w:color="000000" w:sz="4"/>
                    <w:left w:val="none" w:color="000000" w:sz="4"/>
                    <w:bottom w:val="none" w:color="000000" w:sz="4"/>
                    <w:right w:val="single" w:color="000000" w:sz="4"/>
                  </w:tcBorders>
                </w:tcPr>
                <w:p/>
              </w:tc>
            </w:tr>
            <w:tr>
              <w:tc>
                <w:tcPr>
                  <w:tcW w:type="dxa" w:w="131"/>
                  <w:vMerge/>
                  <w:tcBorders>
                    <w:top w:val="none" w:color="000000" w:sz="4"/>
                    <w:left w:val="single" w:color="000000" w:sz="4"/>
                    <w:bottom w:val="single" w:color="000000" w:sz="4"/>
                    <w:right w:val="single" w:color="000000" w:sz="4"/>
                  </w:tcBorders>
                </w:tcPr>
                <w:p/>
              </w:tc>
              <w:tc>
                <w:tcPr>
                  <w:tcW w:type="dxa" w:w="238"/>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2.面向接口用户，提供热线咨询、故障响应、系统接入、数据共享咨询等服务。</w:t>
                  </w:r>
                </w:p>
              </w:tc>
              <w:tc>
                <w:tcPr>
                  <w:tcW w:type="dxa" w:w="252"/>
                  <w:vMerge/>
                  <w:tcBorders>
                    <w:top w:val="none" w:color="000000" w:sz="4"/>
                    <w:left w:val="none" w:color="000000" w:sz="4"/>
                    <w:bottom w:val="none" w:color="000000" w:sz="4"/>
                    <w:right w:val="single" w:color="000000" w:sz="4"/>
                  </w:tcBorders>
                </w:tcPr>
                <w:p/>
              </w:tc>
            </w:tr>
            <w:tr>
              <w:tc>
                <w:tcPr>
                  <w:tcW w:type="dxa" w:w="131"/>
                  <w:vMerge/>
                  <w:tcBorders>
                    <w:top w:val="none" w:color="000000" w:sz="4"/>
                    <w:left w:val="single" w:color="000000" w:sz="4"/>
                    <w:bottom w:val="single" w:color="000000" w:sz="4"/>
                    <w:right w:val="single" w:color="000000" w:sz="4"/>
                  </w:tcBorders>
                </w:tcPr>
                <w:p/>
              </w:tc>
              <w:tc>
                <w:tcPr>
                  <w:tcW w:type="dxa" w:w="238"/>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3.根据需要制定培训计划，提供操作培训、数据归集培训等服务。</w:t>
                  </w:r>
                </w:p>
              </w:tc>
              <w:tc>
                <w:tcPr>
                  <w:tcW w:type="dxa" w:w="252"/>
                  <w:vMerge/>
                  <w:tcBorders>
                    <w:top w:val="none" w:color="000000" w:sz="4"/>
                    <w:left w:val="none" w:color="000000" w:sz="4"/>
                    <w:bottom w:val="non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制度文件、会议材料等起草</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协助起草制度文件、通知、政府工作汇报、通报会议材料、任务台账、讲话稿等材料。</w:t>
                  </w:r>
                </w:p>
              </w:tc>
              <w:tc>
                <w:tcPr>
                  <w:tcW w:type="dxa" w:w="252"/>
                  <w:vMerge/>
                  <w:tcBorders>
                    <w:top w:val="none" w:color="000000" w:sz="4"/>
                    <w:left w:val="none" w:color="000000" w:sz="4"/>
                    <w:bottom w:val="non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协助推进信用宣传活动</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协助信用主管部门开展信用相关宣传活动，在用户申报各类信用应用典型案例、大赛，或参加评选时，提供必要支持。</w:t>
                  </w:r>
                </w:p>
              </w:tc>
              <w:tc>
                <w:tcPr>
                  <w:tcW w:type="dxa" w:w="252"/>
                  <w:vMerge/>
                  <w:tcBorders>
                    <w:top w:val="none" w:color="000000" w:sz="4"/>
                    <w:left w:val="none" w:color="000000" w:sz="4"/>
                    <w:bottom w:val="non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协助信用应用场景落地</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协助用户推动信用应用场景落地，辅助用户或相关部门规划方案、帮助推动相关工作执行。</w:t>
                  </w:r>
                </w:p>
              </w:tc>
              <w:tc>
                <w:tcPr>
                  <w:tcW w:type="dxa" w:w="252"/>
                  <w:vMerge/>
                  <w:tcBorders>
                    <w:top w:val="none" w:color="000000" w:sz="4"/>
                    <w:left w:val="none" w:color="000000" w:sz="4"/>
                    <w:bottom w:val="non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协助信用工作交流汇报</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应对上级或其他地区信用工作人员来访交流，协助制作汇报交流材料、现场环境布置、交流沟通等。</w:t>
                  </w:r>
                </w:p>
              </w:tc>
              <w:tc>
                <w:tcPr>
                  <w:tcW w:type="dxa" w:w="252"/>
                  <w:vMerge/>
                  <w:tcBorders>
                    <w:top w:val="none" w:color="000000" w:sz="4"/>
                    <w:left w:val="none" w:color="000000" w:sz="4"/>
                    <w:bottom w:val="non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38"/>
                  <w:vMerge/>
                  <w:tcBorders>
                    <w:top w:val="none" w:color="000000" w:sz="4"/>
                    <w:left w:val="non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其他临时事项处理</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指定专人在用户现场办公，及时响应用户临时安排的其他信用工作，比如临时性的数据统计、突发问题处理、材料报送等。</w:t>
                  </w:r>
                </w:p>
              </w:tc>
              <w:tc>
                <w:tcPr>
                  <w:tcW w:type="dxa" w:w="252"/>
                  <w:vMerge/>
                  <w:tcBorders>
                    <w:top w:val="none" w:color="000000" w:sz="4"/>
                    <w:left w:val="none" w:color="000000" w:sz="4"/>
                    <w:bottom w:val="non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安全等级保护测评</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等保测评及配套服务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按工作要求进行三级安全等级保护测评，提供技术人员和测试环境，保障测试顺利通过。</w:t>
                  </w:r>
                </w:p>
              </w:tc>
              <w:tc>
                <w:tcPr>
                  <w:tcW w:type="dxa" w:w="252"/>
                  <w:vMerge/>
                  <w:tcBorders>
                    <w:top w:val="none" w:color="000000" w:sz="4"/>
                    <w:left w:val="none" w:color="000000" w:sz="4"/>
                    <w:bottom w:val="none" w:color="000000" w:sz="4"/>
                    <w:right w:val="single" w:color="000000" w:sz="4"/>
                  </w:tcBorders>
                </w:tcPr>
                <w:p/>
              </w:tc>
            </w:tr>
          </w:tbl>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技术要求</w:t>
            </w:r>
          </w:p>
          <w:p>
            <w:pPr>
              <w:pStyle w:val="null3"/>
              <w:ind w:firstLine="560"/>
              <w:jc w:val="both"/>
            </w:pPr>
            <w:r>
              <w:rPr>
                <w:rFonts w:ascii="仿宋_GB2312" w:hAnsi="仿宋_GB2312" w:cs="仿宋_GB2312" w:eastAsia="仿宋_GB2312"/>
                <w:sz w:val="21"/>
              </w:rPr>
              <w:t>包含应用支持与指导、数据归集支持、业务系统巡检服务、基础环境巡检服务、标准服务现场协助、数据治理服务、网站内容采编服务、信用工作考核辅助、业务支撑服务、安全等级保护测评服务。</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商务要求</w:t>
            </w:r>
          </w:p>
          <w:p>
            <w:pPr>
              <w:pStyle w:val="null3"/>
              <w:ind w:firstLine="560"/>
              <w:jc w:val="both"/>
            </w:pPr>
            <w:r>
              <w:rPr>
                <w:rFonts w:ascii="仿宋_GB2312" w:hAnsi="仿宋_GB2312" w:cs="仿宋_GB2312" w:eastAsia="仿宋_GB2312"/>
                <w:sz w:val="21"/>
              </w:rPr>
              <w:t>1、服务要求：平台</w:t>
            </w:r>
            <w:r>
              <w:rPr>
                <w:rFonts w:ascii="仿宋_GB2312" w:hAnsi="仿宋_GB2312" w:cs="仿宋_GB2312" w:eastAsia="仿宋_GB2312"/>
                <w:sz w:val="21"/>
              </w:rPr>
              <w:t>运维服务内容外，需提供</w:t>
            </w:r>
            <w:r>
              <w:rPr>
                <w:rFonts w:ascii="仿宋_GB2312" w:hAnsi="仿宋_GB2312" w:cs="仿宋_GB2312" w:eastAsia="仿宋_GB2312"/>
                <w:sz w:val="21"/>
              </w:rPr>
              <w:t>固定人员</w:t>
            </w:r>
            <w:r>
              <w:rPr>
                <w:rFonts w:ascii="仿宋_GB2312" w:hAnsi="仿宋_GB2312" w:cs="仿宋_GB2312" w:eastAsia="仿宋_GB2312"/>
                <w:sz w:val="21"/>
              </w:rPr>
              <w:t>驻场服务。</w:t>
            </w:r>
          </w:p>
          <w:p>
            <w:pPr>
              <w:pStyle w:val="null3"/>
              <w:ind w:firstLine="560"/>
              <w:jc w:val="both"/>
            </w:pPr>
            <w:r>
              <w:rPr>
                <w:rFonts w:ascii="仿宋_GB2312" w:hAnsi="仿宋_GB2312" w:cs="仿宋_GB2312" w:eastAsia="仿宋_GB2312"/>
                <w:sz w:val="21"/>
              </w:rPr>
              <w:t>2、付款方式：2026年1月31日前一次结清。</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平台运维服务内容外，需提供固定人员驻场服务</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以公共信用信息平台技术运维服务合同为核心依据，同时参照《公共信用信息管理办法》《信息安全技术 网络安全等级保护基本要求》（GB/T 22239-2019）等国家相关法规、标准及行业规范。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本项目专门面向中小企业，投标企业须提供《中小企业声明函》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响应文件应满足竞争性磋商文件规定的实质性 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投标文件按招标文件要求电子签章</w:t>
            </w:r>
          </w:p>
        </w:tc>
        <w:tc>
          <w:tcPr>
            <w:tcW w:type="dxa" w:w="3322"/>
          </w:tcPr>
          <w:p>
            <w:pPr>
              <w:pStyle w:val="null3"/>
            </w:pPr>
            <w:r>
              <w:rPr>
                <w:rFonts w:ascii="仿宋_GB2312" w:hAnsi="仿宋_GB2312" w:cs="仿宋_GB2312" w:eastAsia="仿宋_GB2312"/>
              </w:rPr>
              <w:t>投标人应按招标文件要求对投标文件进行电子签章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