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版本号：SCZD2025-CS-3343-00120251209001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瓦里安直线加速器全保修服务项目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SCZD2025-CS-3343-001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瓦里安直线加速器全保修服务项目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SCZD2025-CS-3343-001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瓦里安直线加速器全保修服务项目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1、VitalBeam直线加速器1台整机全保：包括VitalBeam主机、计划系统Eclipse、肿瘤信息管理系统ARIA、速调管、加速管、电子枪、MLC120、呼吸门控系统等，及其他非 Varian 产品： CCTV 监视系统 、对讲系统 、激光灯 、水冷机、 稳压器、 空气压缩机。 2、维保服务期：3年。 3、预算金额：127万元/年。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银行账号：103661558350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代理服务费收费标准：代理服务费以三年合计中标金额为基数，参照《国家计委关于印发&lt;招标代理服务收费管理暂行办法&gt;的通知》（计价格[2002]1980号）规定标准按标段收取。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1、VitalBeam直线加速器1台整机全保：包括VitalBeam主机、计划系统Eclipse、肿瘤信息管理系统ARIA、速调管、加速管、电子枪、MLC120、呼吸门控系统等，及其他非 Varian 产品： CCTV 监视系统 、对讲系统 、激光灯 、水冷机、 稳压器、 空气压缩机。 2、维保服务期：3年。 3、预算金额：127万元/年。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1,270,000.00</w:t>
      </w:r>
    </w:p>
    <w:p>
      <w:pPr>
        <w:pStyle w:val="null3"/>
      </w:pPr>
      <w:r>
        <w:rPr>
          <w:rFonts w:ascii="仿宋_GB2312" w:hAnsi="仿宋_GB2312" w:cs="仿宋_GB2312" w:eastAsia="仿宋_GB2312"/>
        </w:rPr>
        <w:t>采购包最高限价（元）: 1,270,000.00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瓦里安直线加速器全保修服务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标的名称：瓦里安直线加速器全保修服务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项目维保内容：</w:t>
            </w:r>
            <w:r>
              <w:rPr>
                <w:rFonts w:ascii="仿宋_GB2312" w:hAnsi="仿宋_GB2312" w:cs="仿宋_GB2312" w:eastAsia="仿宋_GB2312"/>
                <w:sz w:val="24"/>
              </w:rPr>
              <w:t>VitalBeam</w:t>
            </w:r>
            <w:r>
              <w:rPr>
                <w:rFonts w:ascii="仿宋_GB2312" w:hAnsi="仿宋_GB2312" w:cs="仿宋_GB2312" w:eastAsia="仿宋_GB2312"/>
                <w:sz w:val="24"/>
              </w:rPr>
              <w:t>直线加速器</w:t>
            </w:r>
            <w:r>
              <w:rPr>
                <w:rFonts w:ascii="仿宋_GB2312" w:hAnsi="仿宋_GB2312" w:cs="仿宋_GB2312" w:eastAsia="仿宋_GB2312"/>
                <w:sz w:val="24"/>
              </w:rPr>
              <w:t>1 台；</w:t>
            </w:r>
            <w:r>
              <w:rPr>
                <w:rFonts w:ascii="仿宋_GB2312" w:hAnsi="仿宋_GB2312" w:cs="仿宋_GB2312" w:eastAsia="仿宋_GB2312"/>
                <w:sz w:val="24"/>
              </w:rPr>
              <w:t>维保方案需求：包含设备和服务：整机全保：包括</w:t>
            </w:r>
            <w:r>
              <w:rPr>
                <w:rFonts w:ascii="仿宋_GB2312" w:hAnsi="仿宋_GB2312" w:cs="仿宋_GB2312" w:eastAsia="仿宋_GB2312"/>
                <w:sz w:val="24"/>
              </w:rPr>
              <w:t>VitalBeam主机、计划系统Eclipse、肿瘤信息管理系统ARIA、速调管、加速管、电子枪、MLC120、呼吸门控系统等，及其他非 Varian 产品： CCTV 监视系统 、对讲系统 、激光灯 、水冷机、 稳压器、 空气压缩机。</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1、服务人员要求：维保工程师必须为培训合格，取得瓦里安原厂培训资格的人员；提供至少3名常住本省内硬件工程师的原厂培训证书，1名软件工程师 ARIA 和 Eclipse的原厂培训证书，并且同时出具此4名工程师的在职证明；以便有足够的工程师派遣。（提供加速器原厂培训证书资质复印件、在职证明并加盖公章）。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2、在保修服务期内，投标人应对设备每年提供不少于 4 次精细维护保养服务，其中包含一次深度保养（能对设备做预防性维护及部件更新）。提供设备的安全检查、运行状态检查等，按照厂家标准规定的保养，并出具保养报告。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3、提供保修服务期内保修服务电话，具有全国400统一支持热线，该热线能提供快速诊断和技术支持服务，在保修服务期内提供 24 小时技术电话支持（24 小时×365 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4、在保修服务期内 1小时电话响应，在12小时内派工程师抵达现场实施维修，维修时间不限节假日。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5、在保修期内保证设备 95%以上的开机率，开机率不能达到要求，采取1:3比例按自然日延长保修期。</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6、在保修期内；投标人保证所更换的备件 100%是原厂全新的设备配件；并提供海关注册登记证以及重要备件的进口证明，以证明备件来源的合法性，确保提供的备件是与原厂设备型号一致的原厂备件，安装完毕后达到原厂家公司设备运行标准，维保期内配件不限次免费更换（提供原厂家备件相关证明材。）满足设备运行要求,不会给设备带来危害。</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7、在保修服务期内，为无法通过电话或电子邮件解决的故障或错误，提供设备远程诊断和远程接入系统支持服务，必须能够远程连接设备并且实时监控设备状态；投标人须提供维修该设备相关服务能力的证明资料，以解决相应故障，并确保链接安全且保证不违反国家有关知识产权的法律规定。（提供远程诊断和远程接入系统支持服务证明资料）。</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8、维保服务期内，提供设备厂商全套完整的系统安全性和性能优化性升级补丁，确保设备安全稳定及优质运行。包括但不限于：（1）持续监控设备是否需要升级；（2）提供安全性优化升级；（3）提供建议性升级；（4）记录升级程序。（投标文件中提供软硬件安全优化性升级能力证明资料，格式自拟）。</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9、投标人在中国大陆境内至少有一个备品备件仓库；投标人在仓库内所存储的用于维修的零件的种类，并提供常备零件清单。（提供中标后具备备件仓库的承诺函或其他有效证明材料）</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10、建立完备的维修维护档案：包含维修记录、保养记录、巡检记录等，每合同年度结束后，提供设备运行年度总结报告。</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11、在保修期内；为了治疗安全。升级LaserGuard（防碰撞装置）（STB-GA-524）；提供相应的原厂技术支持证明文件（格式自拟），必须符合行业相关法律法规规定。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rPr>
              <w:t>12、在保修期内：为了安全，升级防火墙硬件（STB-MI-020）；提供相应的原厂技术支持证明文件（格式自拟），必须符合行业相关法律法规规定。</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rPr>
              <w:t>13、在保修期内：为了安全，升级防火墙固件（STB-MI-021）；提供相应的原厂技术支持证明文件（格式自拟），必须符合行业相关法律法规规定。</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4"/>
              </w:rPr>
              <w:t>14、保养机器，更换加速管等核心备件后，绝对剂量，对称性，平坦度都不能超过正负 2%，要达到国标要求，满足临床科室安全使用。</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4"/>
              </w:rPr>
              <w:t>15、如遇设备性能稳定性检测或年度设备性能状态监测，工程师要能够现场待命，提供技术服务支持。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当年度维保合同签订后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当年度维保结束后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 特定资格要求材料.docx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响应保证金支付凭证或担保函.docx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满足商务要求、响应内容无漏项或数量与要求不符，满足实质性要求</w:t>
            </w:r>
          </w:p>
        </w:tc>
        <w:tc>
          <w:tcPr>
            <w:tcW w:type="dxa" w:w="1661"/>
          </w:tcPr>
          <w:p>
            <w:pPr>
              <w:pStyle w:val="null3"/>
            </w:pPr>
            <w:r>
              <w:rPr>
                <w:rFonts w:ascii="仿宋_GB2312" w:hAnsi="仿宋_GB2312" w:cs="仿宋_GB2312" w:eastAsia="仿宋_GB2312"/>
              </w:rPr>
              <w:t>投标分项报价表.docx 服务要求响应偏离表及相关证明资料.docx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投标分项报价表.docx 服务要求响应偏离表及相关证明资料.docx 服务方案 标的清单 报价表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技术参数与性能指标：完全响应或优于采购要求得40分，一般项1项不满足扣2分，“▲”项1项不满足扣4.5分，扣完为止。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1：保养、维护计划方案（10分）</w:t>
            </w:r>
          </w:p>
        </w:tc>
        <w:tc>
          <w:tcPr>
            <w:tcW w:type="dxa" w:w="2492"/>
          </w:tcPr>
          <w:p>
            <w:pPr>
              <w:pStyle w:val="null3"/>
            </w:pPr>
            <w:r>
              <w:rPr>
                <w:rFonts w:ascii="仿宋_GB2312" w:hAnsi="仿宋_GB2312" w:cs="仿宋_GB2312" w:eastAsia="仿宋_GB2312"/>
              </w:rPr>
              <w:t>供应商对本项目提供的保养、维护计划方案： ①内容完整、可实施、且有针对性得10分； ②内容完整、可实施得7分； ③方案基本完整得4分；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2：故障紧急应急预案（5分）</w:t>
            </w:r>
          </w:p>
        </w:tc>
        <w:tc>
          <w:tcPr>
            <w:tcW w:type="dxa" w:w="2492"/>
          </w:tcPr>
          <w:p>
            <w:pPr>
              <w:pStyle w:val="null3"/>
            </w:pPr>
            <w:r>
              <w:rPr>
                <w:rFonts w:ascii="仿宋_GB2312" w:hAnsi="仿宋_GB2312" w:cs="仿宋_GB2312" w:eastAsia="仿宋_GB2312"/>
              </w:rPr>
              <w:t>供应商对设备可能出现的突发事件问题及重大故障，有具体可行的应急预案措施和解决方案：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3：服务质量保证措施（5分）</w:t>
            </w:r>
          </w:p>
        </w:tc>
        <w:tc>
          <w:tcPr>
            <w:tcW w:type="dxa" w:w="2492"/>
          </w:tcPr>
          <w:p>
            <w:pPr>
              <w:pStyle w:val="null3"/>
            </w:pPr>
            <w:r>
              <w:rPr>
                <w:rFonts w:ascii="仿宋_GB2312" w:hAnsi="仿宋_GB2312" w:cs="仿宋_GB2312" w:eastAsia="仿宋_GB2312"/>
              </w:rPr>
              <w:t>供应商对本项目维保服务提供切实可行的服务质量保证方案措施：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4：零配件兼容可靠性（5分）</w:t>
            </w:r>
          </w:p>
        </w:tc>
        <w:tc>
          <w:tcPr>
            <w:tcW w:type="dxa" w:w="2492"/>
          </w:tcPr>
          <w:p>
            <w:pPr>
              <w:pStyle w:val="null3"/>
            </w:pPr>
            <w:r>
              <w:rPr>
                <w:rFonts w:ascii="仿宋_GB2312" w:hAnsi="仿宋_GB2312" w:cs="仿宋_GB2312" w:eastAsia="仿宋_GB2312"/>
              </w:rPr>
              <w:t>供应商维保服务过程中提供的所有的部件及备品备件均应符合行业标准且能够与原设备配套兼容，具备合法、稳定的备件来源渠道以确保设备维修的及时性和可靠性： ①部件及备品备件全面，供应充足，且证明材料完整、性详细得5分； ②部件及备品备件完善，具有证明材料得3分； ③部件及备品备件基本满足维保要求，得1分；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5：人员配备方案（5分）</w:t>
            </w:r>
          </w:p>
        </w:tc>
        <w:tc>
          <w:tcPr>
            <w:tcW w:type="dxa" w:w="2492"/>
          </w:tcPr>
          <w:p>
            <w:pPr>
              <w:pStyle w:val="null3"/>
            </w:pPr>
            <w:r>
              <w:rPr>
                <w:rFonts w:ascii="仿宋_GB2312" w:hAnsi="仿宋_GB2312" w:cs="仿宋_GB2312" w:eastAsia="仿宋_GB2312"/>
              </w:rPr>
              <w:t>供应商有针对本项目的专业服务团队： ①人员配备完善、团队组织结构合理、经验丰富得5分； ②人员配备合理，有一定经验得3分； ③人员配备基本满足项目需求得1分；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6：服务承诺（5分）</w:t>
            </w:r>
          </w:p>
        </w:tc>
        <w:tc>
          <w:tcPr>
            <w:tcW w:type="dxa" w:w="2492"/>
          </w:tcPr>
          <w:p>
            <w:pPr>
              <w:pStyle w:val="null3"/>
            </w:pPr>
            <w:r>
              <w:rPr>
                <w:rFonts w:ascii="仿宋_GB2312" w:hAnsi="仿宋_GB2312" w:cs="仿宋_GB2312" w:eastAsia="仿宋_GB2312"/>
              </w:rPr>
              <w:t>供应商根据出现故障响应时间、人员到场时间、故障恢复时效及后续服务，开机率保证等内容： ①内容完整、可实施、且有针对性得5分； ②内容完整、可实施得3分；③方案基本完整得1分；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7：其他增值服务（5分）</w:t>
            </w:r>
          </w:p>
        </w:tc>
        <w:tc>
          <w:tcPr>
            <w:tcW w:type="dxa" w:w="2492"/>
          </w:tcPr>
          <w:p>
            <w:pPr>
              <w:pStyle w:val="null3"/>
            </w:pPr>
            <w:r>
              <w:rPr>
                <w:rFonts w:ascii="仿宋_GB2312" w:hAnsi="仿宋_GB2312" w:cs="仿宋_GB2312" w:eastAsia="仿宋_GB2312"/>
              </w:rPr>
              <w:t>供应商根据项目需求提供的其他增值服务：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类似业绩（10）</w:t>
            </w:r>
          </w:p>
        </w:tc>
        <w:tc>
          <w:tcPr>
            <w:tcW w:type="dxa" w:w="2492"/>
          </w:tcPr>
          <w:p>
            <w:pPr>
              <w:pStyle w:val="null3"/>
            </w:pPr>
            <w:r>
              <w:rPr>
                <w:rFonts w:ascii="仿宋_GB2312" w:hAnsi="仿宋_GB2312" w:cs="仿宋_GB2312" w:eastAsia="仿宋_GB2312"/>
              </w:rPr>
              <w:t>供应商2021年1月1日至投标截止之日（以合同签订时间为准）承担过本次维保产品品牌直线加速器的维保业绩，每提供一份得2.5分，最高得10分。提供合同复印件，未提供不得分。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满足采购文件要求且最终响应报价最低的报价为评审基准价，其价格分为满分。其他供应商的价格分统一按照下列公式计算：响应报价得分=（评标基准价/最终响应报价）×价格分值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详见附件：响应保证金支付凭证或担保函.docx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