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版本号：SCZD2025-ZB-3001-001R20251209001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SCZD2025-ZB-3001-001R</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医疗设备一批采购项目(二次)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SCZD2025-ZB-3001-001R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汉中市铁路中心医院医疗设备一批采购项目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采购包1（盆底肌生物反馈仪（评估版））：属于专门面向中小企业采购。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 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0916-2212335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w:t>
            </w:r>
          </w:p>
          <w:p>
            <w:pPr>
              <w:pStyle w:val="null3"/>
            </w:pPr>
            <w:r>
              <w:rPr>
                <w:rFonts w:ascii="仿宋_GB2312" w:hAnsi="仿宋_GB2312" w:cs="仿宋_GB2312" w:eastAsia="仿宋_GB2312"/>
              </w:rPr>
              <w:t>银行账号：102861560130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汉中市铁路中心医院医疗设备一批采购项目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盆底肌生物反馈仪（评估版）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标的名称：盆底肌生物反馈仪（评估版）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盆底肌生物反馈仪（评估版）（核心产品）</w:t>
            </w:r>
          </w:p>
          <w:p>
            <w:pPr>
              <w:pStyle w:val="null3"/>
              <w:jc w:val="both"/>
            </w:pPr>
            <w:r>
              <w:rPr>
                <w:rFonts w:ascii="仿宋_GB2312" w:hAnsi="仿宋_GB2312" w:cs="仿宋_GB2312" w:eastAsia="仿宋_GB2312"/>
                <w:sz w:val="24"/>
              </w:rPr>
              <w:t>（一）硬件性能：</w:t>
            </w:r>
          </w:p>
          <w:p>
            <w:pPr>
              <w:pStyle w:val="null3"/>
              <w:jc w:val="both"/>
            </w:pPr>
            <w:r>
              <w:rPr>
                <w:rFonts w:ascii="仿宋_GB2312" w:hAnsi="仿宋_GB2312" w:cs="仿宋_GB2312" w:eastAsia="仿宋_GB2312"/>
                <w:sz w:val="24"/>
              </w:rPr>
              <w:t>1.主机包含电刺激、表面肌电采集和共用参考等A、B、REF三个通道接口；</w:t>
            </w:r>
          </w:p>
          <w:p>
            <w:pPr>
              <w:pStyle w:val="null3"/>
              <w:jc w:val="both"/>
            </w:pPr>
            <w:r>
              <w:rPr>
                <w:rFonts w:ascii="仿宋_GB2312" w:hAnsi="仿宋_GB2312" w:cs="仿宋_GB2312" w:eastAsia="仿宋_GB2312"/>
                <w:sz w:val="24"/>
              </w:rPr>
              <w:t>2.主机采用触控式导航面板，可单机工作；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.双级联接口，同时级联</w:t>
            </w:r>
            <w:r>
              <w:rPr>
                <w:rFonts w:ascii="仿宋_GB2312" w:hAnsi="仿宋_GB2312" w:cs="仿宋_GB2312" w:eastAsia="仿宋_GB2312"/>
                <w:sz w:val="24"/>
                <w:color w:val="000000"/>
              </w:rPr>
              <w:t>≥</w:t>
            </w:r>
            <w:r>
              <w:rPr>
                <w:rFonts w:ascii="仿宋_GB2312" w:hAnsi="仿宋_GB2312" w:cs="仿宋_GB2312" w:eastAsia="仿宋_GB2312"/>
                <w:sz w:val="24"/>
              </w:rPr>
              <w:t>4台主机，扩展</w:t>
            </w:r>
            <w:r>
              <w:rPr>
                <w:rFonts w:ascii="仿宋_GB2312" w:hAnsi="仿宋_GB2312" w:cs="仿宋_GB2312" w:eastAsia="仿宋_GB2312"/>
                <w:sz w:val="24"/>
                <w:color w:val="000000"/>
              </w:rPr>
              <w:t>≥</w:t>
            </w:r>
            <w:r>
              <w:rPr>
                <w:rFonts w:ascii="仿宋_GB2312" w:hAnsi="仿宋_GB2312" w:cs="仿宋_GB2312" w:eastAsia="仿宋_GB2312"/>
                <w:sz w:val="24"/>
              </w:rPr>
              <w:t>8通道；</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.采样位数：</w:t>
            </w:r>
            <w:r>
              <w:rPr>
                <w:rFonts w:ascii="仿宋_GB2312" w:hAnsi="仿宋_GB2312" w:cs="仿宋_GB2312" w:eastAsia="仿宋_GB2312"/>
                <w:sz w:val="24"/>
                <w:color w:val="000000"/>
              </w:rPr>
              <w:t>≥</w:t>
            </w:r>
            <w:r>
              <w:rPr>
                <w:rFonts w:ascii="仿宋_GB2312" w:hAnsi="仿宋_GB2312" w:cs="仿宋_GB2312" w:eastAsia="仿宋_GB2312"/>
                <w:sz w:val="24"/>
              </w:rPr>
              <w:t>16位；</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5</w:t>
            </w:r>
            <w:r>
              <w:rPr>
                <w:rFonts w:ascii="仿宋_GB2312" w:hAnsi="仿宋_GB2312" w:cs="仿宋_GB2312" w:eastAsia="仿宋_GB2312"/>
                <w:sz w:val="24"/>
              </w:rPr>
              <w:t>．测量范围：</w:t>
            </w:r>
            <w:r>
              <w:rPr>
                <w:rFonts w:ascii="仿宋_GB2312" w:hAnsi="仿宋_GB2312" w:cs="仿宋_GB2312" w:eastAsia="仿宋_GB2312"/>
                <w:sz w:val="24"/>
                <w:color w:val="000000"/>
              </w:rPr>
              <w:t>≥</w:t>
            </w:r>
            <w:r>
              <w:rPr>
                <w:rFonts w:ascii="仿宋_GB2312" w:hAnsi="仿宋_GB2312" w:cs="仿宋_GB2312" w:eastAsia="仿宋_GB2312"/>
                <w:sz w:val="24"/>
              </w:rPr>
              <w:t>1μV～3000μV(r.m.s)；</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.最高分辨率：≤2μV(r.m.s) ；</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配置</w:t>
            </w:r>
            <w:r>
              <w:rPr>
                <w:rFonts w:ascii="仿宋_GB2312" w:hAnsi="仿宋_GB2312" w:cs="仿宋_GB2312" w:eastAsia="仿宋_GB2312"/>
                <w:sz w:val="24"/>
              </w:rPr>
              <w:t>压力套件，进行压力评估及训练；</w:t>
            </w:r>
          </w:p>
          <w:p>
            <w:pPr>
              <w:pStyle w:val="null3"/>
              <w:jc w:val="both"/>
            </w:pPr>
            <w:r>
              <w:rPr>
                <w:rFonts w:ascii="仿宋_GB2312" w:hAnsi="仿宋_GB2312" w:cs="仿宋_GB2312" w:eastAsia="仿宋_GB2312"/>
                <w:sz w:val="24"/>
                <w:b/>
              </w:rPr>
              <w:t>（二）软件功能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1．多种盆底肌电评估模式：一分钟评估，三分钟评估和具有国际通用标准的Glazer评估；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Glazer评估具有基于大数据建立的盆底常模类型，可智能解读评估报告的</w:t>
            </w:r>
            <w:r>
              <w:rPr>
                <w:rFonts w:ascii="仿宋_GB2312" w:hAnsi="仿宋_GB2312" w:cs="仿宋_GB2312" w:eastAsia="仿宋_GB2312"/>
                <w:sz w:val="24"/>
                <w:color w:val="000000"/>
              </w:rPr>
              <w:t>≥</w:t>
            </w:r>
            <w:r>
              <w:rPr>
                <w:rFonts w:ascii="仿宋_GB2312" w:hAnsi="仿宋_GB2312" w:cs="仿宋_GB2312" w:eastAsia="仿宋_GB2312"/>
                <w:sz w:val="24"/>
              </w:rPr>
              <w:t>五种评估结果；</w:t>
            </w:r>
          </w:p>
          <w:p>
            <w:pPr>
              <w:pStyle w:val="null3"/>
              <w:jc w:val="both"/>
            </w:pPr>
            <w:r>
              <w:rPr>
                <w:rFonts w:ascii="仿宋_GB2312" w:hAnsi="仿宋_GB2312" w:cs="仿宋_GB2312" w:eastAsia="仿宋_GB2312"/>
                <w:sz w:val="24"/>
              </w:rPr>
              <w:t>3.压力评估模式：使用可多次反复使用的充气型压力探头对盆底功能进行评估；</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.结合临床路径管理规范，以Glazer评估的结果和盆底专科病历信息的患者症状为依据，智能推荐个性化的处方治疗方案，一键开启治疗；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.Kegel模版训练具有肌电和压力两种模式；</w:t>
            </w:r>
          </w:p>
          <w:p>
            <w:pPr>
              <w:pStyle w:val="null3"/>
              <w:jc w:val="both"/>
            </w:pPr>
            <w:r>
              <w:rPr>
                <w:rFonts w:ascii="仿宋_GB2312" w:hAnsi="仿宋_GB2312" w:cs="仿宋_GB2312" w:eastAsia="仿宋_GB2312"/>
                <w:sz w:val="24"/>
                <w:b/>
              </w:rPr>
              <w:t>（三）配置清单：</w:t>
            </w:r>
            <w:r>
              <w:rPr>
                <w:rFonts w:ascii="仿宋_GB2312" w:hAnsi="仿宋_GB2312" w:cs="仿宋_GB2312" w:eastAsia="仿宋_GB2312"/>
                <w:sz w:val="24"/>
                <w:color w:val="10141A"/>
                <w:shd w:fill="FFFFFF" w:val="clear"/>
              </w:rPr>
              <w:t>①主机一台；②打印机一台（</w:t>
            </w:r>
            <w:r>
              <w:rPr>
                <w:rFonts w:ascii="仿宋_GB2312" w:hAnsi="仿宋_GB2312" w:cs="仿宋_GB2312" w:eastAsia="仿宋_GB2312"/>
                <w:sz w:val="24"/>
                <w:color w:val="10141A"/>
                <w:shd w:fill="FFFFFF" w:val="clear"/>
              </w:rPr>
              <w:t>激光</w:t>
            </w:r>
            <w:r>
              <w:rPr>
                <w:rFonts w:ascii="仿宋_GB2312" w:hAnsi="仿宋_GB2312" w:cs="仿宋_GB2312" w:eastAsia="仿宋_GB2312"/>
                <w:sz w:val="24"/>
                <w:color w:val="10141A"/>
                <w:shd w:fill="FFFFFF" w:val="clear"/>
              </w:rPr>
              <w:t>黑白）；</w:t>
            </w:r>
            <w:r>
              <w:rPr>
                <w:rFonts w:ascii="仿宋_GB2312" w:hAnsi="仿宋_GB2312" w:cs="仿宋_GB2312" w:eastAsia="仿宋_GB2312"/>
                <w:sz w:val="24"/>
                <w:color w:val="10141A"/>
                <w:shd w:fill="FFFFFF" w:val="clear"/>
              </w:rPr>
              <w:t>③工作站一套；④连接线10根；⑤阴道电极10个。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双方约定在合同签定后，设备在甲方指定地点安装到位、验收、调试合格，乙方开具足额发票（乙方如不开具合法足额发票，甲方有权拒绝付款而不承担违约责任），甲乙方验收签字完成后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1、产品全套质保≥2年； 2、设备故障，乙方在接到甲方电话通知后24小时内响应，48小时内派出合格的服务人员到达现场进行服务，承担相应费用。需返厂维修时提供备用机，一周内解决问题； 3、提供定期技术支持、线上线下培训； 4、 易损件及耗材供应报价表，其中阴道电极最高限价≤180元/个、一次性使用阴道电极限价≤38元/个，并承诺保证使用至设备有效期内。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 xml:space="preserve"> 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投标分项报价表.docx 汉中-资格证明文件.docx 投标函 中小企业声明函 标的清单 投标文件封面 投标人参加政府采购活动承诺书.docx 节能产品、环境标志产品明细表.docx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“▲”号技术参数一项不满足扣3分，非“▲”号技术指标参数一项不满足扣2分，扣完为止。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